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p>
    <w:p>
      <w:pPr>
        <w:jc w:val="center"/>
        <w:rPr>
          <w:rFonts w:ascii="宋体" w:hAnsi="宋体" w:cs="宋体"/>
          <w:b/>
          <w:bCs/>
          <w:sz w:val="44"/>
          <w:szCs w:val="44"/>
        </w:rPr>
      </w:pPr>
    </w:p>
    <w:p>
      <w:pPr>
        <w:spacing w:line="440" w:lineRule="exact"/>
        <w:jc w:val="center"/>
        <w:rPr>
          <w:rFonts w:ascii="宋体" w:hAnsi="宋体" w:cs="宋体"/>
          <w:b/>
          <w:bCs/>
          <w:sz w:val="44"/>
          <w:szCs w:val="44"/>
        </w:rPr>
      </w:pPr>
    </w:p>
    <w:p>
      <w:pPr>
        <w:spacing w:line="560" w:lineRule="exact"/>
        <w:jc w:val="center"/>
        <w:rPr>
          <w:rFonts w:hint="eastAsia" w:asciiTheme="majorEastAsia" w:hAnsiTheme="majorEastAsia" w:eastAsiaTheme="majorEastAsia" w:cstheme="majorEastAsia"/>
          <w:b/>
          <w:bCs/>
          <w:sz w:val="48"/>
          <w:szCs w:val="48"/>
          <w:lang w:eastAsia="zh-CN"/>
        </w:rPr>
      </w:pPr>
      <w:r>
        <w:rPr>
          <w:rFonts w:hint="eastAsia" w:asciiTheme="majorEastAsia" w:hAnsiTheme="majorEastAsia" w:eastAsiaTheme="majorEastAsia" w:cstheme="majorEastAsia"/>
          <w:b/>
          <w:bCs/>
          <w:sz w:val="48"/>
          <w:szCs w:val="48"/>
          <w:lang w:eastAsia="zh-CN"/>
        </w:rPr>
        <w:t>靖边县龙洲镇人民政府</w:t>
      </w:r>
    </w:p>
    <w:p>
      <w:pPr>
        <w:spacing w:line="560" w:lineRule="exact"/>
        <w:jc w:val="center"/>
        <w:rPr>
          <w:rFonts w:asciiTheme="majorEastAsia" w:hAnsiTheme="majorEastAsia" w:eastAsiaTheme="majorEastAsia" w:cstheme="majorEastAsia"/>
          <w:b/>
          <w:bCs/>
          <w:sz w:val="48"/>
          <w:szCs w:val="48"/>
        </w:rPr>
      </w:pPr>
      <w:r>
        <w:rPr>
          <w:rFonts w:hint="eastAsia" w:asciiTheme="majorEastAsia" w:hAnsiTheme="majorEastAsia" w:eastAsiaTheme="majorEastAsia" w:cstheme="majorEastAsia"/>
          <w:b/>
          <w:bCs/>
          <w:sz w:val="48"/>
          <w:szCs w:val="48"/>
        </w:rPr>
        <w:t>2019年部门决算</w:t>
      </w: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400" w:lineRule="exact"/>
        <w:ind w:firstLine="2570" w:firstLineChars="800"/>
        <w:rPr>
          <w:rFonts w:asciiTheme="majorEastAsia" w:hAnsiTheme="majorEastAsia" w:eastAsiaTheme="majorEastAsia" w:cstheme="majorEastAsia"/>
          <w:b/>
          <w:bCs/>
          <w:sz w:val="32"/>
          <w:szCs w:val="32"/>
        </w:rPr>
      </w:pPr>
    </w:p>
    <w:p>
      <w:pPr>
        <w:spacing w:line="400" w:lineRule="exact"/>
        <w:ind w:firstLine="2570" w:firstLineChars="800"/>
        <w:rPr>
          <w:rFonts w:asciiTheme="majorEastAsia" w:hAnsiTheme="majorEastAsia" w:eastAsiaTheme="majorEastAsia" w:cstheme="majorEastAsia"/>
          <w:b/>
          <w:bCs/>
          <w:sz w:val="32"/>
          <w:szCs w:val="32"/>
        </w:rPr>
      </w:pPr>
    </w:p>
    <w:p>
      <w:pPr>
        <w:spacing w:line="400" w:lineRule="exact"/>
        <w:ind w:firstLine="2088" w:firstLineChars="650"/>
        <w:rPr>
          <w:rFonts w:hint="eastAsia" w:asciiTheme="majorEastAsia" w:hAnsiTheme="majorEastAsia" w:eastAsiaTheme="majorEastAsia" w:cstheme="majorEastAsia"/>
          <w:b/>
          <w:bCs/>
          <w:color w:val="auto"/>
          <w:sz w:val="32"/>
          <w:szCs w:val="32"/>
          <w:lang w:val="en-US" w:eastAsia="zh-CN"/>
        </w:rPr>
      </w:pPr>
      <w:r>
        <w:rPr>
          <w:rFonts w:hint="eastAsia" w:asciiTheme="majorEastAsia" w:hAnsiTheme="majorEastAsia" w:eastAsiaTheme="majorEastAsia" w:cstheme="majorEastAsia"/>
          <w:b/>
          <w:bCs/>
          <w:color w:val="auto"/>
          <w:sz w:val="32"/>
          <w:szCs w:val="32"/>
        </w:rPr>
        <w:t>保密审查情况：</w:t>
      </w:r>
      <w:r>
        <w:rPr>
          <w:rFonts w:hint="eastAsia" w:asciiTheme="majorEastAsia" w:hAnsiTheme="majorEastAsia" w:eastAsiaTheme="majorEastAsia" w:cstheme="majorEastAsia"/>
          <w:b/>
          <w:bCs/>
          <w:color w:val="auto"/>
          <w:sz w:val="32"/>
          <w:szCs w:val="32"/>
          <w:lang w:eastAsia="zh-CN"/>
        </w:rPr>
        <w:t>已审查</w:t>
      </w:r>
    </w:p>
    <w:p>
      <w:pPr>
        <w:spacing w:line="400" w:lineRule="exact"/>
        <w:jc w:val="center"/>
        <w:rPr>
          <w:rFonts w:ascii="宋体" w:hAnsi="宋体" w:cs="宋体"/>
          <w:b/>
          <w:bCs/>
          <w:color w:val="auto"/>
          <w:sz w:val="32"/>
          <w:szCs w:val="32"/>
        </w:rPr>
      </w:pPr>
    </w:p>
    <w:p>
      <w:pPr>
        <w:spacing w:line="400" w:lineRule="exact"/>
        <w:ind w:firstLine="2088" w:firstLineChars="650"/>
        <w:rPr>
          <w:rFonts w:hint="eastAsia" w:ascii="宋体" w:hAnsi="宋体" w:eastAsia="宋体" w:cs="宋体"/>
          <w:b/>
          <w:bCs/>
          <w:color w:val="auto"/>
          <w:sz w:val="32"/>
          <w:szCs w:val="32"/>
          <w:lang w:eastAsia="zh-CN"/>
        </w:rPr>
      </w:pPr>
      <w:r>
        <w:rPr>
          <w:rFonts w:hint="eastAsia" w:ascii="宋体" w:hAnsi="宋体" w:cs="宋体"/>
          <w:b/>
          <w:bCs/>
          <w:color w:val="auto"/>
          <w:sz w:val="32"/>
          <w:szCs w:val="32"/>
        </w:rPr>
        <w:t>部门主要负责人审签情况：</w:t>
      </w:r>
      <w:r>
        <w:rPr>
          <w:rFonts w:hint="eastAsia" w:ascii="宋体" w:hAnsi="宋体" w:cs="宋体"/>
          <w:b/>
          <w:bCs/>
          <w:color w:val="auto"/>
          <w:sz w:val="32"/>
          <w:szCs w:val="32"/>
          <w:lang w:eastAsia="zh-CN"/>
        </w:rPr>
        <w:t>已</w:t>
      </w:r>
      <w:r>
        <w:rPr>
          <w:rFonts w:hint="eastAsia" w:ascii="宋体" w:hAnsi="宋体" w:cs="宋体"/>
          <w:b/>
          <w:bCs/>
          <w:color w:val="auto"/>
          <w:sz w:val="32"/>
          <w:szCs w:val="32"/>
        </w:rPr>
        <w:t>审签</w:t>
      </w:r>
    </w:p>
    <w:p>
      <w:pPr>
        <w:spacing w:line="400" w:lineRule="exact"/>
        <w:rPr>
          <w:rFonts w:ascii="宋体" w:hAnsi="宋体" w:cs="宋体"/>
          <w:b/>
          <w:bCs/>
          <w:sz w:val="32"/>
          <w:szCs w:val="32"/>
        </w:rPr>
      </w:pPr>
      <w:r>
        <w:rPr>
          <w:rFonts w:hint="eastAsia" w:ascii="宋体" w:hAnsi="宋体" w:cs="宋体"/>
          <w:b/>
          <w:bCs/>
          <w:sz w:val="32"/>
          <w:szCs w:val="32"/>
        </w:rPr>
        <w:t xml:space="preserve"> </w:t>
      </w:r>
      <w:r>
        <w:rPr>
          <w:rFonts w:ascii="宋体" w:hAnsi="宋体" w:cs="宋体"/>
          <w:b/>
          <w:bCs/>
          <w:sz w:val="32"/>
          <w:szCs w:val="32"/>
        </w:rPr>
        <w:t xml:space="preserve">               </w:t>
      </w:r>
    </w:p>
    <w:p>
      <w:pPr>
        <w:spacing w:line="400" w:lineRule="exact"/>
        <w:rPr>
          <w:rFonts w:ascii="宋体" w:hAnsi="宋体" w:cs="宋体"/>
          <w:b/>
          <w:bCs/>
          <w:sz w:val="32"/>
          <w:szCs w:val="32"/>
        </w:rPr>
      </w:pPr>
      <w:r>
        <w:rPr>
          <w:rFonts w:hint="eastAsia" w:ascii="宋体" w:hAnsi="宋体" w:cs="宋体"/>
          <w:b/>
          <w:bCs/>
          <w:sz w:val="32"/>
          <w:szCs w:val="32"/>
        </w:rPr>
        <w:t xml:space="preserve"> </w:t>
      </w:r>
      <w:r>
        <w:rPr>
          <w:rFonts w:ascii="宋体" w:hAnsi="宋体" w:cs="宋体"/>
          <w:b/>
          <w:bCs/>
          <w:sz w:val="32"/>
          <w:szCs w:val="32"/>
        </w:rPr>
        <w:t xml:space="preserve">               </w:t>
      </w:r>
    </w:p>
    <w:p>
      <w:pPr>
        <w:jc w:val="center"/>
        <w:rPr>
          <w:rFonts w:ascii="黑体" w:hAnsi="宋体" w:eastAsia="黑体"/>
          <w:bCs/>
          <w:color w:val="000000"/>
          <w:kern w:val="0"/>
          <w:sz w:val="36"/>
          <w:szCs w:val="36"/>
          <w:lang w:bidi="ar"/>
        </w:rPr>
      </w:pPr>
      <w:r>
        <w:rPr>
          <w:rFonts w:ascii="黑体" w:hAnsi="宋体" w:eastAsia="黑体"/>
          <w:b/>
          <w:color w:val="000000"/>
          <w:kern w:val="0"/>
          <w:sz w:val="56"/>
          <w:szCs w:val="56"/>
          <w:lang w:bidi="ar"/>
        </w:rPr>
        <w:br w:type="page"/>
      </w:r>
      <w:r>
        <w:rPr>
          <w:rFonts w:ascii="黑体" w:hAnsi="宋体" w:eastAsia="黑体"/>
          <w:bCs/>
          <w:color w:val="000000"/>
          <w:kern w:val="0"/>
          <w:sz w:val="36"/>
          <w:szCs w:val="36"/>
          <w:lang w:bidi="ar"/>
        </w:rPr>
        <w:t>目</w:t>
      </w:r>
      <w:r>
        <w:rPr>
          <w:rFonts w:hint="eastAsia" w:ascii="黑体" w:hAnsi="宋体" w:eastAsia="黑体"/>
          <w:bCs/>
          <w:color w:val="000000"/>
          <w:kern w:val="0"/>
          <w:sz w:val="36"/>
          <w:szCs w:val="36"/>
          <w:lang w:bidi="ar"/>
        </w:rPr>
        <w:t xml:space="preserve">  </w:t>
      </w:r>
      <w:r>
        <w:rPr>
          <w:rFonts w:ascii="黑体" w:hAnsi="宋体" w:eastAsia="黑体"/>
          <w:bCs/>
          <w:color w:val="000000"/>
          <w:kern w:val="0"/>
          <w:sz w:val="36"/>
          <w:szCs w:val="36"/>
          <w:lang w:bidi="ar"/>
        </w:rPr>
        <w:t>录</w:t>
      </w:r>
    </w:p>
    <w:p>
      <w:pPr>
        <w:widowControl/>
        <w:jc w:val="center"/>
      </w:pPr>
      <w:r>
        <w:rPr>
          <w:rFonts w:hint="eastAsia" w:ascii="黑体" w:hAnsi="宋体" w:eastAsia="黑体"/>
          <w:color w:val="000000"/>
          <w:kern w:val="0"/>
          <w:sz w:val="32"/>
          <w:szCs w:val="32"/>
          <w:lang w:bidi="ar"/>
        </w:rPr>
        <w:t xml:space="preserve">第一部分 </w:t>
      </w:r>
      <w:r>
        <w:rPr>
          <w:rFonts w:ascii="黑体" w:hAnsi="宋体" w:eastAsia="黑体"/>
          <w:color w:val="000000"/>
          <w:kern w:val="0"/>
          <w:sz w:val="32"/>
          <w:szCs w:val="32"/>
          <w:lang w:bidi="ar"/>
        </w:rPr>
        <w:t xml:space="preserve"> </w:t>
      </w:r>
      <w:r>
        <w:rPr>
          <w:rFonts w:hint="eastAsia" w:ascii="黑体" w:hAnsi="宋体" w:eastAsia="黑体"/>
          <w:color w:val="000000"/>
          <w:kern w:val="0"/>
          <w:sz w:val="32"/>
          <w:szCs w:val="32"/>
          <w:lang w:bidi="ar"/>
        </w:rPr>
        <w:t>部门概况</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一、部门主要职责及内设机构</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二、部门决算单位构成</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三、部门人员情况</w:t>
      </w:r>
    </w:p>
    <w:p>
      <w:pPr>
        <w:widowControl/>
        <w:jc w:val="center"/>
      </w:pPr>
      <w:r>
        <w:rPr>
          <w:rFonts w:hint="eastAsia" w:ascii="黑体" w:hAnsi="宋体" w:eastAsia="黑体"/>
          <w:color w:val="000000"/>
          <w:kern w:val="0"/>
          <w:sz w:val="32"/>
          <w:szCs w:val="32"/>
          <w:lang w:bidi="ar"/>
        </w:rPr>
        <w:t>第二部分  2019年部门决算表</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一、收入支出决算总表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二、收入决算总表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三、支出决算总表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四、财政拨款收入支出决算总表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五、一般公共预算财政拨款支出决算表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六、一般公共预算财政拨款基本支出决算表    </w:t>
      </w:r>
    </w:p>
    <w:p>
      <w:pPr>
        <w:widowControl/>
        <w:ind w:left="640" w:hanging="640" w:hangingChars="200"/>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七、一般公共预算财政拨款“三公”经费及会议费、培训费支出决算表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八、政府性基金预算财政拨款收入支出决算表</w:t>
      </w:r>
    </w:p>
    <w:p>
      <w:pPr>
        <w:widowControl/>
        <w:jc w:val="center"/>
      </w:pPr>
      <w:r>
        <w:rPr>
          <w:rFonts w:hint="eastAsia" w:ascii="黑体" w:hAnsi="宋体" w:eastAsia="黑体"/>
          <w:color w:val="000000"/>
          <w:kern w:val="0"/>
          <w:sz w:val="32"/>
          <w:szCs w:val="32"/>
          <w:lang w:bidi="ar"/>
        </w:rPr>
        <w:t xml:space="preserve">第三部分 </w:t>
      </w:r>
      <w:r>
        <w:rPr>
          <w:rFonts w:ascii="黑体" w:hAnsi="宋体" w:eastAsia="黑体"/>
          <w:color w:val="000000"/>
          <w:kern w:val="0"/>
          <w:sz w:val="32"/>
          <w:szCs w:val="32"/>
          <w:lang w:bidi="ar"/>
        </w:rPr>
        <w:t xml:space="preserve"> </w:t>
      </w:r>
      <w:r>
        <w:rPr>
          <w:rFonts w:hint="eastAsia" w:ascii="黑体" w:hAnsi="宋体" w:eastAsia="黑体"/>
          <w:color w:val="000000"/>
          <w:kern w:val="0"/>
          <w:sz w:val="32"/>
          <w:szCs w:val="32"/>
          <w:lang w:bidi="ar"/>
        </w:rPr>
        <w:t>2019年部门决算情况说明</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一、收入支出决算总体情况说明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二、收入决算情况说明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三、支出决算情况说明    </w:t>
      </w:r>
    </w:p>
    <w:p>
      <w:pPr>
        <w:widowControl/>
        <w:jc w:val="left"/>
        <w:rPr>
          <w:rFonts w:ascii="楷体" w:hAnsi="楷体" w:eastAsia="楷体" w:cs="楷体"/>
        </w:rPr>
      </w:pPr>
      <w:r>
        <w:rPr>
          <w:rFonts w:hint="eastAsia" w:ascii="仿宋" w:hAnsi="仿宋" w:eastAsia="仿宋" w:cs="楷体"/>
          <w:color w:val="000000"/>
          <w:kern w:val="0"/>
          <w:sz w:val="32"/>
          <w:szCs w:val="32"/>
          <w:lang w:bidi="ar"/>
        </w:rPr>
        <w:t xml:space="preserve">四、财政拨款收入支出决算总体情况说明   </w:t>
      </w:r>
      <w:r>
        <w:rPr>
          <w:rFonts w:hint="eastAsia" w:ascii="楷体" w:hAnsi="楷体" w:eastAsia="楷体"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五、一般公共预算财政拨款支出决算情况说明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（一）财政拨款支出决算总体情况说明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（二）财政拨款支出决算具体情况说明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六、一般公共预算财政拨款基本支出决算情况说明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七、一般公共预算财政拨款“三公”经费及会议费、培训费支出决算情况说明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（一）“三公”经费财政拨款支出决算总体情况说明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（二）“三公”经费财政拨款支出决算具体情况说明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（三）培训费支出情况说明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（四）会议费支出情况说明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八、政府性基金预算财政拨款收入支出情况说明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九、预算绩效情况说明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（一）预算绩效管理工作开展情况说明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（二）部门决算中项目绩效自评结果</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十、其他重要事项说明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（一）机关运行经费支出情况说明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（二）政府采购支出情况说明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（三）国有资产占用及购置情况说明 </w:t>
      </w:r>
    </w:p>
    <w:p>
      <w:pPr>
        <w:jc w:val="center"/>
        <w:rPr>
          <w:rFonts w:ascii="黑体" w:hAnsi="宋体" w:eastAsia="黑体"/>
          <w:color w:val="000000"/>
          <w:kern w:val="0"/>
          <w:sz w:val="32"/>
          <w:szCs w:val="32"/>
          <w:lang w:bidi="ar"/>
        </w:rPr>
      </w:pPr>
      <w:r>
        <w:rPr>
          <w:rFonts w:hint="eastAsia" w:ascii="黑体" w:hAnsi="宋体" w:eastAsia="黑体"/>
          <w:color w:val="000000"/>
          <w:kern w:val="0"/>
          <w:sz w:val="32"/>
          <w:szCs w:val="32"/>
          <w:lang w:bidi="ar"/>
        </w:rPr>
        <w:t>第四部分 专业名词解释</w:t>
      </w:r>
    </w:p>
    <w:p>
      <w:pPr>
        <w:jc w:val="center"/>
        <w:rPr>
          <w:rFonts w:ascii="宋体" w:hAnsi="宋体" w:cs="宋体"/>
          <w:b/>
          <w:bCs/>
          <w:sz w:val="44"/>
          <w:szCs w:val="44"/>
        </w:rPr>
      </w:pPr>
    </w:p>
    <w:p>
      <w:pPr>
        <w:jc w:val="center"/>
        <w:rPr>
          <w:rFonts w:ascii="黑体" w:hAnsi="宋体" w:eastAsia="黑体"/>
          <w:color w:val="000000"/>
          <w:kern w:val="0"/>
          <w:sz w:val="44"/>
          <w:szCs w:val="44"/>
          <w:lang w:bidi="ar"/>
        </w:rPr>
      </w:pPr>
      <w:r>
        <w:rPr>
          <w:rFonts w:hint="eastAsia" w:ascii="黑体" w:hAnsi="宋体" w:eastAsia="黑体"/>
          <w:color w:val="000000"/>
          <w:kern w:val="0"/>
          <w:sz w:val="44"/>
          <w:szCs w:val="44"/>
          <w:lang w:bidi="ar"/>
        </w:rPr>
        <w:t>第一部分 部门</w:t>
      </w:r>
      <w:r>
        <w:rPr>
          <w:rFonts w:ascii="黑体" w:hAnsi="宋体" w:eastAsia="黑体"/>
          <w:color w:val="000000"/>
          <w:kern w:val="0"/>
          <w:sz w:val="44"/>
          <w:szCs w:val="44"/>
          <w:lang w:bidi="ar"/>
        </w:rPr>
        <w:t>概况</w:t>
      </w:r>
    </w:p>
    <w:p>
      <w:pPr>
        <w:widowControl/>
        <w:ind w:firstLine="640" w:firstLineChars="200"/>
        <w:jc w:val="left"/>
        <w:rPr>
          <w:rFonts w:ascii="黑体" w:hAnsi="宋体" w:eastAsia="黑体"/>
          <w:color w:val="000000"/>
          <w:kern w:val="0"/>
          <w:sz w:val="32"/>
          <w:szCs w:val="32"/>
          <w:lang w:bidi="ar"/>
        </w:rPr>
      </w:pPr>
      <w:r>
        <w:rPr>
          <w:rFonts w:hint="eastAsia" w:ascii="黑体" w:hAnsi="宋体" w:eastAsia="黑体"/>
          <w:color w:val="000000"/>
          <w:kern w:val="0"/>
          <w:sz w:val="32"/>
          <w:szCs w:val="32"/>
          <w:lang w:bidi="ar"/>
        </w:rPr>
        <w:t>一、部门主要职责及内设机构</w:t>
      </w:r>
    </w:p>
    <w:p>
      <w:pPr>
        <w:widowControl/>
        <w:ind w:firstLine="643" w:firstLineChars="200"/>
        <w:jc w:val="left"/>
        <w:rPr>
          <w:rFonts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（一）主要职责</w:t>
      </w:r>
    </w:p>
    <w:p>
      <w:pPr>
        <w:widowControl/>
        <w:spacing w:line="360" w:lineRule="auto"/>
        <w:ind w:firstLine="600" w:firstLineChars="200"/>
        <w:jc w:val="left"/>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lang w:eastAsia="zh-CN"/>
        </w:rPr>
        <w:t>龙洲</w:t>
      </w:r>
      <w:r>
        <w:rPr>
          <w:rFonts w:hint="eastAsia" w:ascii="仿宋_GB2312" w:hAnsi="微软雅黑" w:eastAsia="仿宋_GB2312" w:cs="宋体"/>
          <w:color w:val="000000"/>
          <w:kern w:val="0"/>
          <w:sz w:val="30"/>
          <w:szCs w:val="30"/>
        </w:rPr>
        <w:t>镇人民政府是本级人民代表大会的执行机关，是地方国家行政机关。主要职责为：</w:t>
      </w:r>
    </w:p>
    <w:p>
      <w:pPr>
        <w:widowControl/>
        <w:spacing w:line="360" w:lineRule="auto"/>
        <w:jc w:val="left"/>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　　1、执行本级人民代表大会的决议和上级国家行政机关的决定和命令，发布决定和命令；对本级人民代表大会和县人民政府负责报告工作。</w:t>
      </w:r>
    </w:p>
    <w:p>
      <w:pPr>
        <w:widowControl/>
        <w:spacing w:line="360" w:lineRule="auto"/>
        <w:jc w:val="left"/>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　　2、贯彻和执行党和国家的各项方针、政策及法律、法规，依法制定行政措施和实施方案。</w:t>
      </w:r>
    </w:p>
    <w:p>
      <w:pPr>
        <w:widowControl/>
        <w:spacing w:line="360" w:lineRule="auto"/>
        <w:jc w:val="left"/>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　　3、研究制定、执行本镇经济建设和社会发展规划、政策，执行本行政区域内的经济和社会发展计划、预算。</w:t>
      </w:r>
    </w:p>
    <w:p>
      <w:pPr>
        <w:widowControl/>
        <w:spacing w:line="360" w:lineRule="auto"/>
        <w:jc w:val="left"/>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　　4、负责本行政区域内的经济管理工作、农村基础设施建设、经济发展规划、农业生产和农村综合开发等工作；负责本行政区域内农村财务指导、监督和管理工作；负责本行政区域内农村土地承包管理和农村经济发展统计工作，保障农村集体经济组织和农民应有的生产经营自主权，加强农村劳动力技能培训，引导农民进行科学化、现代化农业生产，以及农村剩余劳动力就业和转移，进一步提高农民的收入。</w:t>
      </w:r>
    </w:p>
    <w:p>
      <w:pPr>
        <w:widowControl/>
        <w:spacing w:line="360" w:lineRule="auto"/>
        <w:jc w:val="left"/>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　　5、负责本行政区域内教育、科学、文化、卫生和体育事业的发展工作，做好农村合作医疗保障和环境卫生服务工作；负责本行政区域内计划生育行政管理工作，以及计划生育服务、宣传和流动人口管理；负责本级政府的财政收支、宗教和民政工作，做好救灾救济和社会保障等工作。</w:t>
      </w:r>
    </w:p>
    <w:p>
      <w:pPr>
        <w:widowControl/>
        <w:spacing w:line="360" w:lineRule="auto"/>
        <w:jc w:val="left"/>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　　6、负责本行政区域内公安、司法行政管理工作，搞好社会治安综合治理，保护社会主义的全民所有的财产和劳动群众集体所有的财产，保护公民私人所有的合法财产，维护社会秩序，保障公民的人身权利、民主权利和其他权利；保护各种经济组织的合法权益；协助有关部门做好道路运输、消防、威胁化学品、农机和电网等监督管理工作，抓好本行政区域内的安全生产工作，以及事故救援、处理和善后调查等工作。</w:t>
      </w:r>
    </w:p>
    <w:p>
      <w:pPr>
        <w:widowControl/>
        <w:spacing w:line="360" w:lineRule="auto"/>
        <w:jc w:val="left"/>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　　7、保障少数民族的权利和尊重少数民族的风俗习惯；</w:t>
      </w:r>
    </w:p>
    <w:p>
      <w:pPr>
        <w:widowControl/>
        <w:spacing w:line="360" w:lineRule="auto"/>
        <w:jc w:val="left"/>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　　8、保障宪法和法律赋予妇女的男女平等、同工同酬和婚姻自由等各项权利；</w:t>
      </w:r>
    </w:p>
    <w:p>
      <w:pPr>
        <w:widowControl/>
        <w:spacing w:line="360" w:lineRule="auto"/>
        <w:jc w:val="left"/>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　　9、负责办理县委、县人民政府交办的其他事项。</w:t>
      </w:r>
    </w:p>
    <w:p>
      <w:pPr>
        <w:widowControl/>
        <w:ind w:firstLine="643" w:firstLineChars="200"/>
        <w:jc w:val="left"/>
        <w:rPr>
          <w:rFonts w:hint="eastAsia"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（二）内设机构</w:t>
      </w:r>
    </w:p>
    <w:p>
      <w:pPr>
        <w:widowControl/>
        <w:spacing w:line="360" w:lineRule="auto"/>
        <w:ind w:firstLine="600" w:firstLineChars="200"/>
        <w:jc w:val="left"/>
        <w:rPr>
          <w:rFonts w:hint="eastAsia" w:ascii="仿宋_GB2312" w:hAnsi="微软雅黑" w:eastAsia="仿宋_GB2312" w:cs="宋体"/>
          <w:color w:val="000000"/>
          <w:kern w:val="0"/>
          <w:sz w:val="30"/>
          <w:szCs w:val="30"/>
          <w:lang w:eastAsia="zh-CN"/>
        </w:rPr>
      </w:pPr>
      <w:r>
        <w:rPr>
          <w:rFonts w:hint="eastAsia" w:ascii="仿宋_GB2312" w:hAnsi="微软雅黑" w:eastAsia="仿宋_GB2312" w:cs="宋体"/>
          <w:color w:val="000000"/>
          <w:kern w:val="0"/>
          <w:sz w:val="30"/>
          <w:szCs w:val="30"/>
          <w:lang w:eastAsia="zh-CN"/>
        </w:rPr>
        <w:t>本单位内设机构</w:t>
      </w:r>
      <w:r>
        <w:rPr>
          <w:rFonts w:hint="eastAsia" w:ascii="仿宋_GB2312" w:hAnsi="微软雅黑" w:eastAsia="仿宋_GB2312" w:cs="宋体"/>
          <w:color w:val="000000"/>
          <w:kern w:val="0"/>
          <w:sz w:val="30"/>
          <w:szCs w:val="30"/>
          <w:lang w:val="en-US" w:eastAsia="zh-CN"/>
        </w:rPr>
        <w:t>6个，分别为：</w:t>
      </w:r>
      <w:r>
        <w:rPr>
          <w:rFonts w:hint="eastAsia" w:ascii="仿宋_GB2312" w:hAnsi="微软雅黑" w:eastAsia="仿宋_GB2312" w:cs="宋体"/>
          <w:color w:val="000000"/>
          <w:kern w:val="0"/>
          <w:sz w:val="30"/>
          <w:szCs w:val="30"/>
          <w:lang w:eastAsia="zh-CN"/>
        </w:rPr>
        <w:t>龙洲</w:t>
      </w:r>
      <w:r>
        <w:rPr>
          <w:rFonts w:hint="eastAsia" w:ascii="仿宋_GB2312" w:hAnsi="微软雅黑" w:eastAsia="仿宋_GB2312" w:cs="宋体"/>
          <w:color w:val="000000"/>
          <w:kern w:val="0"/>
          <w:sz w:val="30"/>
          <w:szCs w:val="30"/>
        </w:rPr>
        <w:t>镇人民政府机关</w:t>
      </w:r>
      <w:r>
        <w:rPr>
          <w:rFonts w:hint="eastAsia" w:ascii="仿宋_GB2312" w:hAnsi="微软雅黑" w:eastAsia="仿宋_GB2312" w:cs="宋体"/>
          <w:color w:val="000000"/>
          <w:kern w:val="0"/>
          <w:sz w:val="30"/>
          <w:szCs w:val="30"/>
          <w:lang w:eastAsia="zh-CN"/>
        </w:rPr>
        <w:t>、龙洲</w:t>
      </w:r>
      <w:r>
        <w:rPr>
          <w:rFonts w:hint="eastAsia" w:ascii="仿宋_GB2312" w:hAnsi="微软雅黑" w:eastAsia="仿宋_GB2312" w:cs="宋体"/>
          <w:color w:val="000000"/>
          <w:kern w:val="0"/>
          <w:sz w:val="30"/>
          <w:szCs w:val="30"/>
        </w:rPr>
        <w:t>镇财政所</w:t>
      </w:r>
      <w:r>
        <w:rPr>
          <w:rFonts w:hint="eastAsia" w:ascii="仿宋_GB2312" w:hAnsi="微软雅黑" w:eastAsia="仿宋_GB2312" w:cs="宋体"/>
          <w:color w:val="000000"/>
          <w:kern w:val="0"/>
          <w:sz w:val="30"/>
          <w:szCs w:val="30"/>
          <w:lang w:eastAsia="zh-CN"/>
        </w:rPr>
        <w:t>、龙洲</w:t>
      </w:r>
      <w:r>
        <w:rPr>
          <w:rFonts w:hint="eastAsia" w:ascii="仿宋_GB2312" w:hAnsi="微软雅黑" w:eastAsia="仿宋_GB2312" w:cs="宋体"/>
          <w:color w:val="000000"/>
          <w:kern w:val="0"/>
          <w:sz w:val="30"/>
          <w:szCs w:val="30"/>
        </w:rPr>
        <w:t>镇农业技术服务站</w:t>
      </w:r>
      <w:r>
        <w:rPr>
          <w:rFonts w:hint="eastAsia" w:ascii="仿宋_GB2312" w:hAnsi="微软雅黑" w:eastAsia="仿宋_GB2312" w:cs="宋体"/>
          <w:color w:val="000000"/>
          <w:kern w:val="0"/>
          <w:sz w:val="30"/>
          <w:szCs w:val="30"/>
          <w:lang w:eastAsia="zh-CN"/>
        </w:rPr>
        <w:t>、龙洲</w:t>
      </w:r>
      <w:r>
        <w:rPr>
          <w:rFonts w:hint="eastAsia" w:ascii="仿宋_GB2312" w:hAnsi="微软雅黑" w:eastAsia="仿宋_GB2312" w:cs="宋体"/>
          <w:color w:val="000000"/>
          <w:kern w:val="0"/>
          <w:sz w:val="30"/>
          <w:szCs w:val="30"/>
        </w:rPr>
        <w:t>镇社会保障事务所</w:t>
      </w:r>
      <w:r>
        <w:rPr>
          <w:rFonts w:hint="eastAsia" w:ascii="仿宋_GB2312" w:hAnsi="微软雅黑" w:eastAsia="仿宋_GB2312" w:cs="宋体"/>
          <w:color w:val="000000"/>
          <w:kern w:val="0"/>
          <w:sz w:val="30"/>
          <w:szCs w:val="30"/>
          <w:lang w:eastAsia="zh-CN"/>
        </w:rPr>
        <w:t>、龙洲</w:t>
      </w:r>
      <w:r>
        <w:rPr>
          <w:rFonts w:hint="eastAsia" w:ascii="仿宋_GB2312" w:hAnsi="微软雅黑" w:eastAsia="仿宋_GB2312" w:cs="宋体"/>
          <w:color w:val="000000"/>
          <w:kern w:val="0"/>
          <w:sz w:val="30"/>
          <w:szCs w:val="30"/>
        </w:rPr>
        <w:t>镇计生站</w:t>
      </w:r>
      <w:r>
        <w:rPr>
          <w:rFonts w:hint="eastAsia" w:ascii="仿宋_GB2312" w:hAnsi="微软雅黑" w:eastAsia="仿宋_GB2312" w:cs="宋体"/>
          <w:color w:val="000000"/>
          <w:kern w:val="0"/>
          <w:sz w:val="30"/>
          <w:szCs w:val="30"/>
          <w:lang w:eastAsia="zh-CN"/>
        </w:rPr>
        <w:t>龙洲</w:t>
      </w:r>
      <w:r>
        <w:rPr>
          <w:rFonts w:hint="eastAsia" w:ascii="仿宋_GB2312" w:hAnsi="微软雅黑" w:eastAsia="仿宋_GB2312" w:cs="宋体"/>
          <w:color w:val="000000"/>
          <w:kern w:val="0"/>
          <w:sz w:val="30"/>
          <w:szCs w:val="30"/>
        </w:rPr>
        <w:t>镇计生站</w:t>
      </w:r>
      <w:r>
        <w:rPr>
          <w:rFonts w:hint="eastAsia" w:ascii="仿宋_GB2312" w:hAnsi="微软雅黑" w:eastAsia="仿宋_GB2312" w:cs="宋体"/>
          <w:color w:val="000000"/>
          <w:kern w:val="0"/>
          <w:sz w:val="30"/>
          <w:szCs w:val="30"/>
          <w:lang w:eastAsia="zh-CN"/>
        </w:rPr>
        <w:t>、龙洲</w:t>
      </w:r>
      <w:r>
        <w:rPr>
          <w:rFonts w:hint="eastAsia" w:ascii="仿宋_GB2312" w:hAnsi="微软雅黑" w:eastAsia="仿宋_GB2312" w:cs="宋体"/>
          <w:color w:val="000000"/>
          <w:kern w:val="0"/>
          <w:sz w:val="30"/>
          <w:szCs w:val="30"/>
        </w:rPr>
        <w:t>镇文广站</w:t>
      </w:r>
      <w:r>
        <w:rPr>
          <w:rFonts w:hint="eastAsia" w:ascii="仿宋_GB2312" w:hAnsi="微软雅黑" w:eastAsia="仿宋_GB2312" w:cs="宋体"/>
          <w:color w:val="000000"/>
          <w:kern w:val="0"/>
          <w:sz w:val="30"/>
          <w:szCs w:val="30"/>
          <w:lang w:eastAsia="zh-CN"/>
        </w:rPr>
        <w:t>。</w:t>
      </w:r>
    </w:p>
    <w:p>
      <w:pPr>
        <w:widowControl/>
        <w:ind w:firstLine="640" w:firstLineChars="200"/>
        <w:jc w:val="left"/>
      </w:pPr>
      <w:r>
        <w:rPr>
          <w:rFonts w:ascii="黑体" w:hAnsi="宋体" w:eastAsia="黑体"/>
          <w:color w:val="000000"/>
          <w:kern w:val="0"/>
          <w:sz w:val="32"/>
          <w:szCs w:val="32"/>
          <w:lang w:bidi="ar"/>
        </w:rPr>
        <w:t>二、</w:t>
      </w:r>
      <w:r>
        <w:rPr>
          <w:rFonts w:hint="eastAsia" w:ascii="黑体" w:hAnsi="宋体" w:eastAsia="黑体"/>
          <w:color w:val="000000"/>
          <w:kern w:val="0"/>
          <w:sz w:val="32"/>
          <w:szCs w:val="32"/>
          <w:lang w:bidi="ar"/>
        </w:rPr>
        <w:t>部门决算单位构成</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纳入2019年本部门决算编制范围的单位共</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sz w:val="32"/>
          <w:szCs w:val="32"/>
        </w:rPr>
        <w:t>个，包括本级及所属</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sz w:val="32"/>
          <w:szCs w:val="32"/>
        </w:rPr>
        <w:t>个</w:t>
      </w:r>
      <w:r>
        <w:rPr>
          <w:rFonts w:ascii="仿宋_GB2312" w:hAnsi="仿宋_GB2312" w:eastAsia="仿宋_GB2312" w:cs="仿宋_GB2312"/>
          <w:color w:val="000000"/>
          <w:kern w:val="0"/>
          <w:sz w:val="31"/>
          <w:szCs w:val="31"/>
          <w:lang w:bidi="ar"/>
        </w:rPr>
        <w:t>二级预算</w:t>
      </w:r>
      <w:r>
        <w:rPr>
          <w:rFonts w:hint="eastAsia" w:ascii="仿宋_GB2312" w:hAnsi="仿宋_GB2312" w:eastAsia="仿宋_GB2312" w:cs="仿宋_GB2312"/>
          <w:sz w:val="32"/>
          <w:szCs w:val="32"/>
        </w:rPr>
        <w:t>单位：</w:t>
      </w:r>
    </w:p>
    <w:tbl>
      <w:tblPr>
        <w:tblStyle w:val="9"/>
        <w:tblW w:w="8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7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681" w:type="dxa"/>
            <w:vAlign w:val="center"/>
          </w:tcPr>
          <w:p>
            <w:pPr>
              <w:jc w:val="center"/>
              <w:rPr>
                <w:rFonts w:ascii="黑体" w:hAnsi="黑体" w:eastAsia="黑体"/>
                <w:sz w:val="32"/>
                <w:szCs w:val="32"/>
              </w:rPr>
            </w:pPr>
            <w:r>
              <w:rPr>
                <w:rFonts w:hint="eastAsia" w:ascii="黑体" w:hAnsi="黑体" w:eastAsia="黑体"/>
                <w:sz w:val="32"/>
                <w:szCs w:val="32"/>
              </w:rPr>
              <w:t>序号</w:t>
            </w:r>
          </w:p>
        </w:tc>
        <w:tc>
          <w:tcPr>
            <w:tcW w:w="7278" w:type="dxa"/>
            <w:vAlign w:val="center"/>
          </w:tcPr>
          <w:p>
            <w:pPr>
              <w:jc w:val="center"/>
              <w:rPr>
                <w:rFonts w:ascii="黑体" w:hAnsi="黑体" w:eastAsia="黑体"/>
                <w:sz w:val="32"/>
                <w:szCs w:val="32"/>
              </w:rPr>
            </w:pPr>
            <w:r>
              <w:rPr>
                <w:rFonts w:hint="eastAsia" w:ascii="黑体" w:hAnsi="黑体" w:eastAsia="黑体"/>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681"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7278" w:type="dxa"/>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靖边县</w:t>
            </w:r>
            <w:r>
              <w:rPr>
                <w:rFonts w:hint="eastAsia" w:ascii="仿宋_GB2312" w:hAnsi="仿宋_GB2312" w:eastAsia="仿宋_GB2312" w:cs="仿宋_GB2312"/>
                <w:sz w:val="32"/>
                <w:szCs w:val="32"/>
                <w:lang w:eastAsia="zh-CN"/>
              </w:rPr>
              <w:t>龙洲</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681"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7278"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靖边县</w:t>
            </w:r>
            <w:r>
              <w:rPr>
                <w:rFonts w:hint="eastAsia" w:ascii="仿宋_GB2312" w:hAnsi="仿宋_GB2312" w:eastAsia="仿宋_GB2312" w:cs="仿宋_GB2312"/>
                <w:sz w:val="32"/>
                <w:szCs w:val="32"/>
                <w:lang w:eastAsia="zh-CN"/>
              </w:rPr>
              <w:t>龙洲</w:t>
            </w:r>
            <w:r>
              <w:rPr>
                <w:rFonts w:hint="eastAsia" w:ascii="仿宋_GB2312" w:hAnsi="仿宋_GB2312" w:eastAsia="仿宋_GB2312" w:cs="仿宋_GB2312"/>
                <w:sz w:val="32"/>
                <w:szCs w:val="32"/>
              </w:rPr>
              <w:t>镇农业综合服务站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681"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7278"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靖边县</w:t>
            </w:r>
            <w:r>
              <w:rPr>
                <w:rFonts w:hint="eastAsia" w:ascii="仿宋_GB2312" w:hAnsi="仿宋_GB2312" w:eastAsia="仿宋_GB2312" w:cs="仿宋_GB2312"/>
                <w:sz w:val="32"/>
                <w:szCs w:val="32"/>
                <w:lang w:eastAsia="zh-CN"/>
              </w:rPr>
              <w:t>龙洲</w:t>
            </w:r>
            <w:r>
              <w:rPr>
                <w:rFonts w:hint="eastAsia" w:ascii="仿宋_GB2312" w:hAnsi="仿宋_GB2312" w:eastAsia="仿宋_GB2312" w:cs="仿宋_GB2312"/>
                <w:sz w:val="32"/>
                <w:szCs w:val="32"/>
              </w:rPr>
              <w:t>镇财政所</w:t>
            </w:r>
          </w:p>
        </w:tc>
      </w:tr>
    </w:tbl>
    <w:p>
      <w:pPr>
        <w:ind w:firstLine="640"/>
        <w:rPr>
          <w:rFonts w:ascii="黑体" w:hAnsi="黑体" w:eastAsia="黑体"/>
          <w:b/>
          <w:bCs/>
          <w:sz w:val="32"/>
          <w:szCs w:val="32"/>
        </w:rPr>
      </w:pPr>
      <w:r>
        <w:rPr>
          <w:rFonts w:hint="eastAsia" w:ascii="黑体" w:hAnsi="黑体" w:eastAsia="黑体"/>
          <w:b/>
          <w:bCs/>
          <w:sz w:val="32"/>
          <w:szCs w:val="32"/>
        </w:rPr>
        <w:t>三、部门人员情况</w:t>
      </w:r>
    </w:p>
    <w:p>
      <w:pPr>
        <w:pStyle w:val="6"/>
        <w:spacing w:before="0" w:beforeAutospacing="0" w:after="0" w:afterAutospacing="0" w:line="360" w:lineRule="auto"/>
        <w:ind w:firstLine="640" w:firstLineChars="200"/>
        <w:rPr>
          <w:rFonts w:ascii="仿宋_GB2312" w:eastAsia="仿宋_GB2312"/>
          <w:color w:val="000000"/>
          <w:sz w:val="30"/>
          <w:szCs w:val="30"/>
        </w:rPr>
      </w:pPr>
      <w:r>
        <w:rPr>
          <w:rFonts w:hint="eastAsia" w:ascii="仿宋_GB2312" w:hAnsi="仿宋_GB2312" w:eastAsia="仿宋_GB2312" w:cs="仿宋_GB2312"/>
          <w:sz w:val="32"/>
          <w:szCs w:val="32"/>
        </w:rPr>
        <w:t>截止2019年底，</w:t>
      </w:r>
      <w:r>
        <w:rPr>
          <w:rFonts w:hint="eastAsia" w:ascii="仿宋_GB2312" w:hAnsi="微软雅黑" w:eastAsia="仿宋_GB2312"/>
          <w:color w:val="000000"/>
          <w:sz w:val="30"/>
          <w:szCs w:val="30"/>
          <w:lang w:eastAsia="zh-CN"/>
        </w:rPr>
        <w:t>本单位</w:t>
      </w:r>
      <w:r>
        <w:rPr>
          <w:rFonts w:hint="eastAsia" w:ascii="仿宋_GB2312" w:hAnsi="微软雅黑" w:eastAsia="仿宋_GB2312"/>
          <w:color w:val="000000"/>
          <w:sz w:val="30"/>
          <w:szCs w:val="30"/>
        </w:rPr>
        <w:t>实有人员共</w:t>
      </w:r>
      <w:r>
        <w:rPr>
          <w:rFonts w:hint="eastAsia" w:ascii="仿宋_GB2312" w:hAnsi="微软雅黑" w:eastAsia="仿宋_GB2312"/>
          <w:color w:val="000000"/>
          <w:sz w:val="30"/>
          <w:szCs w:val="30"/>
          <w:lang w:eastAsia="zh-CN"/>
        </w:rPr>
        <w:t>计</w:t>
      </w:r>
      <w:r>
        <w:rPr>
          <w:rFonts w:hint="eastAsia" w:ascii="仿宋_GB2312" w:hAnsi="微软雅黑" w:eastAsia="仿宋_GB2312"/>
          <w:color w:val="000000"/>
          <w:sz w:val="30"/>
          <w:szCs w:val="30"/>
          <w:lang w:val="en-US" w:eastAsia="zh-CN"/>
        </w:rPr>
        <w:t>57</w:t>
      </w:r>
      <w:r>
        <w:rPr>
          <w:rFonts w:hint="eastAsia" w:ascii="仿宋_GB2312" w:hAnsi="微软雅黑" w:eastAsia="仿宋_GB2312"/>
          <w:color w:val="000000"/>
          <w:sz w:val="30"/>
          <w:szCs w:val="30"/>
        </w:rPr>
        <w:t>人，其中在职</w:t>
      </w:r>
      <w:r>
        <w:rPr>
          <w:rFonts w:hint="eastAsia" w:ascii="仿宋_GB2312" w:hAnsi="微软雅黑" w:eastAsia="仿宋_GB2312"/>
          <w:color w:val="000000"/>
          <w:sz w:val="30"/>
          <w:szCs w:val="30"/>
          <w:lang w:val="en-US" w:eastAsia="zh-CN"/>
        </w:rPr>
        <w:t>49</w:t>
      </w:r>
      <w:r>
        <w:rPr>
          <w:rFonts w:hint="eastAsia" w:ascii="仿宋_GB2312" w:hAnsi="微软雅黑" w:eastAsia="仿宋_GB2312"/>
          <w:color w:val="000000"/>
          <w:sz w:val="30"/>
          <w:szCs w:val="30"/>
        </w:rPr>
        <w:t>人，离退休人员</w:t>
      </w:r>
      <w:r>
        <w:rPr>
          <w:rFonts w:hint="eastAsia" w:ascii="仿宋_GB2312" w:hAnsi="微软雅黑" w:eastAsia="仿宋_GB2312"/>
          <w:color w:val="000000"/>
          <w:sz w:val="30"/>
          <w:szCs w:val="30"/>
          <w:lang w:val="en-US" w:eastAsia="zh-CN"/>
        </w:rPr>
        <w:t>3</w:t>
      </w:r>
      <w:r>
        <w:rPr>
          <w:rFonts w:hint="eastAsia" w:ascii="仿宋_GB2312" w:hAnsi="微软雅黑" w:eastAsia="仿宋_GB2312"/>
          <w:color w:val="000000"/>
          <w:sz w:val="30"/>
          <w:szCs w:val="30"/>
        </w:rPr>
        <w:t>人，其他人员</w:t>
      </w:r>
      <w:r>
        <w:rPr>
          <w:rFonts w:hint="eastAsia" w:ascii="仿宋_GB2312" w:hAnsi="微软雅黑" w:eastAsia="仿宋_GB2312"/>
          <w:color w:val="000000"/>
          <w:sz w:val="30"/>
          <w:szCs w:val="30"/>
          <w:lang w:val="en-US" w:eastAsia="zh-CN"/>
        </w:rPr>
        <w:t>5</w:t>
      </w:r>
      <w:r>
        <w:rPr>
          <w:rFonts w:hint="eastAsia" w:ascii="仿宋_GB2312" w:hAnsi="微软雅黑" w:eastAsia="仿宋_GB2312"/>
          <w:color w:val="000000"/>
          <w:sz w:val="30"/>
          <w:szCs w:val="30"/>
        </w:rPr>
        <w:t>人。其中：</w:t>
      </w:r>
      <w:r>
        <w:rPr>
          <w:rFonts w:hint="eastAsia" w:ascii="仿宋_GB2312" w:eastAsia="仿宋_GB2312"/>
          <w:color w:val="000000"/>
          <w:sz w:val="30"/>
          <w:szCs w:val="30"/>
        </w:rPr>
        <w:t>全额行政编制</w:t>
      </w:r>
      <w:r>
        <w:rPr>
          <w:rFonts w:hint="eastAsia" w:ascii="仿宋_GB2312" w:eastAsia="仿宋_GB2312"/>
          <w:color w:val="000000"/>
          <w:sz w:val="30"/>
          <w:szCs w:val="30"/>
          <w:lang w:val="en-US" w:eastAsia="zh-CN"/>
        </w:rPr>
        <w:t>14</w:t>
      </w:r>
      <w:r>
        <w:rPr>
          <w:rFonts w:hint="eastAsia" w:ascii="仿宋_GB2312" w:eastAsia="仿宋_GB2312"/>
          <w:color w:val="000000"/>
          <w:sz w:val="30"/>
          <w:szCs w:val="30"/>
        </w:rPr>
        <w:t>人，事业编制</w:t>
      </w:r>
      <w:r>
        <w:rPr>
          <w:rFonts w:hint="eastAsia" w:ascii="仿宋_GB2312" w:eastAsia="仿宋_GB2312"/>
          <w:color w:val="000000"/>
          <w:sz w:val="30"/>
          <w:szCs w:val="30"/>
          <w:lang w:val="en-US" w:eastAsia="zh-CN"/>
        </w:rPr>
        <w:t>35</w:t>
      </w:r>
      <w:r>
        <w:rPr>
          <w:rFonts w:hint="eastAsia" w:ascii="仿宋_GB2312" w:eastAsia="仿宋_GB2312"/>
          <w:color w:val="000000"/>
          <w:sz w:val="30"/>
          <w:szCs w:val="30"/>
        </w:rPr>
        <w:t>人；退休</w:t>
      </w:r>
      <w:r>
        <w:rPr>
          <w:rFonts w:hint="eastAsia" w:ascii="仿宋_GB2312" w:eastAsia="仿宋_GB2312"/>
          <w:color w:val="000000"/>
          <w:sz w:val="30"/>
          <w:szCs w:val="30"/>
          <w:lang w:val="en-US" w:eastAsia="zh-CN"/>
        </w:rPr>
        <w:t>3</w:t>
      </w:r>
      <w:r>
        <w:rPr>
          <w:rFonts w:hint="eastAsia" w:ascii="仿宋_GB2312" w:eastAsia="仿宋_GB2312"/>
          <w:color w:val="000000"/>
          <w:sz w:val="30"/>
          <w:szCs w:val="30"/>
        </w:rPr>
        <w:t>人，遗属</w:t>
      </w:r>
      <w:r>
        <w:rPr>
          <w:rFonts w:hint="eastAsia" w:ascii="仿宋_GB2312" w:eastAsia="仿宋_GB2312"/>
          <w:color w:val="000000"/>
          <w:sz w:val="30"/>
          <w:szCs w:val="30"/>
          <w:lang w:val="en-US" w:eastAsia="zh-CN"/>
        </w:rPr>
        <w:t>3</w:t>
      </w:r>
      <w:r>
        <w:rPr>
          <w:rFonts w:hint="eastAsia" w:ascii="仿宋_GB2312" w:eastAsia="仿宋_GB2312"/>
          <w:color w:val="000000"/>
          <w:sz w:val="30"/>
          <w:szCs w:val="30"/>
        </w:rPr>
        <w:t>人、六十年代精简</w:t>
      </w:r>
      <w:r>
        <w:rPr>
          <w:rFonts w:hint="eastAsia" w:ascii="仿宋_GB2312" w:eastAsia="仿宋_GB2312"/>
          <w:color w:val="000000"/>
          <w:sz w:val="30"/>
          <w:szCs w:val="30"/>
          <w:lang w:val="en-US" w:eastAsia="zh-CN"/>
        </w:rPr>
        <w:t>2</w:t>
      </w:r>
      <w:r>
        <w:rPr>
          <w:rFonts w:hint="eastAsia" w:ascii="仿宋_GB2312" w:eastAsia="仿宋_GB2312"/>
          <w:color w:val="000000"/>
          <w:sz w:val="30"/>
          <w:szCs w:val="30"/>
        </w:rPr>
        <w:t>人。</w:t>
      </w:r>
    </w:p>
    <w:p>
      <w:pPr>
        <w:ind w:firstLine="640"/>
        <w:rPr>
          <w:rFonts w:ascii="仿宋_GB2312" w:hAnsi="仿宋_GB2312" w:eastAsia="仿宋_GB2312" w:cs="仿宋_GB2312"/>
          <w:sz w:val="32"/>
          <w:szCs w:val="32"/>
        </w:rPr>
      </w:pPr>
    </w:p>
    <w:p>
      <w:pPr>
        <w:widowControl/>
        <w:jc w:val="center"/>
        <w:rPr>
          <w:rFonts w:ascii="黑体" w:hAnsi="宋体" w:eastAsia="黑体"/>
          <w:color w:val="000000"/>
          <w:kern w:val="0"/>
          <w:sz w:val="44"/>
          <w:szCs w:val="44"/>
          <w:lang w:bidi="ar"/>
        </w:rPr>
      </w:pPr>
    </w:p>
    <w:p>
      <w:pPr>
        <w:widowControl/>
        <w:jc w:val="center"/>
        <w:rPr>
          <w:rFonts w:ascii="黑体" w:hAnsi="宋体" w:eastAsia="黑体"/>
          <w:color w:val="000000"/>
          <w:kern w:val="0"/>
          <w:sz w:val="44"/>
          <w:szCs w:val="44"/>
          <w:lang w:bidi="ar"/>
        </w:rPr>
      </w:pPr>
    </w:p>
    <w:p>
      <w:pPr>
        <w:widowControl/>
        <w:jc w:val="center"/>
        <w:rPr>
          <w:rFonts w:ascii="黑体" w:hAnsi="宋体" w:eastAsia="黑体"/>
          <w:color w:val="000000"/>
          <w:kern w:val="0"/>
          <w:sz w:val="44"/>
          <w:szCs w:val="44"/>
          <w:lang w:bidi="ar"/>
        </w:rPr>
      </w:pPr>
    </w:p>
    <w:p>
      <w:pPr>
        <w:widowControl/>
        <w:jc w:val="center"/>
        <w:rPr>
          <w:rFonts w:ascii="黑体" w:hAnsi="宋体" w:eastAsia="黑体"/>
          <w:color w:val="000000"/>
          <w:kern w:val="0"/>
          <w:sz w:val="44"/>
          <w:szCs w:val="44"/>
          <w:lang w:bidi="ar"/>
        </w:rPr>
      </w:pPr>
    </w:p>
    <w:p>
      <w:pPr>
        <w:widowControl/>
        <w:jc w:val="center"/>
        <w:rPr>
          <w:rFonts w:ascii="黑体" w:hAnsi="宋体" w:eastAsia="黑体"/>
          <w:color w:val="000000"/>
          <w:kern w:val="0"/>
          <w:sz w:val="44"/>
          <w:szCs w:val="44"/>
          <w:lang w:bidi="ar"/>
        </w:rPr>
      </w:pPr>
    </w:p>
    <w:p>
      <w:pPr>
        <w:widowControl/>
        <w:jc w:val="center"/>
        <w:rPr>
          <w:rFonts w:ascii="黑体" w:hAnsi="宋体" w:eastAsia="黑体"/>
          <w:color w:val="000000"/>
          <w:kern w:val="0"/>
          <w:sz w:val="44"/>
          <w:szCs w:val="44"/>
          <w:lang w:bidi="ar"/>
        </w:rPr>
      </w:pPr>
    </w:p>
    <w:p>
      <w:pPr>
        <w:widowControl/>
        <w:jc w:val="center"/>
        <w:rPr>
          <w:rFonts w:ascii="黑体" w:hAnsi="宋体" w:eastAsia="黑体"/>
          <w:color w:val="000000"/>
          <w:kern w:val="0"/>
          <w:sz w:val="44"/>
          <w:szCs w:val="44"/>
          <w:lang w:bidi="ar"/>
        </w:rPr>
      </w:pPr>
    </w:p>
    <w:p>
      <w:pPr>
        <w:widowControl/>
        <w:jc w:val="center"/>
        <w:rPr>
          <w:rFonts w:ascii="黑体" w:hAnsi="宋体" w:eastAsia="黑体"/>
          <w:color w:val="000000"/>
          <w:kern w:val="0"/>
          <w:sz w:val="44"/>
          <w:szCs w:val="44"/>
          <w:lang w:bidi="ar"/>
        </w:rPr>
      </w:pPr>
    </w:p>
    <w:p>
      <w:pPr>
        <w:widowControl/>
        <w:jc w:val="center"/>
        <w:rPr>
          <w:rFonts w:ascii="黑体" w:hAnsi="宋体" w:eastAsia="黑体"/>
          <w:color w:val="000000"/>
          <w:kern w:val="0"/>
          <w:sz w:val="44"/>
          <w:szCs w:val="44"/>
          <w:lang w:bidi="ar"/>
        </w:rPr>
      </w:pPr>
    </w:p>
    <w:p>
      <w:pPr>
        <w:widowControl/>
        <w:jc w:val="center"/>
        <w:rPr>
          <w:rFonts w:ascii="黑体" w:hAnsi="宋体" w:eastAsia="黑体"/>
          <w:color w:val="000000"/>
          <w:kern w:val="0"/>
          <w:sz w:val="44"/>
          <w:szCs w:val="44"/>
          <w:lang w:bidi="ar"/>
        </w:rPr>
      </w:pPr>
    </w:p>
    <w:p>
      <w:pPr>
        <w:widowControl/>
        <w:jc w:val="center"/>
        <w:rPr>
          <w:rFonts w:ascii="黑体" w:hAnsi="宋体" w:eastAsia="黑体"/>
          <w:color w:val="000000"/>
          <w:kern w:val="0"/>
          <w:sz w:val="44"/>
          <w:szCs w:val="44"/>
          <w:lang w:bidi="ar"/>
        </w:rPr>
      </w:pPr>
    </w:p>
    <w:p>
      <w:pPr>
        <w:widowControl/>
        <w:jc w:val="center"/>
        <w:rPr>
          <w:rFonts w:ascii="黑体" w:hAnsi="宋体" w:eastAsia="黑体"/>
          <w:color w:val="000000"/>
          <w:kern w:val="0"/>
          <w:sz w:val="44"/>
          <w:szCs w:val="44"/>
          <w:lang w:bidi="ar"/>
        </w:rPr>
      </w:pPr>
    </w:p>
    <w:p>
      <w:pPr>
        <w:widowControl/>
        <w:jc w:val="center"/>
        <w:rPr>
          <w:rFonts w:ascii="黑体" w:hAnsi="宋体" w:eastAsia="黑体"/>
          <w:color w:val="000000"/>
          <w:kern w:val="0"/>
          <w:sz w:val="44"/>
          <w:szCs w:val="44"/>
          <w:lang w:bidi="ar"/>
        </w:rPr>
      </w:pPr>
    </w:p>
    <w:p>
      <w:pPr>
        <w:widowControl/>
        <w:jc w:val="center"/>
        <w:rPr>
          <w:rFonts w:ascii="黑体" w:hAnsi="宋体" w:eastAsia="黑体"/>
          <w:color w:val="000000"/>
          <w:kern w:val="0"/>
          <w:sz w:val="44"/>
          <w:szCs w:val="44"/>
          <w:lang w:bidi="ar"/>
        </w:rPr>
      </w:pPr>
    </w:p>
    <w:p>
      <w:pPr>
        <w:widowControl/>
        <w:jc w:val="center"/>
        <w:rPr>
          <w:rFonts w:ascii="黑体" w:hAnsi="宋体" w:eastAsia="黑体"/>
          <w:color w:val="000000"/>
          <w:kern w:val="0"/>
          <w:sz w:val="44"/>
          <w:szCs w:val="44"/>
          <w:lang w:bidi="ar"/>
        </w:rPr>
      </w:pPr>
    </w:p>
    <w:p>
      <w:pPr>
        <w:widowControl/>
        <w:jc w:val="center"/>
        <w:rPr>
          <w:rFonts w:ascii="黑体" w:hAnsi="宋体" w:eastAsia="黑体"/>
          <w:color w:val="000000"/>
          <w:kern w:val="0"/>
          <w:sz w:val="44"/>
          <w:szCs w:val="44"/>
          <w:lang w:bidi="ar"/>
        </w:rPr>
      </w:pPr>
    </w:p>
    <w:p>
      <w:pPr>
        <w:widowControl/>
        <w:jc w:val="center"/>
        <w:rPr>
          <w:sz w:val="44"/>
          <w:szCs w:val="44"/>
        </w:rPr>
      </w:pPr>
      <w:r>
        <w:rPr>
          <w:rFonts w:ascii="黑体" w:hAnsi="宋体" w:eastAsia="黑体"/>
          <w:color w:val="000000"/>
          <w:kern w:val="0"/>
          <w:sz w:val="44"/>
          <w:szCs w:val="44"/>
          <w:lang w:bidi="ar"/>
        </w:rPr>
        <w:t>第二部分 2019年度部门决算表</w:t>
      </w:r>
    </w:p>
    <w:tbl>
      <w:tblPr>
        <w:tblStyle w:val="8"/>
        <w:tblpPr w:leftFromText="180" w:rightFromText="180" w:vertAnchor="text" w:horzAnchor="page" w:tblpX="1472" w:tblpY="1123"/>
        <w:tblOverlap w:val="never"/>
        <w:tblW w:w="9000" w:type="dxa"/>
        <w:tblInd w:w="0" w:type="dxa"/>
        <w:tblLayout w:type="fixed"/>
        <w:tblCellMar>
          <w:top w:w="0" w:type="dxa"/>
          <w:left w:w="0" w:type="dxa"/>
          <w:bottom w:w="0" w:type="dxa"/>
          <w:right w:w="0" w:type="dxa"/>
        </w:tblCellMar>
      </w:tblPr>
      <w:tblGrid>
        <w:gridCol w:w="735"/>
        <w:gridCol w:w="4110"/>
        <w:gridCol w:w="1047"/>
        <w:gridCol w:w="3108"/>
      </w:tblGrid>
      <w:tr>
        <w:tblPrEx>
          <w:tblCellMar>
            <w:top w:w="0" w:type="dxa"/>
            <w:left w:w="0" w:type="dxa"/>
            <w:bottom w:w="0" w:type="dxa"/>
            <w:right w:w="0" w:type="dxa"/>
          </w:tblCellMar>
        </w:tblPrEx>
        <w:trPr>
          <w:trHeight w:val="64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序号</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内容</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kern w:val="0"/>
                <w:sz w:val="24"/>
                <w:lang w:bidi="ar"/>
              </w:rPr>
            </w:pPr>
            <w:r>
              <w:rPr>
                <w:rFonts w:hint="eastAsia" w:ascii="黑体" w:hAnsi="宋体" w:eastAsia="黑体"/>
                <w:color w:val="000000"/>
                <w:kern w:val="0"/>
                <w:sz w:val="24"/>
                <w:lang w:bidi="ar"/>
              </w:rPr>
              <w:t>是否</w:t>
            </w:r>
          </w:p>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空表</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表格为空的理由</w:t>
            </w: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表1</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收入支出决算总表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表2</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收入决算表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表3</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支出决算表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表4</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财政拨款收入支出决算总表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表5</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一般公共预算财政拨款支出决算表</w:t>
            </w:r>
          </w:p>
          <w:p>
            <w:pPr>
              <w:widowControl/>
              <w:jc w:val="left"/>
              <w:rPr>
                <w:rFonts w:ascii="宋体" w:hAnsi="宋体" w:cs="宋体"/>
                <w:color w:val="000000"/>
                <w:kern w:val="0"/>
                <w:sz w:val="24"/>
                <w:lang w:bidi="ar"/>
              </w:rPr>
            </w:pPr>
            <w:r>
              <w:rPr>
                <w:rFonts w:hint="eastAsia" w:ascii="宋体" w:hAnsi="宋体" w:cs="宋体"/>
                <w:color w:val="000000"/>
                <w:kern w:val="0"/>
                <w:sz w:val="24"/>
                <w:lang w:bidi="ar"/>
              </w:rPr>
              <w:t>（按功能分类科目）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表6</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一般公共预算财政拨款基本支出决算表 （按经济分类科目）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表7</w:t>
            </w:r>
          </w:p>
        </w:tc>
        <w:tc>
          <w:tcPr>
            <w:tcW w:w="41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一般公共预算财政拨款“三公”经费及会议费、培训费支出决算表</w:t>
            </w:r>
          </w:p>
        </w:tc>
        <w:tc>
          <w:tcPr>
            <w:tcW w:w="104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eastAsia="zh-CN"/>
              </w:rPr>
              <w:t>否</w:t>
            </w:r>
          </w:p>
        </w:tc>
        <w:tc>
          <w:tcPr>
            <w:tcW w:w="310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表8</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政府性基金预算财政拨款收入支出</w:t>
            </w:r>
          </w:p>
          <w:p>
            <w:pPr>
              <w:widowControl/>
              <w:jc w:val="left"/>
              <w:rPr>
                <w:rFonts w:ascii="宋体" w:hAnsi="宋体" w:cs="宋体"/>
                <w:color w:val="000000"/>
                <w:sz w:val="24"/>
              </w:rPr>
            </w:pPr>
            <w:r>
              <w:rPr>
                <w:rFonts w:hint="eastAsia" w:ascii="宋体" w:hAnsi="宋体" w:cs="宋体"/>
                <w:color w:val="000000"/>
                <w:kern w:val="0"/>
                <w:sz w:val="24"/>
                <w:lang w:bidi="ar"/>
              </w:rPr>
              <w:t>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是</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本部门没有</w:t>
            </w:r>
            <w:r>
              <w:rPr>
                <w:rFonts w:hint="eastAsia" w:ascii="宋体" w:hAnsi="宋体" w:cs="宋体"/>
                <w:color w:val="000000"/>
                <w:kern w:val="0"/>
                <w:sz w:val="24"/>
                <w:lang w:bidi="ar"/>
              </w:rPr>
              <w:t>政府性基金</w:t>
            </w:r>
            <w:r>
              <w:rPr>
                <w:rFonts w:hint="eastAsia" w:ascii="宋体" w:hAnsi="宋体" w:cs="宋体"/>
                <w:color w:val="000000"/>
                <w:kern w:val="0"/>
                <w:sz w:val="24"/>
                <w:lang w:eastAsia="zh-CN" w:bidi="ar"/>
              </w:rPr>
              <w:t>预算</w:t>
            </w:r>
          </w:p>
        </w:tc>
      </w:tr>
    </w:tbl>
    <w:p>
      <w:pPr>
        <w:widowControl/>
        <w:rPr>
          <w:rFonts w:ascii="黑体" w:hAnsi="宋体" w:eastAsia="黑体"/>
          <w:color w:val="000000"/>
          <w:kern w:val="0"/>
          <w:sz w:val="44"/>
          <w:szCs w:val="44"/>
          <w:lang w:bidi="ar"/>
        </w:rPr>
      </w:pPr>
    </w:p>
    <w:p>
      <w:pPr>
        <w:widowControl/>
        <w:rPr>
          <w:rFonts w:ascii="黑体" w:hAnsi="宋体" w:eastAsia="黑体"/>
          <w:color w:val="000000"/>
          <w:kern w:val="0"/>
          <w:sz w:val="44"/>
          <w:szCs w:val="44"/>
          <w:lang w:bidi="ar"/>
        </w:rPr>
      </w:pPr>
    </w:p>
    <w:p>
      <w:pPr>
        <w:widowControl/>
        <w:jc w:val="center"/>
        <w:textAlignment w:val="center"/>
        <w:rPr>
          <w:rFonts w:ascii="宋体" w:hAnsi="宋体" w:cs="宋体"/>
          <w:b/>
          <w:color w:val="000000"/>
          <w:kern w:val="0"/>
          <w:sz w:val="40"/>
          <w:szCs w:val="40"/>
          <w:lang w:bidi="ar"/>
        </w:rPr>
      </w:pPr>
      <w:r>
        <w:rPr>
          <w:rFonts w:hint="eastAsia" w:ascii="宋体" w:hAnsi="宋体" w:cs="宋体"/>
          <w:b/>
          <w:color w:val="000000"/>
          <w:kern w:val="0"/>
          <w:sz w:val="40"/>
          <w:szCs w:val="40"/>
          <w:lang w:bidi="ar"/>
        </w:rPr>
        <w:br w:type="page"/>
      </w:r>
    </w:p>
    <w:p>
      <w:pPr>
        <w:jc w:val="center"/>
        <w:rPr>
          <w:rFonts w:ascii="宋体" w:hAnsi="宋体" w:cs="宋体"/>
          <w:b/>
          <w:bCs/>
          <w:sz w:val="32"/>
          <w:szCs w:val="32"/>
        </w:rPr>
      </w:pPr>
      <w:r>
        <w:rPr>
          <w:rFonts w:hint="eastAsia" w:ascii="宋体" w:hAnsi="宋体" w:cs="宋体"/>
          <w:b/>
          <w:bCs/>
          <w:sz w:val="32"/>
          <w:szCs w:val="32"/>
        </w:rPr>
        <w:t>收入支出决算总表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公开01表</w:t>
      </w:r>
    </w:p>
    <w:p>
      <w:pPr>
        <w:rPr>
          <w:rFonts w:ascii="宋体" w:hAnsi="宋体" w:cs="宋体"/>
          <w:b/>
          <w:bCs/>
          <w:szCs w:val="21"/>
        </w:rPr>
      </w:pPr>
      <w:r>
        <w:rPr>
          <w:rFonts w:hint="eastAsia" w:ascii="宋体" w:hAnsi="宋体" w:cs="宋体"/>
          <w:b/>
          <w:bCs/>
          <w:color w:val="auto"/>
          <w:szCs w:val="21"/>
        </w:rPr>
        <w:t xml:space="preserve">编制部门： </w:t>
      </w:r>
      <w:r>
        <w:rPr>
          <w:rFonts w:hint="eastAsia" w:ascii="宋体" w:hAnsi="宋体" w:cs="宋体"/>
          <w:b/>
          <w:bCs/>
          <w:color w:val="auto"/>
          <w:szCs w:val="21"/>
          <w:lang w:val="en-US" w:eastAsia="zh-CN"/>
        </w:rPr>
        <w:t>靖边县龙洲镇人民政府（汇总）</w:t>
      </w:r>
      <w:r>
        <w:rPr>
          <w:rFonts w:hint="eastAsia" w:ascii="宋体" w:hAnsi="宋体" w:cs="宋体"/>
          <w:b/>
          <w:bCs/>
          <w:color w:val="auto"/>
          <w:szCs w:val="21"/>
        </w:rPr>
        <w:t xml:space="preserve"> </w:t>
      </w:r>
      <w:r>
        <w:rPr>
          <w:rFonts w:hint="eastAsia" w:ascii="宋体" w:hAnsi="宋体" w:cs="宋体"/>
          <w:b/>
          <w:bCs/>
          <w:color w:val="2E75B6" w:themeColor="accent1" w:themeShade="BF"/>
          <w:szCs w:val="21"/>
        </w:rPr>
        <w:t xml:space="preserve">   </w:t>
      </w:r>
      <w:r>
        <w:rPr>
          <w:rFonts w:hint="eastAsia" w:ascii="宋体" w:hAnsi="宋体" w:cs="宋体"/>
          <w:b/>
          <w:bCs/>
          <w:szCs w:val="21"/>
        </w:rPr>
        <w:t xml:space="preserve">                         金额单位：万元</w:t>
      </w:r>
    </w:p>
    <w:tbl>
      <w:tblPr>
        <w:tblStyle w:val="8"/>
        <w:tblW w:w="8884" w:type="dxa"/>
        <w:tblInd w:w="0" w:type="dxa"/>
        <w:tblLayout w:type="fixed"/>
        <w:tblCellMar>
          <w:top w:w="15" w:type="dxa"/>
          <w:left w:w="15" w:type="dxa"/>
          <w:bottom w:w="15" w:type="dxa"/>
          <w:right w:w="15" w:type="dxa"/>
        </w:tblCellMar>
      </w:tblPr>
      <w:tblGrid>
        <w:gridCol w:w="3388"/>
        <w:gridCol w:w="1080"/>
        <w:gridCol w:w="3090"/>
        <w:gridCol w:w="1326"/>
      </w:tblGrid>
      <w:tr>
        <w:tblPrEx>
          <w:tblCellMar>
            <w:top w:w="15" w:type="dxa"/>
            <w:left w:w="15" w:type="dxa"/>
            <w:bottom w:w="15" w:type="dxa"/>
            <w:right w:w="15" w:type="dxa"/>
          </w:tblCellMar>
        </w:tblPrEx>
        <w:trPr>
          <w:trHeight w:val="426" w:hRule="atLeast"/>
        </w:trPr>
        <w:tc>
          <w:tcPr>
            <w:tcW w:w="44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收    入</w:t>
            </w:r>
          </w:p>
        </w:tc>
        <w:tc>
          <w:tcPr>
            <w:tcW w:w="44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支    出</w:t>
            </w:r>
          </w:p>
        </w:tc>
      </w:tr>
      <w:tr>
        <w:tblPrEx>
          <w:tblCellMar>
            <w:top w:w="15" w:type="dxa"/>
            <w:left w:w="15" w:type="dxa"/>
            <w:bottom w:w="15" w:type="dxa"/>
            <w:right w:w="15" w:type="dxa"/>
          </w:tblCellMar>
        </w:tblPrEx>
        <w:trPr>
          <w:trHeight w:val="378"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13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r>
      <w:tr>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0"/>
                <w:szCs w:val="20"/>
                <w:lang w:bidi="ar"/>
              </w:rPr>
              <w:t>1、一般公共预算财政拨款</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1,111.15</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1、一般公共服务支出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585.83</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0"/>
                <w:szCs w:val="20"/>
                <w:lang w:bidi="ar"/>
              </w:rPr>
              <w:t>2、政府性基金预算财政拨款</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Cs w:val="21"/>
                <w:lang w:val="en-US" w:eastAsia="zh-CN"/>
              </w:rPr>
            </w:pPr>
            <w:r>
              <w:rPr>
                <w:rFonts w:hint="eastAsia" w:ascii="宋体" w:hAnsi="宋体" w:cs="宋体"/>
                <w:i w:val="0"/>
                <w:color w:val="000000"/>
                <w:kern w:val="0"/>
                <w:sz w:val="22"/>
                <w:szCs w:val="22"/>
                <w:u w:val="none"/>
                <w:lang w:val="en-US" w:eastAsia="zh-CN" w:bidi="ar"/>
              </w:rPr>
              <w:t>-</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2、外交支出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cs="宋体"/>
                <w:i w:val="0"/>
                <w:color w:val="000000"/>
                <w:kern w:val="0"/>
                <w:sz w:val="22"/>
                <w:szCs w:val="22"/>
                <w:u w:val="none"/>
                <w:lang w:val="en-US" w:eastAsia="zh-CN" w:bidi="ar"/>
              </w:rPr>
              <w:t>-</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0"/>
                <w:szCs w:val="20"/>
                <w:lang w:bidi="ar"/>
              </w:rPr>
              <w:t xml:space="preserve">3、国有资本经营预算财政拨款 </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Cs w:val="21"/>
                <w:lang w:val="en-US" w:eastAsia="zh-CN"/>
              </w:rPr>
            </w:pPr>
            <w:r>
              <w:rPr>
                <w:rFonts w:hint="eastAsia" w:ascii="宋体" w:hAnsi="宋体" w:cs="宋体"/>
                <w:i w:val="0"/>
                <w:color w:val="000000"/>
                <w:kern w:val="0"/>
                <w:sz w:val="22"/>
                <w:szCs w:val="22"/>
                <w:u w:val="none"/>
                <w:lang w:val="en-US" w:eastAsia="zh-CN" w:bidi="ar"/>
              </w:rPr>
              <w:t>-</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3、国防支出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cs="宋体"/>
                <w:i w:val="0"/>
                <w:color w:val="000000"/>
                <w:kern w:val="0"/>
                <w:sz w:val="22"/>
                <w:szCs w:val="22"/>
                <w:u w:val="none"/>
                <w:lang w:val="en-US" w:eastAsia="zh-CN" w:bidi="ar"/>
              </w:rPr>
              <w:t>-</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0"/>
                <w:szCs w:val="20"/>
                <w:lang w:bidi="ar"/>
              </w:rPr>
              <w:t>4、上级补助收入</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cs="宋体"/>
                <w:i w:val="0"/>
                <w:color w:val="000000"/>
                <w:kern w:val="0"/>
                <w:sz w:val="22"/>
                <w:szCs w:val="22"/>
                <w:u w:val="none"/>
                <w:lang w:val="en-US" w:eastAsia="zh-CN" w:bidi="ar"/>
              </w:rPr>
              <w:t>-</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4、公共安全支出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cs="宋体"/>
                <w:i w:val="0"/>
                <w:color w:val="000000"/>
                <w:kern w:val="0"/>
                <w:sz w:val="22"/>
                <w:szCs w:val="22"/>
                <w:u w:val="none"/>
                <w:lang w:val="en-US" w:eastAsia="zh-CN" w:bidi="ar"/>
              </w:rPr>
              <w:t>-</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0"/>
                <w:szCs w:val="20"/>
                <w:lang w:bidi="ar"/>
              </w:rPr>
              <w:t>5、事业收入</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cs="宋体"/>
                <w:i w:val="0"/>
                <w:color w:val="000000"/>
                <w:kern w:val="0"/>
                <w:sz w:val="22"/>
                <w:szCs w:val="22"/>
                <w:u w:val="none"/>
                <w:lang w:val="en-US" w:eastAsia="zh-CN" w:bidi="ar"/>
              </w:rPr>
              <w:t>-</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5、教育支出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cs="宋体"/>
                <w:i w:val="0"/>
                <w:color w:val="000000"/>
                <w:kern w:val="0"/>
                <w:sz w:val="22"/>
                <w:szCs w:val="22"/>
                <w:u w:val="none"/>
                <w:lang w:val="en-US" w:eastAsia="zh-CN" w:bidi="ar"/>
              </w:rPr>
              <w:t>-</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0"/>
                <w:szCs w:val="20"/>
                <w:lang w:bidi="ar"/>
              </w:rPr>
              <w:t>6、经营收入</w:t>
            </w:r>
          </w:p>
        </w:tc>
        <w:tc>
          <w:tcPr>
            <w:tcW w:w="1080"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cs="宋体"/>
                <w:i w:val="0"/>
                <w:color w:val="000000"/>
                <w:kern w:val="0"/>
                <w:sz w:val="22"/>
                <w:szCs w:val="22"/>
                <w:u w:val="none"/>
                <w:lang w:val="en-US" w:eastAsia="zh-CN" w:bidi="ar"/>
              </w:rPr>
              <w:t>-</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6、科学技术支出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cs="宋体"/>
                <w:i w:val="0"/>
                <w:color w:val="000000"/>
                <w:kern w:val="0"/>
                <w:sz w:val="22"/>
                <w:szCs w:val="22"/>
                <w:u w:val="none"/>
                <w:lang w:val="en-US" w:eastAsia="zh-CN" w:bidi="ar"/>
              </w:rPr>
              <w:t>-</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0"/>
                <w:szCs w:val="20"/>
                <w:lang w:bidi="ar"/>
              </w:rPr>
              <w:t>7、附属单位上缴收入</w:t>
            </w:r>
          </w:p>
        </w:tc>
        <w:tc>
          <w:tcPr>
            <w:tcW w:w="1080"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cs="宋体"/>
                <w:i w:val="0"/>
                <w:color w:val="000000"/>
                <w:kern w:val="0"/>
                <w:sz w:val="22"/>
                <w:szCs w:val="22"/>
                <w:u w:val="none"/>
                <w:lang w:val="en-US" w:eastAsia="zh-CN" w:bidi="ar"/>
              </w:rPr>
              <w:t>-</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7、文化旅游体育与传媒支出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33.57</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0"/>
                <w:szCs w:val="20"/>
                <w:lang w:bidi="ar"/>
              </w:rPr>
              <w:t>8、其他收入</w:t>
            </w:r>
          </w:p>
        </w:tc>
        <w:tc>
          <w:tcPr>
            <w:tcW w:w="1080"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cs="宋体"/>
                <w:i w:val="0"/>
                <w:color w:val="000000"/>
                <w:kern w:val="0"/>
                <w:sz w:val="22"/>
                <w:szCs w:val="22"/>
                <w:u w:val="none"/>
                <w:lang w:val="en-US" w:eastAsia="zh-CN" w:bidi="ar"/>
              </w:rPr>
              <w:t>-</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8、社会保障和就业支出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140.86</w:t>
            </w:r>
          </w:p>
        </w:tc>
      </w:tr>
      <w:tr>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80"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9、卫生健康支出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53.06</w:t>
            </w:r>
          </w:p>
        </w:tc>
      </w:tr>
      <w:tr>
        <w:trPr>
          <w:trHeight w:val="249"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80" w:type="dxa"/>
            <w:tcBorders>
              <w:top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10、节能环保支出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r>
      <w:tr>
        <w:tblPrEx>
          <w:tblCellMar>
            <w:top w:w="15" w:type="dxa"/>
            <w:left w:w="15" w:type="dxa"/>
            <w:bottom w:w="15" w:type="dxa"/>
            <w:right w:w="15" w:type="dxa"/>
          </w:tblCellMar>
        </w:tblPrEx>
        <w:trPr>
          <w:trHeight w:val="33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0"/>
                <w:szCs w:val="20"/>
                <w:lang w:bidi="ar"/>
              </w:rPr>
              <w:t xml:space="preserve"> </w:t>
            </w:r>
          </w:p>
        </w:tc>
        <w:tc>
          <w:tcPr>
            <w:tcW w:w="1080" w:type="dxa"/>
            <w:tcBorders>
              <w:top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11、城乡社区支出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12、农林水支出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257.55</w:t>
            </w:r>
          </w:p>
        </w:tc>
      </w:tr>
      <w:tr>
        <w:trPr>
          <w:trHeight w:val="317"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13、交通运输支出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r>
      <w:tr>
        <w:tblPrEx>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14、资源勘探信息等支出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cs="宋体"/>
                <w:i w:val="0"/>
                <w:color w:val="000000"/>
                <w:kern w:val="0"/>
                <w:sz w:val="22"/>
                <w:szCs w:val="22"/>
                <w:u w:val="none"/>
                <w:lang w:val="en-US" w:eastAsia="zh-CN" w:bidi="ar"/>
              </w:rPr>
              <w:t>-</w:t>
            </w:r>
          </w:p>
        </w:tc>
      </w:tr>
      <w:tr>
        <w:tblPrEx>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15、商业服务业等支出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cs="宋体"/>
                <w:i w:val="0"/>
                <w:color w:val="000000"/>
                <w:kern w:val="0"/>
                <w:sz w:val="22"/>
                <w:szCs w:val="22"/>
                <w:u w:val="none"/>
                <w:lang w:val="en-US" w:eastAsia="zh-CN" w:bidi="ar"/>
              </w:rPr>
              <w:t>-</w:t>
            </w:r>
          </w:p>
        </w:tc>
      </w:tr>
      <w:tr>
        <w:tblPrEx>
          <w:tblCellMar>
            <w:top w:w="15" w:type="dxa"/>
            <w:left w:w="15" w:type="dxa"/>
            <w:bottom w:w="15" w:type="dxa"/>
            <w:right w:w="15" w:type="dxa"/>
          </w:tblCellMar>
        </w:tblPrEx>
        <w:trPr>
          <w:trHeight w:val="298"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16、金融支出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cs="宋体"/>
                <w:i w:val="0"/>
                <w:color w:val="000000"/>
                <w:kern w:val="0"/>
                <w:sz w:val="22"/>
                <w:szCs w:val="22"/>
                <w:u w:val="none"/>
                <w:lang w:val="en-US" w:eastAsia="zh-CN" w:bidi="ar"/>
              </w:rPr>
              <w:t>-</w:t>
            </w:r>
          </w:p>
        </w:tc>
      </w:tr>
      <w:tr>
        <w:tblPrEx>
          <w:tblCellMar>
            <w:top w:w="15" w:type="dxa"/>
            <w:left w:w="15" w:type="dxa"/>
            <w:bottom w:w="15" w:type="dxa"/>
            <w:right w:w="15" w:type="dxa"/>
          </w:tblCellMar>
        </w:tblPrEx>
        <w:trPr>
          <w:trHeight w:val="315"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17、援助其他地区支出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cs="宋体"/>
                <w:i w:val="0"/>
                <w:color w:val="000000"/>
                <w:kern w:val="0"/>
                <w:sz w:val="22"/>
                <w:szCs w:val="22"/>
                <w:u w:val="none"/>
                <w:lang w:val="en-US" w:eastAsia="zh-CN" w:bidi="ar"/>
              </w:rPr>
              <w:t>-</w:t>
            </w:r>
          </w:p>
        </w:tc>
      </w:tr>
      <w:tr>
        <w:tblPrEx>
          <w:tblCellMar>
            <w:top w:w="15" w:type="dxa"/>
            <w:left w:w="15" w:type="dxa"/>
            <w:bottom w:w="15" w:type="dxa"/>
            <w:right w:w="15" w:type="dxa"/>
          </w:tblCellMar>
        </w:tblPrEx>
        <w:trPr>
          <w:trHeight w:val="281"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18、自然资源海洋气象等支出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cs="宋体"/>
                <w:i w:val="0"/>
                <w:color w:val="000000"/>
                <w:kern w:val="0"/>
                <w:sz w:val="22"/>
                <w:szCs w:val="22"/>
                <w:u w:val="none"/>
                <w:lang w:val="en-US" w:eastAsia="zh-CN" w:bidi="ar"/>
              </w:rPr>
              <w:t>-</w:t>
            </w:r>
          </w:p>
        </w:tc>
      </w:tr>
      <w:tr>
        <w:tblPrEx>
          <w:tblCellMar>
            <w:top w:w="15" w:type="dxa"/>
            <w:left w:w="15" w:type="dxa"/>
            <w:bottom w:w="15" w:type="dxa"/>
            <w:right w:w="15" w:type="dxa"/>
          </w:tblCellMar>
        </w:tblPrEx>
        <w:trPr>
          <w:trHeight w:val="345"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19、住房保障支出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40.29</w:t>
            </w:r>
          </w:p>
        </w:tc>
      </w:tr>
      <w:tr>
        <w:tblPrEx>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20、粮油物资储备支出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cs="宋体"/>
                <w:i w:val="0"/>
                <w:color w:val="000000"/>
                <w:kern w:val="0"/>
                <w:sz w:val="22"/>
                <w:szCs w:val="22"/>
                <w:u w:val="none"/>
                <w:lang w:val="en-US" w:eastAsia="zh-CN" w:bidi="ar"/>
              </w:rPr>
              <w:t>-</w:t>
            </w:r>
          </w:p>
        </w:tc>
      </w:tr>
      <w:tr>
        <w:tblPrEx>
          <w:tblCellMar>
            <w:top w:w="15" w:type="dxa"/>
            <w:left w:w="15" w:type="dxa"/>
            <w:bottom w:w="15" w:type="dxa"/>
            <w:right w:w="15" w:type="dxa"/>
          </w:tblCellMar>
        </w:tblPrEx>
        <w:trPr>
          <w:trHeight w:val="287"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21、灾害防治及应急管理支出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cs="宋体"/>
                <w:i w:val="0"/>
                <w:color w:val="000000"/>
                <w:kern w:val="0"/>
                <w:sz w:val="22"/>
                <w:szCs w:val="22"/>
                <w:u w:val="none"/>
                <w:lang w:val="en-US" w:eastAsia="zh-CN" w:bidi="ar"/>
              </w:rPr>
              <w:t>-</w:t>
            </w:r>
          </w:p>
        </w:tc>
      </w:tr>
      <w:tr>
        <w:tblPrEx>
          <w:tblCellMar>
            <w:top w:w="15" w:type="dxa"/>
            <w:left w:w="15" w:type="dxa"/>
            <w:bottom w:w="15" w:type="dxa"/>
            <w:right w:w="15" w:type="dxa"/>
          </w:tblCellMar>
        </w:tblPrEx>
        <w:trPr>
          <w:trHeight w:val="287"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22、其他支出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cs="宋体"/>
                <w:i w:val="0"/>
                <w:color w:val="000000"/>
                <w:kern w:val="0"/>
                <w:sz w:val="22"/>
                <w:szCs w:val="22"/>
                <w:u w:val="none"/>
                <w:lang w:val="en-US" w:eastAsia="zh-CN" w:bidi="ar"/>
              </w:rPr>
              <w:t>-</w:t>
            </w:r>
          </w:p>
        </w:tc>
      </w:tr>
      <w:tr>
        <w:tblPrEx>
          <w:tblCellMar>
            <w:top w:w="15" w:type="dxa"/>
            <w:left w:w="15" w:type="dxa"/>
            <w:bottom w:w="15" w:type="dxa"/>
            <w:right w:w="15" w:type="dxa"/>
          </w:tblCellMar>
        </w:tblPrEx>
        <w:trPr>
          <w:trHeight w:val="415" w:hRule="atLeast"/>
        </w:trPr>
        <w:tc>
          <w:tcPr>
            <w:tcW w:w="3388"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本年收入合计</w:t>
            </w:r>
          </w:p>
        </w:tc>
        <w:tc>
          <w:tcPr>
            <w:tcW w:w="1080"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1,111.15</w:t>
            </w:r>
          </w:p>
        </w:tc>
        <w:tc>
          <w:tcPr>
            <w:tcW w:w="309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1326"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1,111.15</w:t>
            </w:r>
          </w:p>
        </w:tc>
      </w:tr>
      <w:tr>
        <w:tblPrEx>
          <w:tblCellMar>
            <w:top w:w="15" w:type="dxa"/>
            <w:left w:w="15" w:type="dxa"/>
            <w:bottom w:w="15" w:type="dxa"/>
            <w:right w:w="15" w:type="dxa"/>
          </w:tblCellMar>
        </w:tblPrEx>
        <w:trPr>
          <w:trHeight w:val="355"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用事业基金弥补收支差额</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Cs/>
                <w:color w:val="000000"/>
                <w:szCs w:val="21"/>
              </w:rPr>
            </w:pPr>
            <w:r>
              <w:rPr>
                <w:rFonts w:hint="eastAsia" w:ascii="宋体" w:hAnsi="宋体" w:cs="宋体"/>
                <w:i w:val="0"/>
                <w:color w:val="000000"/>
                <w:kern w:val="0"/>
                <w:sz w:val="22"/>
                <w:szCs w:val="22"/>
                <w:u w:val="none"/>
                <w:lang w:val="en-US" w:eastAsia="zh-CN" w:bidi="ar"/>
              </w:rPr>
              <w:t>-</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 xml:space="preserve">结余分配 </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szCs w:val="21"/>
              </w:rPr>
            </w:pPr>
            <w:r>
              <w:rPr>
                <w:rFonts w:hint="eastAsia" w:ascii="宋体" w:hAnsi="宋体" w:cs="宋体"/>
                <w:i w:val="0"/>
                <w:color w:val="000000"/>
                <w:kern w:val="0"/>
                <w:sz w:val="22"/>
                <w:szCs w:val="22"/>
                <w:u w:val="none"/>
                <w:lang w:val="en-US" w:eastAsia="zh-CN" w:bidi="ar"/>
              </w:rPr>
              <w:t>-</w:t>
            </w:r>
          </w:p>
        </w:tc>
      </w:tr>
      <w:tr>
        <w:tblPrEx>
          <w:tblCellMar>
            <w:top w:w="15" w:type="dxa"/>
            <w:left w:w="15" w:type="dxa"/>
            <w:bottom w:w="15" w:type="dxa"/>
            <w:right w:w="15" w:type="dxa"/>
          </w:tblCellMar>
        </w:tblPrEx>
        <w:trPr>
          <w:trHeight w:val="371"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年初结转和结余</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Cs/>
                <w:color w:val="000000"/>
                <w:szCs w:val="21"/>
              </w:rPr>
            </w:pPr>
            <w:r>
              <w:rPr>
                <w:rFonts w:hint="eastAsia" w:ascii="宋体" w:hAnsi="宋体" w:cs="宋体"/>
                <w:i w:val="0"/>
                <w:color w:val="000000"/>
                <w:kern w:val="0"/>
                <w:sz w:val="22"/>
                <w:szCs w:val="22"/>
                <w:u w:val="none"/>
                <w:lang w:val="en-US" w:eastAsia="zh-CN" w:bidi="ar"/>
              </w:rPr>
              <w:t>-</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年末结转和结余</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szCs w:val="21"/>
              </w:rPr>
            </w:pPr>
            <w:r>
              <w:rPr>
                <w:rFonts w:hint="eastAsia" w:ascii="宋体" w:hAnsi="宋体" w:cs="宋体"/>
                <w:i w:val="0"/>
                <w:color w:val="000000"/>
                <w:kern w:val="0"/>
                <w:sz w:val="22"/>
                <w:szCs w:val="22"/>
                <w:u w:val="none"/>
                <w:lang w:val="en-US" w:eastAsia="zh-CN" w:bidi="ar"/>
              </w:rPr>
              <w:t>-</w:t>
            </w:r>
          </w:p>
        </w:tc>
      </w:tr>
      <w:tr>
        <w:tblPrEx>
          <w:tblCellMar>
            <w:top w:w="15" w:type="dxa"/>
            <w:left w:w="15" w:type="dxa"/>
            <w:bottom w:w="15" w:type="dxa"/>
            <w:right w:w="15" w:type="dxa"/>
          </w:tblCellMar>
        </w:tblPrEx>
        <w:trPr>
          <w:trHeight w:val="382"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收入总计</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1,111.15</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支出总计</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1,111.15</w:t>
            </w:r>
          </w:p>
        </w:tc>
      </w:tr>
    </w:tbl>
    <w:p>
      <w:pPr>
        <w:widowControl/>
        <w:jc w:val="left"/>
        <w:rPr>
          <w:rFonts w:ascii="宋体" w:hAnsi="宋体" w:cs="宋体"/>
          <w:sz w:val="48"/>
          <w:szCs w:val="48"/>
        </w:rPr>
      </w:pPr>
      <w:r>
        <w:rPr>
          <w:rFonts w:hint="eastAsia" w:ascii="宋体" w:hAnsi="宋体" w:cs="宋体"/>
          <w:color w:val="000000"/>
          <w:kern w:val="0"/>
          <w:szCs w:val="21"/>
        </w:rPr>
        <w:t>注：本表反映部门本年度的总收支和年末结转结余情况。本表金额转换为万元时，因四舍五入可能存在尾差。</w:t>
      </w:r>
    </w:p>
    <w:p>
      <w:pPr>
        <w:jc w:val="center"/>
        <w:rPr>
          <w:rFonts w:ascii="宋体" w:hAnsi="宋体" w:cs="宋体"/>
          <w:b/>
          <w:bCs/>
          <w:sz w:val="32"/>
          <w:szCs w:val="32"/>
        </w:rPr>
      </w:pPr>
    </w:p>
    <w:p>
      <w:pPr>
        <w:jc w:val="center"/>
        <w:rPr>
          <w:rFonts w:hint="eastAsia" w:ascii="宋体" w:hAnsi="宋体" w:cs="宋体"/>
          <w:b/>
          <w:bCs/>
          <w:sz w:val="32"/>
          <w:szCs w:val="32"/>
        </w:rPr>
      </w:pPr>
    </w:p>
    <w:p>
      <w:pPr>
        <w:jc w:val="center"/>
        <w:rPr>
          <w:rFonts w:ascii="宋体" w:hAnsi="宋体" w:cs="宋体"/>
          <w:b/>
          <w:bCs/>
          <w:sz w:val="32"/>
          <w:szCs w:val="32"/>
        </w:rPr>
      </w:pPr>
      <w:r>
        <w:rPr>
          <w:rFonts w:hint="eastAsia" w:ascii="宋体" w:hAnsi="宋体" w:cs="宋体"/>
          <w:b/>
          <w:bCs/>
          <w:sz w:val="32"/>
          <w:szCs w:val="32"/>
        </w:rPr>
        <w:t>收入决算表</w:t>
      </w:r>
    </w:p>
    <w:p>
      <w:pPr>
        <w:jc w:val="center"/>
        <w:rPr>
          <w:rFonts w:ascii="宋体" w:hAnsi="宋体" w:cs="宋体"/>
          <w:b/>
          <w:bCs/>
          <w:szCs w:val="21"/>
        </w:rPr>
      </w:pPr>
      <w:r>
        <w:rPr>
          <w:rFonts w:hint="eastAsia" w:ascii="宋体" w:hAnsi="宋体" w:cs="宋体"/>
          <w:b/>
          <w:bCs/>
          <w:szCs w:val="21"/>
          <w:lang w:val="en-US" w:eastAsia="zh-CN"/>
        </w:rPr>
        <w:t xml:space="preserve">                                                                      </w:t>
      </w:r>
      <w:r>
        <w:rPr>
          <w:rFonts w:hint="eastAsia" w:ascii="宋体" w:hAnsi="宋体" w:cs="宋体"/>
          <w:b/>
          <w:bCs/>
          <w:szCs w:val="21"/>
        </w:rPr>
        <w:t>公开02表</w:t>
      </w:r>
    </w:p>
    <w:p>
      <w:pPr>
        <w:jc w:val="center"/>
        <w:rPr>
          <w:rFonts w:hint="eastAsia" w:ascii="宋体" w:hAnsi="宋体" w:cs="宋体"/>
          <w:b/>
          <w:bCs/>
          <w:szCs w:val="21"/>
        </w:rPr>
      </w:pPr>
      <w:r>
        <w:rPr>
          <w:rFonts w:hint="eastAsia" w:ascii="宋体" w:hAnsi="宋体" w:cs="宋体"/>
          <w:b/>
          <w:bCs/>
          <w:color w:val="auto"/>
          <w:szCs w:val="21"/>
        </w:rPr>
        <w:t>编制部门：</w:t>
      </w:r>
      <w:r>
        <w:rPr>
          <w:rFonts w:hint="eastAsia" w:ascii="宋体" w:hAnsi="宋体" w:cs="宋体"/>
          <w:b/>
          <w:bCs/>
          <w:color w:val="auto"/>
          <w:szCs w:val="21"/>
          <w:lang w:eastAsia="zh-CN"/>
        </w:rPr>
        <w:t>靖边县龙洲镇人民政府（汇总）</w:t>
      </w:r>
      <w:r>
        <w:rPr>
          <w:rFonts w:hint="eastAsia" w:ascii="宋体" w:hAnsi="宋体" w:cs="宋体"/>
          <w:b/>
          <w:bCs/>
          <w:color w:val="2E75B6" w:themeColor="accent1" w:themeShade="BF"/>
          <w:szCs w:val="21"/>
        </w:rPr>
        <w:t xml:space="preserve">    </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    金额单位：万元</w:t>
      </w:r>
    </w:p>
    <w:tbl>
      <w:tblPr>
        <w:tblStyle w:val="8"/>
        <w:tblW w:w="10140" w:type="dxa"/>
        <w:tblInd w:w="0" w:type="dxa"/>
        <w:shd w:val="clear" w:color="auto" w:fill="auto"/>
        <w:tblLayout w:type="fixed"/>
        <w:tblCellMar>
          <w:top w:w="0" w:type="dxa"/>
          <w:left w:w="0" w:type="dxa"/>
          <w:bottom w:w="0" w:type="dxa"/>
          <w:right w:w="0" w:type="dxa"/>
        </w:tblCellMar>
      </w:tblPr>
      <w:tblGrid>
        <w:gridCol w:w="801"/>
        <w:gridCol w:w="1899"/>
        <w:gridCol w:w="1170"/>
        <w:gridCol w:w="1170"/>
        <w:gridCol w:w="975"/>
        <w:gridCol w:w="855"/>
        <w:gridCol w:w="825"/>
        <w:gridCol w:w="810"/>
        <w:gridCol w:w="885"/>
        <w:gridCol w:w="750"/>
      </w:tblGrid>
      <w:tr>
        <w:tblPrEx>
          <w:shd w:val="clear" w:color="auto" w:fill="auto"/>
          <w:tblCellMar>
            <w:top w:w="0" w:type="dxa"/>
            <w:left w:w="0" w:type="dxa"/>
            <w:bottom w:w="0" w:type="dxa"/>
            <w:right w:w="0" w:type="dxa"/>
          </w:tblCellMar>
        </w:tblPrEx>
        <w:trPr>
          <w:trHeight w:val="308" w:hRule="atLeast"/>
        </w:trPr>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color w:val="auto"/>
                <w:shd w:val="clear" w:color="auto" w:fill="auto"/>
              </w:rPr>
            </w:pPr>
            <w:r>
              <w:rPr>
                <w:rFonts w:hint="eastAsia"/>
                <w:color w:val="auto"/>
                <w:shd w:val="clear" w:color="auto" w:fill="auto"/>
                <w:lang w:val="en-US" w:eastAsia="zh-CN"/>
              </w:rPr>
              <w:t>项目</w:t>
            </w:r>
          </w:p>
        </w:tc>
        <w:tc>
          <w:tcPr>
            <w:tcW w:w="117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color w:val="auto"/>
                <w:shd w:val="clear" w:color="auto" w:fill="auto"/>
              </w:rPr>
            </w:pPr>
            <w:r>
              <w:rPr>
                <w:rFonts w:hint="eastAsia"/>
                <w:color w:val="auto"/>
                <w:shd w:val="clear" w:color="auto" w:fill="auto"/>
                <w:lang w:val="en-US" w:eastAsia="zh-CN"/>
              </w:rPr>
              <w:t>本年收入合计</w:t>
            </w:r>
          </w:p>
        </w:tc>
        <w:tc>
          <w:tcPr>
            <w:tcW w:w="117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color w:val="auto"/>
                <w:shd w:val="clear" w:color="auto" w:fill="auto"/>
              </w:rPr>
            </w:pPr>
            <w:r>
              <w:rPr>
                <w:rFonts w:hint="eastAsia"/>
                <w:color w:val="auto"/>
                <w:shd w:val="clear" w:color="auto" w:fill="auto"/>
                <w:lang w:val="en-US" w:eastAsia="zh-CN"/>
              </w:rPr>
              <w:t>财政拨款收入</w:t>
            </w:r>
          </w:p>
        </w:tc>
        <w:tc>
          <w:tcPr>
            <w:tcW w:w="97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color w:val="auto"/>
                <w:shd w:val="clear" w:color="auto" w:fill="auto"/>
              </w:rPr>
            </w:pPr>
            <w:r>
              <w:rPr>
                <w:rFonts w:hint="eastAsia"/>
                <w:color w:val="auto"/>
                <w:shd w:val="clear" w:color="auto" w:fill="auto"/>
                <w:lang w:val="en-US" w:eastAsia="zh-CN"/>
              </w:rPr>
              <w:t>上级补助收入</w:t>
            </w:r>
          </w:p>
        </w:tc>
        <w:tc>
          <w:tcPr>
            <w:tcW w:w="1680"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color w:val="auto"/>
                <w:shd w:val="clear" w:color="auto" w:fill="auto"/>
              </w:rPr>
            </w:pPr>
            <w:r>
              <w:rPr>
                <w:rFonts w:hint="eastAsia"/>
                <w:color w:val="auto"/>
                <w:shd w:val="clear" w:color="auto" w:fill="auto"/>
                <w:lang w:val="en-US" w:eastAsia="zh-CN"/>
              </w:rPr>
              <w:t>事业收入</w:t>
            </w:r>
          </w:p>
        </w:tc>
        <w:tc>
          <w:tcPr>
            <w:tcW w:w="81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color w:val="auto"/>
                <w:shd w:val="clear" w:color="auto" w:fill="auto"/>
              </w:rPr>
            </w:pPr>
            <w:r>
              <w:rPr>
                <w:rFonts w:hint="eastAsia"/>
                <w:color w:val="auto"/>
                <w:shd w:val="clear" w:color="auto" w:fill="auto"/>
                <w:lang w:val="en-US" w:eastAsia="zh-CN"/>
              </w:rPr>
              <w:t>经营收入</w:t>
            </w:r>
          </w:p>
        </w:tc>
        <w:tc>
          <w:tcPr>
            <w:tcW w:w="88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color w:val="auto"/>
                <w:shd w:val="clear" w:color="auto" w:fill="auto"/>
              </w:rPr>
            </w:pPr>
            <w:r>
              <w:rPr>
                <w:rFonts w:hint="eastAsia"/>
                <w:color w:val="auto"/>
                <w:shd w:val="clear" w:color="auto" w:fill="auto"/>
                <w:lang w:val="en-US" w:eastAsia="zh-CN"/>
              </w:rPr>
              <w:t>附属单位上缴收入</w:t>
            </w:r>
          </w:p>
        </w:tc>
        <w:tc>
          <w:tcPr>
            <w:tcW w:w="750" w:type="dxa"/>
            <w:vMerge w:val="restart"/>
            <w:tcBorders>
              <w:top w:val="single" w:color="000000" w:sz="4" w:space="0"/>
              <w:left w:val="nil"/>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color w:val="auto"/>
                <w:shd w:val="clear" w:color="auto" w:fill="auto"/>
              </w:rPr>
            </w:pPr>
            <w:r>
              <w:rPr>
                <w:rFonts w:hint="eastAsia"/>
                <w:color w:val="auto"/>
                <w:shd w:val="clear" w:color="auto" w:fill="auto"/>
                <w:lang w:val="en-US" w:eastAsia="zh-CN"/>
              </w:rPr>
              <w:t>其他收入</w:t>
            </w:r>
          </w:p>
        </w:tc>
      </w:tr>
      <w:tr>
        <w:tblPrEx>
          <w:tblCellMar>
            <w:top w:w="0" w:type="dxa"/>
            <w:left w:w="0" w:type="dxa"/>
            <w:bottom w:w="0" w:type="dxa"/>
            <w:right w:w="0" w:type="dxa"/>
          </w:tblCellMar>
        </w:tblPrEx>
        <w:trPr>
          <w:trHeight w:val="308" w:hRule="atLeast"/>
        </w:trPr>
        <w:tc>
          <w:tcPr>
            <w:tcW w:w="80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支出功能分类科目编码</w:t>
            </w:r>
          </w:p>
        </w:tc>
        <w:tc>
          <w:tcPr>
            <w:tcW w:w="189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82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其中：教育收费</w:t>
            </w:r>
          </w:p>
        </w:tc>
        <w:tc>
          <w:tcPr>
            <w:tcW w:w="8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8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vMerge w:val="continue"/>
            <w:tcBorders>
              <w:top w:val="single" w:color="000000" w:sz="4" w:space="0"/>
              <w:left w:val="nil"/>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0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9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8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vMerge w:val="continue"/>
            <w:tcBorders>
              <w:top w:val="single" w:color="000000" w:sz="4" w:space="0"/>
              <w:left w:val="nil"/>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0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9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8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vMerge w:val="continue"/>
            <w:tcBorders>
              <w:top w:val="single" w:color="000000" w:sz="4" w:space="0"/>
              <w:left w:val="nil"/>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700"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shd w:val="clear"/>
                <w:lang w:val="en-US" w:eastAsia="zh-CN" w:bidi="ar"/>
              </w:rPr>
              <w:t>合计</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1,111.15</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1,111.15</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8" w:hRule="atLeast"/>
        </w:trPr>
        <w:tc>
          <w:tcPr>
            <w:tcW w:w="8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585.83</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585.83</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8" w:hRule="atLeast"/>
        </w:trPr>
        <w:tc>
          <w:tcPr>
            <w:tcW w:w="8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20101</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人大事务</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10.62</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10.62</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8" w:hRule="atLeast"/>
        </w:trPr>
        <w:tc>
          <w:tcPr>
            <w:tcW w:w="8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2010101</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行政运行</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10.62</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10.62</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8" w:hRule="atLeast"/>
        </w:trPr>
        <w:tc>
          <w:tcPr>
            <w:tcW w:w="8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471.92</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471.92</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8" w:hRule="atLeast"/>
        </w:trPr>
        <w:tc>
          <w:tcPr>
            <w:tcW w:w="8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2010301</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行政运行</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209.69</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209.69</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8" w:hRule="atLeast"/>
        </w:trPr>
        <w:tc>
          <w:tcPr>
            <w:tcW w:w="8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2010399</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其他政府办公厅（室）及相关机构事务支出</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262.23</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262.23</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8" w:hRule="atLeast"/>
        </w:trPr>
        <w:tc>
          <w:tcPr>
            <w:tcW w:w="8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财政事务</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41.12</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41.12</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8" w:hRule="atLeast"/>
        </w:trPr>
        <w:tc>
          <w:tcPr>
            <w:tcW w:w="8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2010601</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行政运行</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41.12</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41.12</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8" w:hRule="atLeast"/>
        </w:trPr>
        <w:tc>
          <w:tcPr>
            <w:tcW w:w="8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党委办公厅（室）及相关机构事务</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62.17</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62.17</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8" w:hRule="atLeast"/>
        </w:trPr>
        <w:tc>
          <w:tcPr>
            <w:tcW w:w="8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2013101</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行政运行</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32.17</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32.17</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8" w:hRule="atLeast"/>
        </w:trPr>
        <w:tc>
          <w:tcPr>
            <w:tcW w:w="8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2013199</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其他党委办公厅（室）及相关机构事务支出</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8" w:hRule="atLeast"/>
        </w:trPr>
        <w:tc>
          <w:tcPr>
            <w:tcW w:w="8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文化旅游体育与传媒支出</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33.57</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33.57</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8" w:hRule="atLeast"/>
        </w:trPr>
        <w:tc>
          <w:tcPr>
            <w:tcW w:w="8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文化和旅游</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33.57</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33.57</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8" w:hRule="atLeast"/>
        </w:trPr>
        <w:tc>
          <w:tcPr>
            <w:tcW w:w="8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2070109</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群众文化</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33.57</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33.57</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8" w:hRule="atLeast"/>
        </w:trPr>
        <w:tc>
          <w:tcPr>
            <w:tcW w:w="8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140.86</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140.86</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8" w:hRule="atLeast"/>
        </w:trPr>
        <w:tc>
          <w:tcPr>
            <w:tcW w:w="8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20801</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人力资源和社会保障管理事务</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58.29</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58.29</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8" w:hRule="atLeast"/>
        </w:trPr>
        <w:tc>
          <w:tcPr>
            <w:tcW w:w="8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2080105</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劳动保障监察</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58.29</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58.29</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8" w:hRule="atLeast"/>
        </w:trPr>
        <w:tc>
          <w:tcPr>
            <w:tcW w:w="8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82.57</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82.57</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8" w:hRule="atLeast"/>
        </w:trPr>
        <w:tc>
          <w:tcPr>
            <w:tcW w:w="8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机关事业单位基本养老保险缴费支出</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82.57</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82.57</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8" w:hRule="atLeast"/>
        </w:trPr>
        <w:tc>
          <w:tcPr>
            <w:tcW w:w="8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53.06</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53.06</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8" w:hRule="atLeast"/>
        </w:trPr>
        <w:tc>
          <w:tcPr>
            <w:tcW w:w="8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21007</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计划生育事务</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22.71</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22.71</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8" w:hRule="atLeast"/>
        </w:trPr>
        <w:tc>
          <w:tcPr>
            <w:tcW w:w="8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2100799</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其他计划生育事务支出</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22.71</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22.71</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8" w:hRule="atLeast"/>
        </w:trPr>
        <w:tc>
          <w:tcPr>
            <w:tcW w:w="8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30.35</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30.35</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8" w:hRule="atLeast"/>
        </w:trPr>
        <w:tc>
          <w:tcPr>
            <w:tcW w:w="8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事业单位医疗</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30.35</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30.35</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8" w:hRule="atLeast"/>
        </w:trPr>
        <w:tc>
          <w:tcPr>
            <w:tcW w:w="8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农林水支出</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257.55</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257.55</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8" w:hRule="atLeast"/>
        </w:trPr>
        <w:tc>
          <w:tcPr>
            <w:tcW w:w="8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农业</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152.32</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152.32</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8" w:hRule="atLeast"/>
        </w:trPr>
        <w:tc>
          <w:tcPr>
            <w:tcW w:w="8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2130104</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事业运行</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152.32</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152.32</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8" w:hRule="atLeast"/>
        </w:trPr>
        <w:tc>
          <w:tcPr>
            <w:tcW w:w="8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21307</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农村综合改革</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105.23</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105.23</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8" w:hRule="atLeast"/>
        </w:trPr>
        <w:tc>
          <w:tcPr>
            <w:tcW w:w="8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2130705</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对村民委员会和村党支部的补助</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105.23</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105.23</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8" w:hRule="atLeast"/>
        </w:trPr>
        <w:tc>
          <w:tcPr>
            <w:tcW w:w="8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40.29</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40.29</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8" w:hRule="atLeast"/>
        </w:trPr>
        <w:tc>
          <w:tcPr>
            <w:tcW w:w="8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40.29</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40.29</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8" w:hRule="atLeast"/>
        </w:trPr>
        <w:tc>
          <w:tcPr>
            <w:tcW w:w="8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住房公积金</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40.29</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40.29</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r>
    </w:tbl>
    <w:p>
      <w:pPr>
        <w:jc w:val="center"/>
        <w:rPr>
          <w:rFonts w:hint="eastAsia" w:ascii="宋体" w:hAnsi="宋体" w:cs="宋体"/>
          <w:b/>
          <w:bCs/>
          <w:szCs w:val="21"/>
        </w:rPr>
      </w:pPr>
    </w:p>
    <w:p>
      <w:pPr>
        <w:widowControl/>
        <w:jc w:val="center"/>
      </w:pPr>
      <w:r>
        <w:rPr>
          <w:rFonts w:hint="eastAsia" w:ascii="宋体" w:hAnsi="宋体" w:cs="宋体"/>
          <w:szCs w:val="21"/>
        </w:rPr>
        <w:t>注：本表反映部门本年度取得的各项收入情况。</w:t>
      </w:r>
      <w:r>
        <w:rPr>
          <w:rFonts w:hint="eastAsia" w:ascii="宋体" w:hAnsi="宋体" w:cs="宋体"/>
          <w:color w:val="000000"/>
          <w:kern w:val="0"/>
          <w:szCs w:val="21"/>
        </w:rPr>
        <w:t>本表金额转换为万元时，因四舍五入可能存在尾差。</w:t>
      </w: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ascii="宋体" w:hAnsi="宋体" w:cs="宋体"/>
          <w:b/>
          <w:bCs/>
          <w:sz w:val="32"/>
          <w:szCs w:val="32"/>
        </w:rPr>
      </w:pPr>
      <w:r>
        <w:rPr>
          <w:rFonts w:hint="eastAsia" w:ascii="宋体" w:hAnsi="宋体" w:cs="宋体"/>
          <w:b/>
          <w:bCs/>
          <w:sz w:val="32"/>
          <w:szCs w:val="32"/>
        </w:rPr>
        <w:t>支出决算表</w:t>
      </w:r>
    </w:p>
    <w:p>
      <w:pPr>
        <w:jc w:val="center"/>
        <w:rPr>
          <w:rFonts w:ascii="宋体" w:hAnsi="宋体" w:cs="宋体"/>
          <w:b/>
          <w:bCs/>
          <w:szCs w:val="21"/>
        </w:rPr>
      </w:pPr>
      <w:r>
        <w:rPr>
          <w:rFonts w:hint="eastAsia" w:ascii="宋体" w:hAnsi="宋体" w:cs="宋体"/>
          <w:b/>
          <w:bCs/>
          <w:szCs w:val="21"/>
          <w:lang w:val="en-US" w:eastAsia="zh-CN"/>
        </w:rPr>
        <w:t xml:space="preserve">                                                                  </w:t>
      </w:r>
      <w:r>
        <w:rPr>
          <w:rFonts w:hint="eastAsia" w:ascii="宋体" w:hAnsi="宋体" w:cs="宋体"/>
          <w:b/>
          <w:bCs/>
          <w:szCs w:val="21"/>
        </w:rPr>
        <w:t>公开03表</w:t>
      </w:r>
    </w:p>
    <w:p>
      <w:pPr>
        <w:jc w:val="center"/>
        <w:rPr>
          <w:rFonts w:hint="eastAsia" w:ascii="宋体" w:hAnsi="宋体" w:cs="宋体"/>
          <w:b/>
          <w:bCs/>
          <w:szCs w:val="21"/>
        </w:rPr>
      </w:pPr>
      <w:r>
        <w:rPr>
          <w:rFonts w:hint="eastAsia" w:ascii="宋体" w:hAnsi="宋体" w:cs="宋体"/>
          <w:b/>
          <w:bCs/>
          <w:color w:val="auto"/>
          <w:szCs w:val="21"/>
        </w:rPr>
        <w:t>编制部门：</w:t>
      </w:r>
      <w:r>
        <w:rPr>
          <w:rFonts w:hint="eastAsia" w:ascii="宋体" w:hAnsi="宋体" w:cs="宋体"/>
          <w:b/>
          <w:bCs/>
          <w:color w:val="auto"/>
          <w:szCs w:val="21"/>
          <w:lang w:eastAsia="zh-CN"/>
        </w:rPr>
        <w:t>靖边县龙洲镇人民政府（汇总）</w:t>
      </w:r>
      <w:r>
        <w:rPr>
          <w:rFonts w:hint="eastAsia" w:ascii="宋体" w:hAnsi="宋体" w:cs="宋体"/>
          <w:b/>
          <w:bCs/>
          <w:color w:val="2E75B6" w:themeColor="accent1" w:themeShade="BF"/>
          <w:szCs w:val="21"/>
        </w:rPr>
        <w:t xml:space="preserve">    </w:t>
      </w:r>
      <w:r>
        <w:rPr>
          <w:rFonts w:hint="eastAsia" w:ascii="宋体" w:hAnsi="宋体" w:cs="宋体"/>
          <w:b/>
          <w:bCs/>
          <w:szCs w:val="21"/>
        </w:rPr>
        <w:t xml:space="preserve">                          金额单位：万元</w:t>
      </w:r>
    </w:p>
    <w:p>
      <w:pPr>
        <w:widowControl/>
        <w:jc w:val="center"/>
      </w:pPr>
      <w:r>
        <w:rPr>
          <w:rFonts w:hint="eastAsia" w:ascii="宋体" w:hAnsi="宋体" w:cs="宋体"/>
          <w:szCs w:val="21"/>
        </w:rPr>
        <w:t>注：本表反映部门本年度各项支出情况。</w:t>
      </w:r>
      <w:r>
        <w:rPr>
          <w:rFonts w:hint="eastAsia" w:ascii="宋体" w:hAnsi="宋体" w:cs="宋体"/>
          <w:color w:val="000000"/>
          <w:kern w:val="0"/>
          <w:szCs w:val="21"/>
        </w:rPr>
        <w:t>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rPr>
        <w:t>财政拨款收入支出决算总表</w:t>
      </w:r>
    </w:p>
    <w:p>
      <w:pPr>
        <w:jc w:val="center"/>
        <w:rPr>
          <w:rFonts w:ascii="宋体" w:hAnsi="宋体" w:cs="宋体"/>
          <w:b/>
          <w:bCs/>
          <w:szCs w:val="21"/>
        </w:rPr>
      </w:pPr>
      <w:r>
        <w:rPr>
          <w:rFonts w:hint="eastAsia" w:ascii="宋体" w:hAnsi="宋体" w:cs="宋体"/>
          <w:b/>
          <w:bCs/>
          <w:szCs w:val="21"/>
        </w:rPr>
        <w:t>公开04表</w:t>
      </w:r>
    </w:p>
    <w:p>
      <w:pPr>
        <w:jc w:val="center"/>
        <w:rPr>
          <w:rFonts w:ascii="宋体" w:hAnsi="宋体" w:cs="宋体"/>
          <w:b/>
          <w:bCs/>
          <w:color w:val="auto"/>
          <w:szCs w:val="21"/>
        </w:rPr>
      </w:pPr>
      <w:r>
        <w:rPr>
          <w:rFonts w:hint="eastAsia" w:ascii="宋体" w:hAnsi="宋体" w:cs="宋体"/>
          <w:b/>
          <w:bCs/>
          <w:color w:val="auto"/>
          <w:szCs w:val="21"/>
        </w:rPr>
        <w:t>编制部门：</w:t>
      </w:r>
      <w:r>
        <w:rPr>
          <w:rFonts w:hint="eastAsia" w:ascii="宋体" w:hAnsi="宋体" w:cs="宋体"/>
          <w:b/>
          <w:bCs/>
          <w:color w:val="auto"/>
          <w:szCs w:val="21"/>
          <w:lang w:eastAsia="zh-CN"/>
        </w:rPr>
        <w:t>靖边县龙洲镇人民政府（汇总）</w:t>
      </w:r>
      <w:r>
        <w:rPr>
          <w:rFonts w:hint="eastAsia" w:ascii="宋体" w:hAnsi="宋体" w:cs="宋体"/>
          <w:b/>
          <w:bCs/>
          <w:color w:val="auto"/>
          <w:szCs w:val="21"/>
        </w:rPr>
        <w:t xml:space="preserve">                    </w:t>
      </w:r>
      <w:r>
        <w:rPr>
          <w:rFonts w:hint="eastAsia" w:ascii="宋体" w:hAnsi="宋体" w:cs="宋体"/>
          <w:b/>
          <w:bCs/>
          <w:color w:val="auto"/>
          <w:szCs w:val="21"/>
          <w:lang w:val="en-US" w:eastAsia="zh-CN"/>
        </w:rPr>
        <w:t xml:space="preserve"> </w:t>
      </w:r>
      <w:r>
        <w:rPr>
          <w:rFonts w:hint="eastAsia" w:ascii="宋体" w:hAnsi="宋体" w:cs="宋体"/>
          <w:b/>
          <w:bCs/>
          <w:color w:val="auto"/>
          <w:szCs w:val="21"/>
        </w:rPr>
        <w:t xml:space="preserve">        金额单位：万元</w:t>
      </w:r>
    </w:p>
    <w:tbl>
      <w:tblPr>
        <w:tblStyle w:val="8"/>
        <w:tblW w:w="9210" w:type="dxa"/>
        <w:tblInd w:w="0" w:type="dxa"/>
        <w:tblLayout w:type="fixed"/>
        <w:tblCellMar>
          <w:top w:w="15" w:type="dxa"/>
          <w:left w:w="15" w:type="dxa"/>
          <w:bottom w:w="15" w:type="dxa"/>
          <w:right w:w="15" w:type="dxa"/>
        </w:tblCellMar>
      </w:tblPr>
      <w:tblGrid>
        <w:gridCol w:w="2565"/>
        <w:gridCol w:w="915"/>
        <w:gridCol w:w="1545"/>
        <w:gridCol w:w="1470"/>
        <w:gridCol w:w="1365"/>
        <w:gridCol w:w="1350"/>
      </w:tblGrid>
      <w:tr>
        <w:tblPrEx>
          <w:tblCellMar>
            <w:top w:w="15" w:type="dxa"/>
            <w:left w:w="15" w:type="dxa"/>
            <w:bottom w:w="15" w:type="dxa"/>
            <w:right w:w="15" w:type="dxa"/>
          </w:tblCellMar>
        </w:tblPrEx>
        <w:trPr>
          <w:trHeight w:val="183" w:hRule="atLeast"/>
        </w:trPr>
        <w:tc>
          <w:tcPr>
            <w:tcW w:w="34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szCs w:val="21"/>
              </w:rPr>
              <w:t>收入</w:t>
            </w:r>
          </w:p>
        </w:tc>
        <w:tc>
          <w:tcPr>
            <w:tcW w:w="573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szCs w:val="21"/>
              </w:rPr>
              <w:t>支出</w:t>
            </w:r>
          </w:p>
        </w:tc>
      </w:tr>
      <w:tr>
        <w:tblPrEx>
          <w:tblCellMar>
            <w:top w:w="15" w:type="dxa"/>
            <w:left w:w="15" w:type="dxa"/>
            <w:bottom w:w="15" w:type="dxa"/>
            <w:right w:w="15" w:type="dxa"/>
          </w:tblCellMar>
        </w:tblPrEx>
        <w:trPr>
          <w:trHeight w:val="338" w:hRule="atLeast"/>
        </w:trPr>
        <w:tc>
          <w:tcPr>
            <w:tcW w:w="2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项    目</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决算数</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项目</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合计</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一般公共预算财政拨款</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政府性基金预算财政拨款</w:t>
            </w:r>
          </w:p>
        </w:tc>
      </w:tr>
      <w:tr>
        <w:tblPrEx>
          <w:tblCellMar>
            <w:top w:w="15" w:type="dxa"/>
            <w:left w:w="15" w:type="dxa"/>
            <w:bottom w:w="15" w:type="dxa"/>
            <w:right w:w="15" w:type="dxa"/>
          </w:tblCellMar>
        </w:tblPrEx>
        <w:trPr>
          <w:trHeight w:val="175" w:hRule="atLeast"/>
        </w:trPr>
        <w:tc>
          <w:tcPr>
            <w:tcW w:w="2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1、一般公共预算财政拨款</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1,111.15</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1、一般公共服务支出</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253.48</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253.48</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r>
      <w:tr>
        <w:tblPrEx>
          <w:tblCellMar>
            <w:top w:w="15" w:type="dxa"/>
            <w:left w:w="15" w:type="dxa"/>
            <w:bottom w:w="15" w:type="dxa"/>
            <w:right w:w="15" w:type="dxa"/>
          </w:tblCellMar>
        </w:tblPrEx>
        <w:trPr>
          <w:trHeight w:val="90" w:hRule="atLeast"/>
        </w:trPr>
        <w:tc>
          <w:tcPr>
            <w:tcW w:w="2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2、政府性基金预算财政拨款</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2、外交支出</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r>
      <w:tr>
        <w:tblPrEx>
          <w:tblCellMar>
            <w:top w:w="15" w:type="dxa"/>
            <w:left w:w="15" w:type="dxa"/>
            <w:bottom w:w="15" w:type="dxa"/>
            <w:right w:w="15" w:type="dxa"/>
          </w:tblCellMar>
        </w:tblPrEx>
        <w:trPr>
          <w:trHeight w:val="345" w:hRule="atLeast"/>
        </w:trPr>
        <w:tc>
          <w:tcPr>
            <w:tcW w:w="2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3、国防支出</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r>
      <w:tr>
        <w:tblPrEx>
          <w:tblCellMar>
            <w:top w:w="15" w:type="dxa"/>
            <w:left w:w="15" w:type="dxa"/>
            <w:bottom w:w="15" w:type="dxa"/>
            <w:right w:w="15" w:type="dxa"/>
          </w:tblCellMar>
        </w:tblPrEx>
        <w:trPr>
          <w:trHeight w:val="183" w:hRule="atLeast"/>
        </w:trPr>
        <w:tc>
          <w:tcPr>
            <w:tcW w:w="2565"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hAnsi="宋体" w:cs="宋体"/>
                <w:color w:val="000000"/>
                <w:szCs w:val="21"/>
              </w:rPr>
            </w:pPr>
          </w:p>
        </w:tc>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4、公共安全支出</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r>
      <w:tr>
        <w:tblPrEx>
          <w:tblCellMar>
            <w:top w:w="15" w:type="dxa"/>
            <w:left w:w="15" w:type="dxa"/>
            <w:bottom w:w="15" w:type="dxa"/>
            <w:right w:w="15" w:type="dxa"/>
          </w:tblCellMar>
        </w:tblPrEx>
        <w:trPr>
          <w:trHeight w:val="183" w:hRule="atLeast"/>
        </w:trPr>
        <w:tc>
          <w:tcPr>
            <w:tcW w:w="25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5、教育支出</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r>
      <w:tr>
        <w:tblPrEx>
          <w:tblCellMar>
            <w:top w:w="15" w:type="dxa"/>
            <w:left w:w="15" w:type="dxa"/>
            <w:bottom w:w="15" w:type="dxa"/>
            <w:right w:w="15" w:type="dxa"/>
          </w:tblCellMar>
        </w:tblPrEx>
        <w:trPr>
          <w:trHeight w:val="183" w:hRule="atLeast"/>
        </w:trPr>
        <w:tc>
          <w:tcPr>
            <w:tcW w:w="25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6、科学技术支出</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r>
      <w:tr>
        <w:tblPrEx>
          <w:tblCellMar>
            <w:top w:w="15" w:type="dxa"/>
            <w:left w:w="15" w:type="dxa"/>
            <w:bottom w:w="15" w:type="dxa"/>
            <w:right w:w="15" w:type="dxa"/>
          </w:tblCellMar>
        </w:tblPrEx>
        <w:trPr>
          <w:trHeight w:val="183" w:hRule="atLeast"/>
        </w:trPr>
        <w:tc>
          <w:tcPr>
            <w:tcW w:w="25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w:t>
            </w:r>
            <w:r>
              <w:rPr>
                <w:rFonts w:hint="eastAsia" w:ascii="宋体" w:hAnsi="宋体" w:cs="宋体"/>
                <w:color w:val="000000"/>
                <w:spacing w:val="-11"/>
                <w:w w:val="98"/>
                <w:kern w:val="0"/>
                <w:szCs w:val="21"/>
              </w:rPr>
              <w:t>文化旅游体育与传媒支出</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41.77</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41.77</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r>
      <w:tr>
        <w:tblPrEx>
          <w:tblCellMar>
            <w:top w:w="15" w:type="dxa"/>
            <w:left w:w="15" w:type="dxa"/>
            <w:bottom w:w="15" w:type="dxa"/>
            <w:right w:w="15" w:type="dxa"/>
          </w:tblCellMar>
        </w:tblPrEx>
        <w:trPr>
          <w:trHeight w:val="183" w:hRule="atLeast"/>
        </w:trPr>
        <w:tc>
          <w:tcPr>
            <w:tcW w:w="25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8、社会保障和就业支出</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105.96</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105.96</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r>
      <w:tr>
        <w:tblPrEx>
          <w:tblCellMar>
            <w:top w:w="15" w:type="dxa"/>
            <w:left w:w="15" w:type="dxa"/>
            <w:bottom w:w="15" w:type="dxa"/>
            <w:right w:w="15" w:type="dxa"/>
          </w:tblCellMar>
        </w:tblPrEx>
        <w:trPr>
          <w:trHeight w:val="183" w:hRule="atLeast"/>
        </w:trPr>
        <w:tc>
          <w:tcPr>
            <w:tcW w:w="25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9、卫生健康支出</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41.29</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41.29</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r>
      <w:tr>
        <w:tblPrEx>
          <w:tblCellMar>
            <w:top w:w="15" w:type="dxa"/>
            <w:left w:w="15" w:type="dxa"/>
            <w:bottom w:w="15" w:type="dxa"/>
            <w:right w:w="15" w:type="dxa"/>
          </w:tblCellMar>
        </w:tblPrEx>
        <w:trPr>
          <w:trHeight w:val="183" w:hRule="atLeast"/>
        </w:trPr>
        <w:tc>
          <w:tcPr>
            <w:tcW w:w="25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10、节能环保支出</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r>
      <w:tr>
        <w:tblPrEx>
          <w:tblCellMar>
            <w:top w:w="15" w:type="dxa"/>
            <w:left w:w="15" w:type="dxa"/>
            <w:bottom w:w="15" w:type="dxa"/>
            <w:right w:w="15" w:type="dxa"/>
          </w:tblCellMar>
        </w:tblPrEx>
        <w:trPr>
          <w:trHeight w:val="183" w:hRule="atLeast"/>
        </w:trPr>
        <w:tc>
          <w:tcPr>
            <w:tcW w:w="25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11、城乡社区支出</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r>
      <w:tr>
        <w:tblPrEx>
          <w:tblCellMar>
            <w:top w:w="15" w:type="dxa"/>
            <w:left w:w="15" w:type="dxa"/>
            <w:bottom w:w="15" w:type="dxa"/>
            <w:right w:w="15" w:type="dxa"/>
          </w:tblCellMar>
        </w:tblPrEx>
        <w:trPr>
          <w:trHeight w:val="183" w:hRule="atLeast"/>
        </w:trPr>
        <w:tc>
          <w:tcPr>
            <w:tcW w:w="25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12、农林水支出</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258.07</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258.07</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r>
      <w:tr>
        <w:tblPrEx>
          <w:tblCellMar>
            <w:top w:w="15" w:type="dxa"/>
            <w:left w:w="15" w:type="dxa"/>
            <w:bottom w:w="15" w:type="dxa"/>
            <w:right w:w="15" w:type="dxa"/>
          </w:tblCellMar>
        </w:tblPrEx>
        <w:trPr>
          <w:trHeight w:val="183" w:hRule="atLeast"/>
        </w:trPr>
        <w:tc>
          <w:tcPr>
            <w:tcW w:w="25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13、交通运输支出</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r>
      <w:tr>
        <w:tblPrEx>
          <w:tblCellMar>
            <w:top w:w="15" w:type="dxa"/>
            <w:left w:w="15" w:type="dxa"/>
            <w:bottom w:w="15" w:type="dxa"/>
            <w:right w:w="15" w:type="dxa"/>
          </w:tblCellMar>
        </w:tblPrEx>
        <w:trPr>
          <w:trHeight w:val="183" w:hRule="atLeast"/>
        </w:trPr>
        <w:tc>
          <w:tcPr>
            <w:tcW w:w="25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14、资源勘探信息等支出</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r>
      <w:tr>
        <w:tblPrEx>
          <w:tblCellMar>
            <w:top w:w="15" w:type="dxa"/>
            <w:left w:w="15" w:type="dxa"/>
            <w:bottom w:w="15" w:type="dxa"/>
            <w:right w:w="15" w:type="dxa"/>
          </w:tblCellMar>
        </w:tblPrEx>
        <w:trPr>
          <w:trHeight w:val="183" w:hRule="atLeast"/>
        </w:trPr>
        <w:tc>
          <w:tcPr>
            <w:tcW w:w="25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15、商业服务业等支出</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r>
      <w:tr>
        <w:tblPrEx>
          <w:tblCellMar>
            <w:top w:w="15" w:type="dxa"/>
            <w:left w:w="15" w:type="dxa"/>
            <w:bottom w:w="15" w:type="dxa"/>
            <w:right w:w="15" w:type="dxa"/>
          </w:tblCellMar>
        </w:tblPrEx>
        <w:trPr>
          <w:trHeight w:val="183" w:hRule="atLeast"/>
        </w:trPr>
        <w:tc>
          <w:tcPr>
            <w:tcW w:w="25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16、金融支出</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r>
      <w:tr>
        <w:tblPrEx>
          <w:tblCellMar>
            <w:top w:w="15" w:type="dxa"/>
            <w:left w:w="15" w:type="dxa"/>
            <w:bottom w:w="15" w:type="dxa"/>
            <w:right w:w="15" w:type="dxa"/>
          </w:tblCellMar>
        </w:tblPrEx>
        <w:trPr>
          <w:trHeight w:val="183" w:hRule="atLeast"/>
        </w:trPr>
        <w:tc>
          <w:tcPr>
            <w:tcW w:w="25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17、援助其他地区支出</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r>
      <w:tr>
        <w:tblPrEx>
          <w:tblCellMar>
            <w:top w:w="15" w:type="dxa"/>
            <w:left w:w="15" w:type="dxa"/>
            <w:bottom w:w="15" w:type="dxa"/>
            <w:right w:w="15" w:type="dxa"/>
          </w:tblCellMar>
        </w:tblPrEx>
        <w:trPr>
          <w:trHeight w:val="183" w:hRule="atLeast"/>
        </w:trPr>
        <w:tc>
          <w:tcPr>
            <w:tcW w:w="25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w:t>
            </w:r>
            <w:r>
              <w:rPr>
                <w:rFonts w:hint="eastAsia" w:ascii="宋体" w:hAnsi="宋体" w:cs="宋体"/>
                <w:color w:val="000000"/>
                <w:spacing w:val="-11"/>
                <w:w w:val="98"/>
                <w:kern w:val="0"/>
                <w:szCs w:val="21"/>
              </w:rPr>
              <w:t>自然资源海洋气象等支出</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r>
      <w:tr>
        <w:tblPrEx>
          <w:tblCellMar>
            <w:top w:w="15" w:type="dxa"/>
            <w:left w:w="15" w:type="dxa"/>
            <w:bottom w:w="15" w:type="dxa"/>
            <w:right w:w="15" w:type="dxa"/>
          </w:tblCellMar>
        </w:tblPrEx>
        <w:trPr>
          <w:trHeight w:val="183" w:hRule="atLeast"/>
        </w:trPr>
        <w:tc>
          <w:tcPr>
            <w:tcW w:w="25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19、住房保障支出</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15.96</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15.96</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r>
      <w:tr>
        <w:tblPrEx>
          <w:tblCellMar>
            <w:top w:w="15" w:type="dxa"/>
            <w:left w:w="15" w:type="dxa"/>
            <w:bottom w:w="15" w:type="dxa"/>
            <w:right w:w="15" w:type="dxa"/>
          </w:tblCellMar>
        </w:tblPrEx>
        <w:trPr>
          <w:trHeight w:val="183" w:hRule="atLeast"/>
        </w:trPr>
        <w:tc>
          <w:tcPr>
            <w:tcW w:w="25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20、粮油物资储备支出</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r>
      <w:tr>
        <w:tblPrEx>
          <w:tblCellMar>
            <w:top w:w="15" w:type="dxa"/>
            <w:left w:w="15" w:type="dxa"/>
            <w:bottom w:w="15" w:type="dxa"/>
            <w:right w:w="15" w:type="dxa"/>
          </w:tblCellMar>
        </w:tblPrEx>
        <w:trPr>
          <w:trHeight w:val="183" w:hRule="atLeast"/>
        </w:trPr>
        <w:tc>
          <w:tcPr>
            <w:tcW w:w="25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21、灾害防治及应急管理支出</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cs="宋体"/>
                <w:i w:val="0"/>
                <w:color w:val="000000"/>
                <w:kern w:val="0"/>
                <w:sz w:val="22"/>
                <w:szCs w:val="22"/>
                <w:u w:val="none"/>
                <w:lang w:val="en-US" w:eastAsia="zh-CN" w:bidi="ar"/>
              </w:rPr>
              <w:t>-</w:t>
            </w:r>
          </w:p>
        </w:tc>
      </w:tr>
      <w:tr>
        <w:tblPrEx>
          <w:tblCellMar>
            <w:top w:w="15" w:type="dxa"/>
            <w:left w:w="15" w:type="dxa"/>
            <w:bottom w:w="15" w:type="dxa"/>
            <w:right w:w="15" w:type="dxa"/>
          </w:tblCellMar>
        </w:tblPrEx>
        <w:trPr>
          <w:trHeight w:val="188" w:hRule="atLeast"/>
        </w:trPr>
        <w:tc>
          <w:tcPr>
            <w:tcW w:w="2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22、其他支出</w:t>
            </w:r>
          </w:p>
        </w:tc>
        <w:tc>
          <w:tcPr>
            <w:tcW w:w="1470"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c>
          <w:tcPr>
            <w:tcW w:w="1365"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c>
          <w:tcPr>
            <w:tcW w:w="1350"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r>
      <w:tr>
        <w:tblPrEx>
          <w:tblCellMar>
            <w:top w:w="15" w:type="dxa"/>
            <w:left w:w="15" w:type="dxa"/>
            <w:bottom w:w="15" w:type="dxa"/>
            <w:right w:w="15" w:type="dxa"/>
          </w:tblCellMar>
        </w:tblPrEx>
        <w:trPr>
          <w:trHeight w:val="188" w:hRule="atLeast"/>
        </w:trPr>
        <w:tc>
          <w:tcPr>
            <w:tcW w:w="2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本年收入合计</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1,111.15</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1470"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1,111.15</w:t>
            </w:r>
          </w:p>
        </w:tc>
        <w:tc>
          <w:tcPr>
            <w:tcW w:w="1365"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1,111.15</w:t>
            </w:r>
          </w:p>
        </w:tc>
        <w:tc>
          <w:tcPr>
            <w:tcW w:w="1350" w:type="dxa"/>
            <w:tcBorders>
              <w:top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i w:val="0"/>
                <w:color w:val="000000"/>
                <w:kern w:val="0"/>
                <w:sz w:val="22"/>
                <w:szCs w:val="22"/>
                <w:u w:val="none"/>
                <w:lang w:val="en-US" w:eastAsia="zh-CN" w:bidi="ar"/>
              </w:rPr>
              <w:t>-</w:t>
            </w:r>
          </w:p>
        </w:tc>
      </w:tr>
      <w:tr>
        <w:tblPrEx>
          <w:tblCellMar>
            <w:top w:w="15" w:type="dxa"/>
            <w:left w:w="15" w:type="dxa"/>
            <w:bottom w:w="15" w:type="dxa"/>
            <w:right w:w="15" w:type="dxa"/>
          </w:tblCellMar>
        </w:tblPrEx>
        <w:trPr>
          <w:trHeight w:val="188" w:hRule="atLeast"/>
        </w:trPr>
        <w:tc>
          <w:tcPr>
            <w:tcW w:w="2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年初财政拨款结转和结余</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color w:val="000000"/>
                <w:kern w:val="0"/>
                <w:szCs w:val="21"/>
              </w:rPr>
              <w:t>年末财政拨款结转和结余</w:t>
            </w:r>
          </w:p>
        </w:tc>
        <w:tc>
          <w:tcPr>
            <w:tcW w:w="1470"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c>
          <w:tcPr>
            <w:tcW w:w="1365"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c>
          <w:tcPr>
            <w:tcW w:w="1350"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r>
      <w:tr>
        <w:tblPrEx>
          <w:tblCellMar>
            <w:top w:w="15" w:type="dxa"/>
            <w:left w:w="15" w:type="dxa"/>
            <w:bottom w:w="15" w:type="dxa"/>
            <w:right w:w="15" w:type="dxa"/>
          </w:tblCellMar>
        </w:tblPrEx>
        <w:trPr>
          <w:trHeight w:val="188" w:hRule="atLeast"/>
        </w:trPr>
        <w:tc>
          <w:tcPr>
            <w:tcW w:w="2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color w:val="000000"/>
                <w:kern w:val="0"/>
                <w:szCs w:val="21"/>
              </w:rPr>
              <w:t>1、一般公共预算财政拨款</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470" w:type="dxa"/>
            <w:tcBorders>
              <w:top w:val="single" w:color="000000" w:sz="4" w:space="0"/>
              <w:bottom w:val="single" w:color="000000" w:sz="4" w:space="0"/>
              <w:right w:val="single" w:color="000000" w:sz="4" w:space="0"/>
            </w:tcBorders>
            <w:vAlign w:val="center"/>
          </w:tcPr>
          <w:p>
            <w:pPr>
              <w:widowControl/>
              <w:ind w:firstLine="210" w:firstLineChars="100"/>
              <w:jc w:val="center"/>
              <w:textAlignment w:val="center"/>
              <w:rPr>
                <w:rFonts w:ascii="宋体" w:hAnsi="宋体" w:cs="宋体"/>
                <w:color w:val="000000"/>
                <w:kern w:val="0"/>
                <w:szCs w:val="21"/>
              </w:rPr>
            </w:pPr>
          </w:p>
        </w:tc>
        <w:tc>
          <w:tcPr>
            <w:tcW w:w="1365" w:type="dxa"/>
            <w:tcBorders>
              <w:top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350" w:type="dxa"/>
            <w:tcBorders>
              <w:top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188" w:hRule="atLeast"/>
        </w:trPr>
        <w:tc>
          <w:tcPr>
            <w:tcW w:w="2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color w:val="000000"/>
                <w:kern w:val="0"/>
                <w:szCs w:val="21"/>
              </w:rPr>
              <w:t>2、政府性基金预算财政拨款</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470" w:type="dxa"/>
            <w:tcBorders>
              <w:top w:val="single" w:color="000000" w:sz="4" w:space="0"/>
              <w:bottom w:val="single" w:color="000000" w:sz="4" w:space="0"/>
              <w:right w:val="single" w:color="000000" w:sz="4" w:space="0"/>
            </w:tcBorders>
            <w:vAlign w:val="center"/>
          </w:tcPr>
          <w:p>
            <w:pPr>
              <w:widowControl/>
              <w:ind w:firstLine="210" w:firstLineChars="100"/>
              <w:jc w:val="center"/>
              <w:textAlignment w:val="center"/>
              <w:rPr>
                <w:rFonts w:ascii="宋体" w:hAnsi="宋体" w:cs="宋体"/>
                <w:color w:val="000000"/>
                <w:kern w:val="0"/>
                <w:szCs w:val="21"/>
              </w:rPr>
            </w:pPr>
          </w:p>
        </w:tc>
        <w:tc>
          <w:tcPr>
            <w:tcW w:w="1365" w:type="dxa"/>
            <w:tcBorders>
              <w:top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350" w:type="dxa"/>
            <w:tcBorders>
              <w:top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188" w:hRule="atLeast"/>
        </w:trPr>
        <w:tc>
          <w:tcPr>
            <w:tcW w:w="2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收入总计</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1,111.15</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支出总计</w:t>
            </w:r>
          </w:p>
        </w:tc>
        <w:tc>
          <w:tcPr>
            <w:tcW w:w="1470"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1,111.15</w:t>
            </w:r>
          </w:p>
        </w:tc>
        <w:tc>
          <w:tcPr>
            <w:tcW w:w="1365"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1,111.15</w:t>
            </w:r>
          </w:p>
        </w:tc>
        <w:tc>
          <w:tcPr>
            <w:tcW w:w="1350" w:type="dxa"/>
            <w:tcBorders>
              <w:top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i w:val="0"/>
                <w:color w:val="000000"/>
                <w:kern w:val="0"/>
                <w:sz w:val="22"/>
                <w:szCs w:val="22"/>
                <w:u w:val="none"/>
                <w:lang w:val="en-US" w:eastAsia="zh-CN" w:bidi="ar"/>
              </w:rPr>
              <w:t>-</w:t>
            </w:r>
          </w:p>
        </w:tc>
      </w:tr>
    </w:tbl>
    <w:p>
      <w:pPr>
        <w:jc w:val="center"/>
        <w:rPr>
          <w:rFonts w:ascii="宋体" w:hAnsi="宋体" w:cs="宋体"/>
          <w:bCs/>
          <w:szCs w:val="21"/>
        </w:rPr>
      </w:pPr>
      <w:r>
        <w:rPr>
          <w:rFonts w:hint="eastAsia" w:ascii="宋体" w:hAnsi="宋体" w:cs="宋体"/>
          <w:bCs/>
          <w:szCs w:val="21"/>
        </w:rPr>
        <w:t>注：本表反映部门本年度一般公共预算财政拨款和政府性基金预算财政拨款的总收支和年末结转结余情况。本表金额转换为万元时，因四舍五入可能存在尾差。</w:t>
      </w: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both"/>
        <w:rPr>
          <w:rFonts w:hint="eastAsia" w:ascii="宋体" w:hAnsi="宋体" w:cs="宋体"/>
          <w:b/>
          <w:bCs/>
          <w:sz w:val="32"/>
          <w:szCs w:val="32"/>
        </w:rPr>
      </w:pPr>
    </w:p>
    <w:p>
      <w:pPr>
        <w:jc w:val="center"/>
        <w:rPr>
          <w:rFonts w:ascii="宋体" w:hAnsi="宋体" w:cs="宋体"/>
          <w:b/>
          <w:bCs/>
          <w:sz w:val="32"/>
          <w:szCs w:val="32"/>
        </w:rPr>
      </w:pPr>
      <w:r>
        <w:rPr>
          <w:rFonts w:hint="eastAsia" w:ascii="宋体" w:hAnsi="宋体" w:cs="宋体"/>
          <w:b/>
          <w:bCs/>
          <w:sz w:val="32"/>
          <w:szCs w:val="32"/>
        </w:rPr>
        <w:t>一般公共预算财政拨款支出决算表（按功能分类科目）</w:t>
      </w:r>
    </w:p>
    <w:p>
      <w:pPr>
        <w:rPr>
          <w:rFonts w:ascii="宋体" w:hAnsi="宋体" w:cs="宋体"/>
          <w:b/>
          <w:bCs/>
          <w:szCs w:val="21"/>
        </w:rPr>
      </w:pPr>
      <w:r>
        <w:rPr>
          <w:rFonts w:hint="eastAsia" w:ascii="宋体" w:hAnsi="宋体" w:cs="宋体"/>
          <w:b/>
          <w:bCs/>
          <w:szCs w:val="21"/>
        </w:rPr>
        <w:t xml:space="preserve">                                                                          公开05表</w:t>
      </w:r>
    </w:p>
    <w:p>
      <w:pPr>
        <w:rPr>
          <w:rFonts w:hint="eastAsia" w:ascii="宋体" w:hAnsi="宋体" w:cs="宋体"/>
          <w:b/>
          <w:bCs/>
          <w:szCs w:val="21"/>
        </w:rPr>
      </w:pPr>
      <w:r>
        <w:rPr>
          <w:rFonts w:hint="eastAsia" w:ascii="宋体" w:hAnsi="宋体" w:cs="宋体"/>
          <w:b/>
          <w:bCs/>
          <w:color w:val="auto"/>
          <w:szCs w:val="21"/>
        </w:rPr>
        <w:t>编制部门</w:t>
      </w:r>
      <w:r>
        <w:rPr>
          <w:rFonts w:hint="eastAsia" w:ascii="宋体" w:hAnsi="宋体" w:cs="宋体"/>
          <w:b/>
          <w:bCs/>
          <w:color w:val="2E75B6" w:themeColor="accent1" w:themeShade="BF"/>
          <w:szCs w:val="21"/>
        </w:rPr>
        <w:t>：</w:t>
      </w:r>
      <w:r>
        <w:rPr>
          <w:rFonts w:hint="eastAsia" w:ascii="宋体" w:hAnsi="宋体" w:cs="宋体"/>
          <w:b/>
          <w:bCs/>
          <w:color w:val="auto"/>
          <w:szCs w:val="21"/>
          <w:lang w:eastAsia="zh-CN"/>
        </w:rPr>
        <w:t>靖边县龙洲镇人民政府（汇总）</w:t>
      </w:r>
      <w:r>
        <w:rPr>
          <w:rFonts w:hint="eastAsia" w:ascii="宋体" w:hAnsi="宋体" w:cs="宋体"/>
          <w:b/>
          <w:bCs/>
          <w:szCs w:val="21"/>
        </w:rPr>
        <w:t xml:space="preserve">                              金额单位：万元</w:t>
      </w:r>
    </w:p>
    <w:tbl>
      <w:tblPr>
        <w:tblStyle w:val="8"/>
        <w:tblW w:w="9150" w:type="dxa"/>
        <w:tblInd w:w="0" w:type="dxa"/>
        <w:shd w:val="clear" w:color="auto" w:fill="auto"/>
        <w:tblLayout w:type="fixed"/>
        <w:tblCellMar>
          <w:top w:w="0" w:type="dxa"/>
          <w:left w:w="0" w:type="dxa"/>
          <w:bottom w:w="0" w:type="dxa"/>
          <w:right w:w="0" w:type="dxa"/>
        </w:tblCellMar>
      </w:tblPr>
      <w:tblGrid>
        <w:gridCol w:w="800"/>
        <w:gridCol w:w="2920"/>
        <w:gridCol w:w="975"/>
        <w:gridCol w:w="1050"/>
        <w:gridCol w:w="1050"/>
        <w:gridCol w:w="1005"/>
        <w:gridCol w:w="750"/>
        <w:gridCol w:w="600"/>
      </w:tblGrid>
      <w:tr>
        <w:tblPrEx>
          <w:shd w:val="clear" w:color="auto" w:fill="auto"/>
          <w:tblCellMar>
            <w:top w:w="0" w:type="dxa"/>
            <w:left w:w="0" w:type="dxa"/>
            <w:bottom w:w="0" w:type="dxa"/>
            <w:right w:w="0" w:type="dxa"/>
          </w:tblCellMar>
        </w:tblPrEx>
        <w:trPr>
          <w:trHeight w:val="308" w:hRule="atLeast"/>
        </w:trPr>
        <w:tc>
          <w:tcPr>
            <w:tcW w:w="3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97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3105" w:type="dxa"/>
            <w:gridSpan w:val="3"/>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750" w:type="dxa"/>
            <w:vMerge w:val="restart"/>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308" w:hRule="atLeast"/>
        </w:trPr>
        <w:tc>
          <w:tcPr>
            <w:tcW w:w="80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支出功能分类科目编码</w:t>
            </w:r>
          </w:p>
        </w:tc>
        <w:tc>
          <w:tcPr>
            <w:tcW w:w="292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9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05" w:type="dxa"/>
            <w:gridSpan w:val="3"/>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7" w:hRule="atLeast"/>
        </w:trPr>
        <w:tc>
          <w:tcPr>
            <w:tcW w:w="80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0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100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c>
          <w:tcPr>
            <w:tcW w:w="750"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15" w:hRule="atLeast"/>
        </w:trPr>
        <w:tc>
          <w:tcPr>
            <w:tcW w:w="80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720"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1,111.15</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713.69</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601.95</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111.74</w:t>
            </w:r>
          </w:p>
        </w:tc>
        <w:tc>
          <w:tcPr>
            <w:tcW w:w="75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397.46</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2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585.83</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293.60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181.86</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111.74</w:t>
            </w:r>
          </w:p>
        </w:tc>
        <w:tc>
          <w:tcPr>
            <w:tcW w:w="75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292.23</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20101</w:t>
            </w:r>
          </w:p>
        </w:tc>
        <w:tc>
          <w:tcPr>
            <w:tcW w:w="2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人大事务</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10.62</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10.62</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9.18</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w:t>
            </w:r>
          </w:p>
        </w:tc>
        <w:tc>
          <w:tcPr>
            <w:tcW w:w="75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2010101</w:t>
            </w:r>
          </w:p>
        </w:tc>
        <w:tc>
          <w:tcPr>
            <w:tcW w:w="2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10.62</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10.62</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9.18</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w:t>
            </w:r>
          </w:p>
        </w:tc>
        <w:tc>
          <w:tcPr>
            <w:tcW w:w="75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w:t>
            </w:r>
          </w:p>
        </w:tc>
        <w:tc>
          <w:tcPr>
            <w:tcW w:w="2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471.92</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209.69</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109.39</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100.30</w:t>
            </w:r>
          </w:p>
        </w:tc>
        <w:tc>
          <w:tcPr>
            <w:tcW w:w="75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262.23</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2010301</w:t>
            </w:r>
          </w:p>
        </w:tc>
        <w:tc>
          <w:tcPr>
            <w:tcW w:w="2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209.69</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209.69</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109.39</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100.30</w:t>
            </w:r>
          </w:p>
        </w:tc>
        <w:tc>
          <w:tcPr>
            <w:tcW w:w="75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2010399</w:t>
            </w:r>
          </w:p>
        </w:tc>
        <w:tc>
          <w:tcPr>
            <w:tcW w:w="2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其他政府办公厅（室）及相关机构事务支出</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262.23</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262.23</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w:t>
            </w:r>
          </w:p>
        </w:tc>
        <w:tc>
          <w:tcPr>
            <w:tcW w:w="2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财政事务</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41.12</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41.12</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36.12</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75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2010601</w:t>
            </w:r>
          </w:p>
        </w:tc>
        <w:tc>
          <w:tcPr>
            <w:tcW w:w="2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41.12</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41.12</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36.12</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75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w:t>
            </w:r>
          </w:p>
        </w:tc>
        <w:tc>
          <w:tcPr>
            <w:tcW w:w="2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党委办公厅（室）及相关机构事务</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62.17</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32.17</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27.17</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75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2013101</w:t>
            </w:r>
          </w:p>
        </w:tc>
        <w:tc>
          <w:tcPr>
            <w:tcW w:w="2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32.17</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32.17</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27.17</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75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2013199</w:t>
            </w:r>
          </w:p>
        </w:tc>
        <w:tc>
          <w:tcPr>
            <w:tcW w:w="2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其他党委办公厅（室）及相关机构事务支出</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2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文化旅游体育与传媒支出</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33.57</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33.57</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33.57</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w:t>
            </w:r>
          </w:p>
        </w:tc>
        <w:tc>
          <w:tcPr>
            <w:tcW w:w="2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文化和旅游</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33.57</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33.57</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33.57</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2070109</w:t>
            </w:r>
          </w:p>
        </w:tc>
        <w:tc>
          <w:tcPr>
            <w:tcW w:w="2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群众文化</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33.57</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33.57</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33.57</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2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140.86</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140.86</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140.86</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20801</w:t>
            </w:r>
          </w:p>
        </w:tc>
        <w:tc>
          <w:tcPr>
            <w:tcW w:w="2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人力资源和社会保障管理事务</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58.29</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58.29</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58.29</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2080105</w:t>
            </w:r>
          </w:p>
        </w:tc>
        <w:tc>
          <w:tcPr>
            <w:tcW w:w="2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劳动保障监察</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58.29</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58.29</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58.29</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2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82.57</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82.57</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82.57</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2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82.57</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82.57</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82.57</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2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53.06</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53.06</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53.06</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21007</w:t>
            </w:r>
          </w:p>
        </w:tc>
        <w:tc>
          <w:tcPr>
            <w:tcW w:w="2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计划生育事务</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22.71</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22.71</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22.71</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2100799</w:t>
            </w:r>
          </w:p>
        </w:tc>
        <w:tc>
          <w:tcPr>
            <w:tcW w:w="2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其他计划生育事务支出</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22.71</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22.71</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22.71</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2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30.35</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30.35</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30.35</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2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30.35</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30.35</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30.35</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2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农林水支出</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257.55</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152.32</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152.32</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105.23</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w:t>
            </w:r>
          </w:p>
        </w:tc>
        <w:tc>
          <w:tcPr>
            <w:tcW w:w="2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农业</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152.32</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152.32</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152.32</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2130104</w:t>
            </w:r>
          </w:p>
        </w:tc>
        <w:tc>
          <w:tcPr>
            <w:tcW w:w="2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152.32</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152.32</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152.32</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21307</w:t>
            </w:r>
          </w:p>
        </w:tc>
        <w:tc>
          <w:tcPr>
            <w:tcW w:w="2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农村综合改革</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105.23</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105.23</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2130705</w:t>
            </w:r>
          </w:p>
        </w:tc>
        <w:tc>
          <w:tcPr>
            <w:tcW w:w="2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对村民委员会和村党支部的补助</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105.23</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105.23</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2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40.29</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40.29</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40.29</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2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40.29</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40.29</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40.29</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2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40.29</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40.29</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40.29</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75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widowControl/>
        <w:jc w:val="left"/>
      </w:pPr>
      <w:r>
        <w:rPr>
          <w:rFonts w:hint="eastAsia" w:ascii="宋体" w:hAnsi="宋体" w:cs="宋体"/>
          <w:szCs w:val="21"/>
        </w:rPr>
        <w:t>注：本表反映部门本年度一般公共预算财政拨款实际支出情况。</w:t>
      </w:r>
      <w:r>
        <w:rPr>
          <w:rFonts w:hint="eastAsia" w:ascii="宋体" w:hAnsi="宋体" w:cs="宋体"/>
          <w:color w:val="000000"/>
          <w:kern w:val="0"/>
          <w:szCs w:val="21"/>
        </w:rPr>
        <w:t>本表金额转换为万元时，因四舍五入可能存在尾差。</w:t>
      </w:r>
    </w:p>
    <w:p>
      <w:pPr>
        <w:rPr>
          <w:rFonts w:ascii="宋体" w:hAnsi="宋体" w:cs="宋体"/>
          <w:b/>
          <w:bCs/>
          <w:sz w:val="32"/>
          <w:szCs w:val="32"/>
        </w:rPr>
      </w:pPr>
      <w:r>
        <w:rPr>
          <w:rFonts w:hint="eastAsia" w:ascii="宋体" w:hAnsi="宋体" w:cs="宋体"/>
          <w:b/>
          <w:bCs/>
          <w:sz w:val="32"/>
          <w:szCs w:val="32"/>
        </w:rPr>
        <w:br w:type="page"/>
      </w:r>
      <w:r>
        <w:rPr>
          <w:rFonts w:hint="eastAsia" w:ascii="宋体" w:hAnsi="宋体" w:cs="宋体"/>
          <w:b/>
          <w:bCs/>
          <w:sz w:val="32"/>
          <w:szCs w:val="32"/>
        </w:rPr>
        <w:t>一般公共预算财政拨款基本支出决算表（按经济分类科目）</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公开06表</w:t>
      </w:r>
    </w:p>
    <w:p>
      <w:pPr>
        <w:rPr>
          <w:rFonts w:hint="eastAsia" w:ascii="宋体" w:hAnsi="宋体" w:cs="宋体"/>
          <w:b/>
          <w:bCs/>
          <w:szCs w:val="21"/>
        </w:rPr>
      </w:pPr>
      <w:r>
        <w:rPr>
          <w:rFonts w:hint="eastAsia" w:ascii="宋体" w:hAnsi="宋体" w:cs="宋体"/>
          <w:b/>
          <w:bCs/>
          <w:color w:val="auto"/>
          <w:szCs w:val="21"/>
        </w:rPr>
        <w:t>编制部门：</w:t>
      </w:r>
      <w:r>
        <w:rPr>
          <w:rFonts w:hint="eastAsia" w:ascii="宋体" w:hAnsi="宋体" w:cs="宋体"/>
          <w:b/>
          <w:bCs/>
          <w:color w:val="auto"/>
          <w:szCs w:val="21"/>
          <w:lang w:eastAsia="zh-CN"/>
        </w:rPr>
        <w:t>靖边县龙洲镇人民政府（汇总）</w:t>
      </w:r>
      <w:r>
        <w:rPr>
          <w:rFonts w:hint="eastAsia" w:ascii="宋体" w:hAnsi="宋体" w:cs="宋体"/>
          <w:b/>
          <w:bCs/>
          <w:color w:val="2E75B6" w:themeColor="accent1" w:themeShade="BF"/>
          <w:szCs w:val="21"/>
        </w:rPr>
        <w:t xml:space="preserve"> </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          金额单位：万元</w:t>
      </w:r>
    </w:p>
    <w:tbl>
      <w:tblPr>
        <w:tblStyle w:val="8"/>
        <w:tblW w:w="8874" w:type="dxa"/>
        <w:tblInd w:w="0" w:type="dxa"/>
        <w:shd w:val="clear" w:color="auto" w:fill="auto"/>
        <w:tblLayout w:type="fixed"/>
        <w:tblCellMar>
          <w:top w:w="0" w:type="dxa"/>
          <w:left w:w="0" w:type="dxa"/>
          <w:bottom w:w="0" w:type="dxa"/>
          <w:right w:w="0" w:type="dxa"/>
        </w:tblCellMar>
      </w:tblPr>
      <w:tblGrid>
        <w:gridCol w:w="1697"/>
        <w:gridCol w:w="2936"/>
        <w:gridCol w:w="1060"/>
        <w:gridCol w:w="1060"/>
        <w:gridCol w:w="1060"/>
        <w:gridCol w:w="1061"/>
      </w:tblGrid>
      <w:tr>
        <w:tblPrEx>
          <w:shd w:val="clear" w:color="auto" w:fill="auto"/>
          <w:tblCellMar>
            <w:top w:w="0" w:type="dxa"/>
            <w:left w:w="0" w:type="dxa"/>
            <w:bottom w:w="0" w:type="dxa"/>
            <w:right w:w="0" w:type="dxa"/>
          </w:tblCellMar>
        </w:tblPrEx>
        <w:trPr>
          <w:trHeight w:val="285" w:hRule="atLeast"/>
        </w:trPr>
        <w:tc>
          <w:tcPr>
            <w:tcW w:w="46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项目</w:t>
            </w:r>
          </w:p>
        </w:tc>
        <w:tc>
          <w:tcPr>
            <w:tcW w:w="106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本年支出合计</w:t>
            </w:r>
          </w:p>
        </w:tc>
        <w:tc>
          <w:tcPr>
            <w:tcW w:w="106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人员经费</w:t>
            </w:r>
          </w:p>
        </w:tc>
        <w:tc>
          <w:tcPr>
            <w:tcW w:w="106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公用经费</w:t>
            </w:r>
          </w:p>
        </w:tc>
        <w:tc>
          <w:tcPr>
            <w:tcW w:w="106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510"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经济分类科目编码</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科目名称</w:t>
            </w: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r>
      <w:tr>
        <w:tblPrEx>
          <w:tblCellMar>
            <w:top w:w="0" w:type="dxa"/>
            <w:left w:w="0" w:type="dxa"/>
            <w:bottom w:w="0" w:type="dxa"/>
            <w:right w:w="0" w:type="dxa"/>
          </w:tblCellMar>
        </w:tblPrEx>
        <w:trPr>
          <w:trHeight w:val="285" w:hRule="atLeast"/>
        </w:trPr>
        <w:tc>
          <w:tcPr>
            <w:tcW w:w="46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center" w:pos="2361"/>
                <w:tab w:val="right" w:pos="4603"/>
              </w:tabs>
              <w:jc w:val="left"/>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shd w:val="clear"/>
                <w:lang w:val="en-US" w:eastAsia="zh-CN" w:bidi="ar"/>
              </w:rPr>
              <w:tab/>
            </w:r>
            <w:r>
              <w:rPr>
                <w:rFonts w:hint="eastAsia" w:ascii="宋体" w:hAnsi="宋体" w:eastAsia="宋体" w:cs="宋体"/>
                <w:i w:val="0"/>
                <w:color w:val="000000"/>
                <w:kern w:val="0"/>
                <w:sz w:val="21"/>
                <w:szCs w:val="21"/>
                <w:u w:val="none"/>
                <w:shd w:val="clear"/>
                <w:lang w:val="en-US" w:eastAsia="zh-CN" w:bidi="ar"/>
              </w:rPr>
              <w:t>合计</w:t>
            </w:r>
            <w:r>
              <w:rPr>
                <w:rFonts w:hint="eastAsia" w:ascii="宋体" w:hAnsi="宋体" w:cs="宋体"/>
                <w:i w:val="0"/>
                <w:color w:val="000000"/>
                <w:kern w:val="0"/>
                <w:sz w:val="21"/>
                <w:szCs w:val="21"/>
                <w:u w:val="none"/>
                <w:shd w:val="clear"/>
                <w:lang w:val="en-US" w:eastAsia="zh-CN" w:bidi="ar"/>
              </w:rPr>
              <w:tab/>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713.69</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601.95</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111.74</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工资福利支出</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601.95</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601.95</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30101</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基本工资</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218.62</w:t>
            </w:r>
            <w:r>
              <w:rPr>
                <w:rFonts w:hint="eastAsia" w:ascii="宋体" w:hAnsi="宋体" w:eastAsia="宋体" w:cs="宋体"/>
                <w:i w:val="0"/>
                <w:color w:val="000000"/>
                <w:kern w:val="0"/>
                <w:sz w:val="21"/>
                <w:szCs w:val="21"/>
                <w:u w:val="none"/>
                <w:lang w:val="en-US" w:eastAsia="zh-CN" w:bidi="ar"/>
              </w:rPr>
              <w:t>0</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218.62</w:t>
            </w:r>
            <w:r>
              <w:rPr>
                <w:rFonts w:hint="eastAsia" w:ascii="宋体" w:hAnsi="宋体" w:eastAsia="宋体" w:cs="宋体"/>
                <w:i w:val="0"/>
                <w:color w:val="000000"/>
                <w:kern w:val="0"/>
                <w:sz w:val="21"/>
                <w:szCs w:val="21"/>
                <w:u w:val="none"/>
                <w:lang w:val="en-US" w:eastAsia="zh-CN" w:bidi="ar"/>
              </w:rPr>
              <w:t>0</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30102</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津贴补贴</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154.84</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154.84</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30103</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奖金</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11.59</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11.59</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30106</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伙食补助费</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30107</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绩效工资</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63.69</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63.69</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30108</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机关事业单位基本养老保险缴费</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82.57</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82.57</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30109</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职业年金缴费</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0</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0</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30110</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职工基本医疗保险缴费</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30.35</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30.35</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30111</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公务员医疗补助缴费</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3.55</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3.55</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30112</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其他社会保障缴费</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30113</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住房公积金</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40.29</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40.29</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30114</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医疗费</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30199</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其他工资福利支出</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商品和服务支出</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2"/>
                <w:szCs w:val="22"/>
                <w:u w:val="none"/>
                <w:lang w:val="en-US" w:eastAsia="zh-CN" w:bidi="ar"/>
              </w:rPr>
              <w:t>111.74</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2"/>
                <w:szCs w:val="22"/>
                <w:u w:val="none"/>
                <w:lang w:val="en-US" w:eastAsia="zh-CN" w:bidi="ar"/>
              </w:rPr>
              <w:t>111.74</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r>
              <w:rPr>
                <w:rFonts w:hint="eastAsia" w:ascii="宋体" w:hAnsi="宋体" w:cs="宋体"/>
                <w:i w:val="0"/>
                <w:color w:val="000000"/>
                <w:kern w:val="0"/>
                <w:sz w:val="22"/>
                <w:szCs w:val="22"/>
                <w:u w:val="none"/>
                <w:lang w:val="en-US" w:eastAsia="zh-CN" w:bidi="ar"/>
              </w:rPr>
              <w:t>111.74</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1"/>
                <w:szCs w:val="21"/>
                <w:u w:val="none"/>
                <w:lang w:val="en-US" w:eastAsia="zh-CN" w:bidi="ar-SA"/>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30201</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办公费</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2"/>
                <w:szCs w:val="22"/>
                <w:u w:val="none"/>
                <w:lang w:val="en-US" w:eastAsia="zh-CN" w:bidi="ar"/>
              </w:rPr>
              <w:t>18.94</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18.94</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18.94</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30202</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印刷费</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2"/>
                <w:szCs w:val="22"/>
                <w:u w:val="none"/>
                <w:lang w:val="en-US" w:eastAsia="zh-CN" w:bidi="ar"/>
              </w:rPr>
              <w:t>4.62</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4.62</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4.62</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30203</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咨询费</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30204</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手续费</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30205</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水费</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30206</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电费</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2"/>
                <w:szCs w:val="22"/>
                <w:u w:val="none"/>
                <w:lang w:val="en-US" w:eastAsia="zh-CN" w:bidi="ar"/>
              </w:rPr>
              <w:t>15.12</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15.12</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15.12</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30207</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邮电费</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2"/>
                <w:szCs w:val="22"/>
                <w:u w:val="none"/>
                <w:lang w:val="en-US" w:eastAsia="zh-CN" w:bidi="ar"/>
              </w:rPr>
              <w:t>1.28</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1.28</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1.28</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30208</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取暖费</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2"/>
                <w:szCs w:val="22"/>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30209</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物业管理费</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30211</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差旅费</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0.24</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0.24</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0.24</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30212</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因公出国（境）费用</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30213</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维修（护）费</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2"/>
                <w:szCs w:val="22"/>
                <w:u w:val="none"/>
                <w:lang w:val="en-US" w:eastAsia="zh-CN" w:bidi="ar"/>
              </w:rPr>
              <w:t>4.62</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4.62</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4.62</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30214</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租赁费</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30215</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会议费</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2"/>
                <w:szCs w:val="22"/>
                <w:u w:val="none"/>
                <w:lang w:val="en-US" w:eastAsia="zh-CN" w:bidi="ar"/>
              </w:rPr>
              <w:t>3.93</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3.93</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3.93</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30216</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培训费</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30217</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2"/>
                <w:szCs w:val="22"/>
                <w:u w:val="none"/>
                <w:lang w:val="en-US" w:eastAsia="zh-CN" w:bidi="ar"/>
              </w:rPr>
              <w:t>10.52</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10.52</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10.52</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30218</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专用材料费</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0.52</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0.52</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0.52</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30224</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被装购置费</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30225</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专用燃料费</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2"/>
                <w:szCs w:val="22"/>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30226</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劳务费</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2"/>
                <w:szCs w:val="22"/>
                <w:u w:val="none"/>
                <w:lang w:val="en-US" w:eastAsia="zh-CN" w:bidi="ar"/>
              </w:rPr>
              <w:t>16.91</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16.91</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16.91</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30227</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委托业务费</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2"/>
                <w:szCs w:val="22"/>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30228</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工会经费</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30229</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福利费</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30231</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公务用车运行维护费</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2"/>
                <w:szCs w:val="22"/>
                <w:u w:val="none"/>
                <w:lang w:val="en-US" w:eastAsia="zh-CN" w:bidi="ar"/>
              </w:rPr>
              <w:t>4.40</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4.40</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4.40</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30239</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其他交通费用</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2"/>
                <w:szCs w:val="22"/>
                <w:u w:val="none"/>
                <w:lang w:val="en-US" w:eastAsia="zh-CN" w:bidi="ar"/>
              </w:rPr>
              <w:t>15.33</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15.33</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15.33</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30240</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税金及附加费用</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30299</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其他商品和服务支出</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2"/>
                <w:szCs w:val="22"/>
                <w:u w:val="none"/>
                <w:lang w:val="en-US" w:eastAsia="zh-CN" w:bidi="ar"/>
              </w:rPr>
              <w:t>15.32</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15.32</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15.32</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对个人和家庭的补助</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2"/>
                <w:szCs w:val="22"/>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30301</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离休费</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30302</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退休费</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30303</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退职（役）费</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30304</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抚恤金</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30305</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生活补助</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2"/>
                <w:szCs w:val="22"/>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30306</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救济费</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30307</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医疗费补助</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2"/>
                <w:szCs w:val="22"/>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30308</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助学金</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2"/>
                <w:szCs w:val="22"/>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30309</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奖励金</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30310</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个人农业生产补贴</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30399</w:t>
            </w:r>
          </w:p>
        </w:tc>
        <w:tc>
          <w:tcPr>
            <w:tcW w:w="2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其他对个人和家庭的补助</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bl>
    <w:p>
      <w:pPr>
        <w:rPr>
          <w:rFonts w:hint="eastAsia" w:ascii="宋体" w:hAnsi="宋体" w:cs="宋体"/>
          <w:b/>
          <w:bCs/>
          <w:szCs w:val="21"/>
        </w:rPr>
      </w:pPr>
    </w:p>
    <w:p>
      <w:pPr>
        <w:widowControl/>
        <w:jc w:val="left"/>
      </w:pPr>
      <w:r>
        <w:rPr>
          <w:rFonts w:hint="eastAsia" w:ascii="宋体" w:hAnsi="宋体" w:cs="宋体"/>
          <w:szCs w:val="21"/>
        </w:rPr>
        <w:t>注：本表反映部门本年度一般公共预算财政拨款基本支出明细情况。</w:t>
      </w:r>
      <w:r>
        <w:rPr>
          <w:rFonts w:hint="eastAsia" w:ascii="宋体" w:hAnsi="宋体" w:cs="宋体"/>
          <w:color w:val="000000"/>
          <w:kern w:val="0"/>
          <w:szCs w:val="21"/>
        </w:rPr>
        <w:t>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rPr>
        <w:br w:type="page"/>
      </w:r>
      <w:r>
        <w:rPr>
          <w:rFonts w:hint="eastAsia" w:ascii="宋体" w:hAnsi="宋体" w:cs="宋体"/>
          <w:b/>
          <w:bCs/>
          <w:sz w:val="32"/>
          <w:szCs w:val="32"/>
        </w:rPr>
        <w:t>一般公共预算财政拨款“三公”经费</w:t>
      </w:r>
    </w:p>
    <w:p>
      <w:pPr>
        <w:spacing w:line="520" w:lineRule="exact"/>
        <w:jc w:val="center"/>
        <w:rPr>
          <w:rFonts w:ascii="宋体" w:hAnsi="宋体" w:cs="宋体"/>
          <w:b/>
          <w:bCs/>
          <w:sz w:val="32"/>
          <w:szCs w:val="32"/>
        </w:rPr>
      </w:pPr>
      <w:r>
        <w:rPr>
          <w:rFonts w:hint="eastAsia" w:ascii="宋体" w:hAnsi="宋体" w:cs="宋体"/>
          <w:b/>
          <w:bCs/>
          <w:sz w:val="32"/>
          <w:szCs w:val="32"/>
        </w:rPr>
        <w:t>及会议费、培训费支出决算表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 xml:space="preserve">       公开07表</w:t>
      </w:r>
    </w:p>
    <w:p>
      <w:pPr>
        <w:rPr>
          <w:rFonts w:ascii="宋体" w:hAnsi="宋体" w:cs="宋体"/>
          <w:b/>
          <w:bCs/>
          <w:szCs w:val="21"/>
        </w:rPr>
      </w:pPr>
      <w:r>
        <w:rPr>
          <w:rFonts w:hint="eastAsia" w:ascii="宋体" w:hAnsi="宋体" w:cs="宋体"/>
          <w:b/>
          <w:bCs/>
          <w:color w:val="auto"/>
          <w:szCs w:val="21"/>
        </w:rPr>
        <w:t>编制部门：</w:t>
      </w:r>
      <w:r>
        <w:rPr>
          <w:rFonts w:hint="eastAsia" w:ascii="宋体" w:hAnsi="宋体" w:cs="宋体"/>
          <w:b/>
          <w:bCs/>
          <w:color w:val="auto"/>
          <w:szCs w:val="21"/>
          <w:lang w:eastAsia="zh-CN"/>
        </w:rPr>
        <w:t>靖边县龙洲镇人民政府（汇总）</w:t>
      </w:r>
      <w:r>
        <w:rPr>
          <w:rFonts w:hint="eastAsia" w:ascii="宋体" w:hAnsi="宋体" w:cs="宋体"/>
          <w:b/>
          <w:bCs/>
          <w:color w:val="2E75B6" w:themeColor="accent1" w:themeShade="BF"/>
          <w:szCs w:val="21"/>
        </w:rPr>
        <w:t xml:space="preserve">    </w:t>
      </w:r>
      <w:r>
        <w:rPr>
          <w:rFonts w:hint="eastAsia" w:ascii="宋体" w:hAnsi="宋体" w:cs="宋体"/>
          <w:b/>
          <w:bCs/>
          <w:szCs w:val="21"/>
        </w:rPr>
        <w:t xml:space="preserve">                          金额单位：万元</w:t>
      </w:r>
    </w:p>
    <w:tbl>
      <w:tblPr>
        <w:tblStyle w:val="8"/>
        <w:tblW w:w="8858" w:type="dxa"/>
        <w:tblInd w:w="0" w:type="dxa"/>
        <w:tblLayout w:type="fixed"/>
        <w:tblCellMar>
          <w:top w:w="15" w:type="dxa"/>
          <w:left w:w="15" w:type="dxa"/>
          <w:bottom w:w="15" w:type="dxa"/>
          <w:right w:w="15" w:type="dxa"/>
        </w:tblCellMar>
      </w:tblPr>
      <w:tblGrid>
        <w:gridCol w:w="1079"/>
        <w:gridCol w:w="985"/>
        <w:gridCol w:w="1117"/>
        <w:gridCol w:w="878"/>
        <w:gridCol w:w="878"/>
        <w:gridCol w:w="998"/>
        <w:gridCol w:w="1189"/>
        <w:gridCol w:w="772"/>
        <w:gridCol w:w="962"/>
      </w:tblGrid>
      <w:tr>
        <w:tblPrEx>
          <w:tblCellMar>
            <w:top w:w="15" w:type="dxa"/>
            <w:left w:w="15" w:type="dxa"/>
            <w:bottom w:w="15" w:type="dxa"/>
            <w:right w:w="15" w:type="dxa"/>
          </w:tblCellMar>
        </w:tblPrEx>
        <w:trPr>
          <w:trHeight w:val="726" w:hRule="atLeast"/>
        </w:trPr>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604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一般公共预算财政拨款安排的“三公”经费</w:t>
            </w:r>
          </w:p>
        </w:tc>
        <w:tc>
          <w:tcPr>
            <w:tcW w:w="77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会议费</w:t>
            </w:r>
          </w:p>
        </w:tc>
        <w:tc>
          <w:tcPr>
            <w:tcW w:w="96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培训费</w:t>
            </w:r>
          </w:p>
        </w:tc>
      </w:tr>
      <w:tr>
        <w:tblPrEx>
          <w:tblCellMar>
            <w:top w:w="15" w:type="dxa"/>
            <w:left w:w="15" w:type="dxa"/>
            <w:bottom w:w="15" w:type="dxa"/>
            <w:right w:w="15" w:type="dxa"/>
          </w:tblCellMar>
        </w:tblPrEx>
        <w:trPr>
          <w:trHeight w:val="726"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1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因公出国（境）费用</w:t>
            </w:r>
          </w:p>
        </w:tc>
        <w:tc>
          <w:tcPr>
            <w:tcW w:w="87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公务接待费</w:t>
            </w:r>
          </w:p>
        </w:tc>
        <w:tc>
          <w:tcPr>
            <w:tcW w:w="306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公务用车购置及运行维护费</w:t>
            </w: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753"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公务用车购置费</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公务用车运行维护费</w:t>
            </w: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726"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w:t>
            </w:r>
          </w:p>
        </w:tc>
        <w:tc>
          <w:tcPr>
            <w:tcW w:w="11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2</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3</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4</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5</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6</w:t>
            </w:r>
          </w:p>
        </w:tc>
        <w:tc>
          <w:tcPr>
            <w:tcW w:w="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7</w:t>
            </w:r>
          </w:p>
        </w:tc>
        <w:tc>
          <w:tcPr>
            <w:tcW w:w="9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8</w:t>
            </w:r>
          </w:p>
        </w:tc>
      </w:tr>
      <w:tr>
        <w:tblPrEx>
          <w:tblCellMar>
            <w:top w:w="15" w:type="dxa"/>
            <w:left w:w="15" w:type="dxa"/>
            <w:bottom w:w="15" w:type="dxa"/>
            <w:right w:w="15" w:type="dxa"/>
          </w:tblCellMar>
        </w:tblPrEx>
        <w:trPr>
          <w:trHeight w:val="726"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预算数</w:t>
            </w:r>
          </w:p>
        </w:tc>
        <w:tc>
          <w:tcPr>
            <w:tcW w:w="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15.56</w:t>
            </w:r>
          </w:p>
        </w:tc>
        <w:tc>
          <w:tcPr>
            <w:tcW w:w="11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i w:val="0"/>
                <w:color w:val="000000"/>
                <w:kern w:val="0"/>
                <w:sz w:val="21"/>
                <w:szCs w:val="21"/>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10.98</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4.58</w:t>
            </w: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color w:val="000000"/>
                <w:kern w:val="2"/>
                <w:sz w:val="21"/>
                <w:szCs w:val="21"/>
                <w:lang w:val="en-US" w:eastAsia="zh-CN" w:bidi="ar-SA"/>
              </w:rPr>
            </w:pPr>
            <w:r>
              <w:rPr>
                <w:rFonts w:hint="eastAsia" w:ascii="宋体" w:hAnsi="宋体" w:cs="宋体"/>
                <w:i w:val="0"/>
                <w:color w:val="000000"/>
                <w:kern w:val="0"/>
                <w:sz w:val="21"/>
                <w:szCs w:val="21"/>
                <w:u w:val="none"/>
                <w:lang w:val="en-US" w:eastAsia="zh-CN" w:bidi="ar"/>
              </w:rPr>
              <w:t>0</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w:t>
            </w:r>
            <w:r>
              <w:rPr>
                <w:rFonts w:hint="eastAsia" w:ascii="宋体" w:hAnsi="宋体" w:cs="宋体"/>
                <w:i w:val="0"/>
                <w:color w:val="000000"/>
                <w:kern w:val="0"/>
                <w:sz w:val="22"/>
                <w:szCs w:val="22"/>
                <w:u w:val="none"/>
                <w:lang w:val="en-US" w:eastAsia="zh-CN" w:bidi="ar"/>
              </w:rPr>
              <w:t>58</w:t>
            </w:r>
          </w:p>
        </w:tc>
        <w:tc>
          <w:tcPr>
            <w:tcW w:w="77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cs="宋体"/>
                <w:b/>
                <w:color w:val="000000"/>
                <w:szCs w:val="21"/>
                <w:lang w:val="en-US"/>
              </w:rPr>
            </w:pPr>
            <w:r>
              <w:rPr>
                <w:rFonts w:hint="eastAsia" w:ascii="宋体" w:hAnsi="宋体" w:cs="宋体"/>
                <w:i w:val="0"/>
                <w:color w:val="000000"/>
                <w:kern w:val="0"/>
                <w:sz w:val="21"/>
                <w:szCs w:val="21"/>
                <w:u w:val="none"/>
                <w:lang w:val="en-US" w:eastAsia="zh-CN" w:bidi="ar"/>
              </w:rPr>
              <w:t>3.95</w:t>
            </w:r>
          </w:p>
        </w:tc>
        <w:tc>
          <w:tcPr>
            <w:tcW w:w="96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i w:val="0"/>
                <w:color w:val="000000"/>
                <w:kern w:val="0"/>
                <w:sz w:val="21"/>
                <w:szCs w:val="21"/>
                <w:u w:val="none"/>
                <w:lang w:val="en-US" w:eastAsia="zh-CN" w:bidi="ar"/>
              </w:rPr>
              <w:t>-</w:t>
            </w:r>
          </w:p>
        </w:tc>
      </w:tr>
      <w:tr>
        <w:tblPrEx>
          <w:tblCellMar>
            <w:top w:w="15" w:type="dxa"/>
            <w:left w:w="15" w:type="dxa"/>
            <w:bottom w:w="15" w:type="dxa"/>
            <w:right w:w="15" w:type="dxa"/>
          </w:tblCellMar>
        </w:tblPrEx>
        <w:trPr>
          <w:trHeight w:val="738"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c>
          <w:tcPr>
            <w:tcW w:w="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14.92</w:t>
            </w:r>
          </w:p>
        </w:tc>
        <w:tc>
          <w:tcPr>
            <w:tcW w:w="11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i w:val="0"/>
                <w:color w:val="000000"/>
                <w:kern w:val="0"/>
                <w:sz w:val="21"/>
                <w:szCs w:val="21"/>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10.52</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4.4</w:t>
            </w: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color w:val="000000"/>
                <w:kern w:val="2"/>
                <w:sz w:val="21"/>
                <w:szCs w:val="21"/>
                <w:lang w:val="en-US" w:eastAsia="zh-CN" w:bidi="ar-SA"/>
              </w:rPr>
            </w:pPr>
            <w:r>
              <w:rPr>
                <w:rFonts w:hint="eastAsia" w:ascii="宋体" w:hAnsi="宋体" w:cs="宋体"/>
                <w:i w:val="0"/>
                <w:color w:val="000000"/>
                <w:kern w:val="0"/>
                <w:sz w:val="21"/>
                <w:szCs w:val="21"/>
                <w:u w:val="none"/>
                <w:lang w:val="en-US" w:eastAsia="zh-CN" w:bidi="ar"/>
              </w:rPr>
              <w:t>0</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4.4</w:t>
            </w:r>
          </w:p>
        </w:tc>
        <w:tc>
          <w:tcPr>
            <w:tcW w:w="77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cs="宋体"/>
                <w:b/>
                <w:color w:val="000000"/>
                <w:szCs w:val="21"/>
                <w:lang w:val="en-US"/>
              </w:rPr>
            </w:pPr>
            <w:r>
              <w:rPr>
                <w:rFonts w:hint="eastAsia" w:ascii="宋体" w:hAnsi="宋体" w:cs="宋体"/>
                <w:i w:val="0"/>
                <w:color w:val="000000"/>
                <w:kern w:val="0"/>
                <w:sz w:val="21"/>
                <w:szCs w:val="21"/>
                <w:u w:val="none"/>
                <w:lang w:val="en-US" w:eastAsia="zh-CN" w:bidi="ar"/>
              </w:rPr>
              <w:t>3.93</w:t>
            </w:r>
          </w:p>
        </w:tc>
        <w:tc>
          <w:tcPr>
            <w:tcW w:w="96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i w:val="0"/>
                <w:color w:val="000000"/>
                <w:kern w:val="0"/>
                <w:sz w:val="21"/>
                <w:szCs w:val="21"/>
                <w:u w:val="none"/>
                <w:lang w:val="en-US" w:eastAsia="zh-CN" w:bidi="ar"/>
              </w:rPr>
              <w:t>-</w:t>
            </w:r>
          </w:p>
        </w:tc>
      </w:tr>
    </w:tbl>
    <w:p>
      <w:pPr>
        <w:widowControl/>
        <w:jc w:val="left"/>
      </w:pPr>
      <w:r>
        <w:rPr>
          <w:rFonts w:hint="eastAsia" w:ascii="宋体" w:hAnsi="宋体" w:cs="宋体"/>
          <w:szCs w:val="21"/>
        </w:rPr>
        <w:t>注：本表反映部门本年度一般公共预算财政拨款“三公”经费、会议费、培训费的预算数和实际支出。预算数为调整预算数。</w:t>
      </w:r>
      <w:r>
        <w:rPr>
          <w:rFonts w:hint="eastAsia" w:ascii="宋体" w:hAnsi="宋体" w:cs="宋体"/>
          <w:color w:val="000000"/>
          <w:kern w:val="0"/>
          <w:szCs w:val="21"/>
        </w:rPr>
        <w:t>本表金额转换为万元时，因四舍五入可能存在尾差。</w:t>
      </w: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jc w:val="center"/>
        <w:rPr>
          <w:rFonts w:ascii="宋体" w:hAnsi="宋体" w:cs="宋体"/>
          <w:b/>
          <w:bCs/>
          <w:sz w:val="32"/>
          <w:szCs w:val="32"/>
        </w:rPr>
      </w:pPr>
      <w:r>
        <w:rPr>
          <w:rFonts w:hint="eastAsia" w:ascii="宋体" w:hAnsi="宋体" w:cs="宋体"/>
          <w:b/>
          <w:bCs/>
          <w:sz w:val="32"/>
          <w:szCs w:val="32"/>
        </w:rPr>
        <w:br w:type="page"/>
      </w:r>
      <w:r>
        <w:rPr>
          <w:rFonts w:hint="eastAsia" w:ascii="宋体" w:hAnsi="宋体" w:cs="宋体"/>
          <w:b/>
          <w:bCs/>
          <w:sz w:val="32"/>
          <w:szCs w:val="32"/>
        </w:rPr>
        <w:t>政府性基金预算财政拨款收入支出决算表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公开08表</w:t>
      </w:r>
    </w:p>
    <w:p>
      <w:pPr>
        <w:rPr>
          <w:rFonts w:ascii="宋体" w:hAnsi="宋体" w:cs="宋体"/>
          <w:b/>
          <w:bCs/>
          <w:szCs w:val="21"/>
        </w:rPr>
      </w:pPr>
      <w:r>
        <w:rPr>
          <w:rFonts w:hint="eastAsia" w:ascii="宋体" w:hAnsi="宋体" w:cs="宋体"/>
          <w:b/>
          <w:bCs/>
          <w:color w:val="auto"/>
          <w:szCs w:val="21"/>
        </w:rPr>
        <w:t>编制部门：</w:t>
      </w:r>
      <w:r>
        <w:rPr>
          <w:rFonts w:hint="eastAsia" w:ascii="宋体" w:hAnsi="宋体" w:cs="宋体"/>
          <w:b/>
          <w:bCs/>
          <w:color w:val="auto"/>
          <w:szCs w:val="21"/>
          <w:lang w:eastAsia="zh-CN"/>
        </w:rPr>
        <w:t>靖边县龙洲镇人民政府（汇总）</w:t>
      </w:r>
      <w:r>
        <w:rPr>
          <w:rFonts w:hint="eastAsia" w:ascii="宋体" w:hAnsi="宋体" w:cs="宋体"/>
          <w:b/>
          <w:bCs/>
          <w:color w:val="2E75B6" w:themeColor="accent1" w:themeShade="BF"/>
          <w:szCs w:val="21"/>
        </w:rPr>
        <w:t xml:space="preserve"> </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  金额单位：万元</w:t>
      </w:r>
    </w:p>
    <w:tbl>
      <w:tblPr>
        <w:tblStyle w:val="8"/>
        <w:tblW w:w="8877" w:type="dxa"/>
        <w:tblInd w:w="0" w:type="dxa"/>
        <w:tblLayout w:type="fixed"/>
        <w:tblCellMar>
          <w:top w:w="15" w:type="dxa"/>
          <w:left w:w="15" w:type="dxa"/>
          <w:bottom w:w="15" w:type="dxa"/>
          <w:right w:w="15" w:type="dxa"/>
        </w:tblCellMar>
      </w:tblPr>
      <w:tblGrid>
        <w:gridCol w:w="1023"/>
        <w:gridCol w:w="1341"/>
        <w:gridCol w:w="1049"/>
        <w:gridCol w:w="990"/>
        <w:gridCol w:w="930"/>
        <w:gridCol w:w="1049"/>
        <w:gridCol w:w="1024"/>
        <w:gridCol w:w="1471"/>
      </w:tblGrid>
      <w:tr>
        <w:tblPrEx>
          <w:tblCellMar>
            <w:top w:w="15" w:type="dxa"/>
            <w:left w:w="15" w:type="dxa"/>
            <w:bottom w:w="15" w:type="dxa"/>
            <w:right w:w="15" w:type="dxa"/>
          </w:tblCellMar>
        </w:tblPrEx>
        <w:trPr>
          <w:trHeight w:val="491" w:hRule="atLeast"/>
        </w:trPr>
        <w:tc>
          <w:tcPr>
            <w:tcW w:w="2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0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年初结转和结余</w:t>
            </w:r>
          </w:p>
        </w:tc>
        <w:tc>
          <w:tcPr>
            <w:tcW w:w="9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本年收入</w:t>
            </w:r>
          </w:p>
        </w:tc>
        <w:tc>
          <w:tcPr>
            <w:tcW w:w="3003"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w:t>
            </w:r>
          </w:p>
        </w:tc>
        <w:tc>
          <w:tcPr>
            <w:tcW w:w="147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年末结转和结余</w:t>
            </w:r>
          </w:p>
        </w:tc>
      </w:tr>
      <w:tr>
        <w:tblPrEx>
          <w:tblCellMar>
            <w:top w:w="15" w:type="dxa"/>
            <w:left w:w="15" w:type="dxa"/>
            <w:bottom w:w="15" w:type="dxa"/>
            <w:right w:w="15" w:type="dxa"/>
          </w:tblCellMar>
        </w:tblPrEx>
        <w:trPr>
          <w:trHeight w:val="889"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13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91" w:hRule="atLeast"/>
        </w:trPr>
        <w:tc>
          <w:tcPr>
            <w:tcW w:w="2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049" w:type="dxa"/>
            <w:tcBorders>
              <w:top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514"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widowControl/>
        <w:jc w:val="left"/>
      </w:pPr>
      <w:r>
        <w:rPr>
          <w:rFonts w:hint="eastAsia" w:ascii="宋体" w:hAnsi="宋体" w:cs="宋体"/>
          <w:szCs w:val="21"/>
        </w:rPr>
        <w:t>注：本表反映部门本年度政府性基金预算财政拨款收入支出及结转和结余情况。</w:t>
      </w:r>
      <w:r>
        <w:rPr>
          <w:rFonts w:hint="eastAsia" w:ascii="宋体" w:hAnsi="宋体" w:cs="宋体"/>
          <w:color w:val="000000"/>
          <w:kern w:val="0"/>
          <w:szCs w:val="21"/>
        </w:rPr>
        <w:t>本表金额转换为万元时，因四舍五入可能存在尾差。</w:t>
      </w:r>
    </w:p>
    <w:p>
      <w:pPr>
        <w:rPr>
          <w:rFonts w:ascii="宋体" w:hAnsi="宋体" w:cs="宋体"/>
          <w:szCs w:val="21"/>
        </w:rPr>
      </w:pPr>
    </w:p>
    <w:p>
      <w:pPr>
        <w:jc w:val="center"/>
        <w:rPr>
          <w:rFonts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ascii="黑体" w:hAnsi="宋体" w:eastAsia="黑体"/>
          <w:color w:val="000000"/>
          <w:kern w:val="0"/>
          <w:sz w:val="44"/>
          <w:szCs w:val="44"/>
          <w:lang w:bidi="ar"/>
        </w:rPr>
      </w:pPr>
      <w:bookmarkStart w:id="0" w:name="_GoBack"/>
      <w:bookmarkEnd w:id="0"/>
      <w:r>
        <w:rPr>
          <w:rFonts w:hint="eastAsia" w:ascii="黑体" w:hAnsi="宋体" w:eastAsia="黑体"/>
          <w:color w:val="000000"/>
          <w:kern w:val="0"/>
          <w:sz w:val="44"/>
          <w:szCs w:val="44"/>
          <w:lang w:bidi="ar"/>
        </w:rPr>
        <w:t>第三部分 2019 年部门决算情况</w:t>
      </w:r>
    </w:p>
    <w:p>
      <w:pPr>
        <w:widowControl/>
        <w:ind w:firstLine="640" w:firstLineChars="200"/>
        <w:jc w:val="left"/>
        <w:rPr>
          <w:rFonts w:hint="eastAsia" w:ascii="黑体" w:hAnsi="黑体" w:eastAsia="黑体"/>
          <w:color w:val="000000"/>
          <w:kern w:val="0"/>
          <w:sz w:val="32"/>
          <w:szCs w:val="32"/>
          <w:lang w:bidi="ar"/>
        </w:rPr>
      </w:pPr>
      <w:r>
        <w:rPr>
          <w:rFonts w:hint="eastAsia" w:ascii="黑体" w:hAnsi="黑体" w:eastAsia="黑体"/>
          <w:color w:val="000000"/>
          <w:kern w:val="0"/>
          <w:sz w:val="32"/>
          <w:szCs w:val="32"/>
          <w:lang w:bidi="ar"/>
        </w:rPr>
        <w:t xml:space="preserve">一、收入支出决算总体情况说明 </w:t>
      </w:r>
    </w:p>
    <w:p>
      <w:pPr>
        <w:widowControl/>
        <w:ind w:firstLine="640" w:firstLineChars="200"/>
        <w:jc w:val="left"/>
        <w:rPr>
          <w:rFonts w:hint="eastAsia" w:ascii="黑体" w:hAnsi="黑体" w:eastAsia="黑体"/>
          <w:color w:val="000000"/>
          <w:kern w:val="0"/>
          <w:sz w:val="32"/>
          <w:szCs w:val="32"/>
          <w:lang w:eastAsia="zh-CN" w:bidi="ar"/>
        </w:rPr>
      </w:pPr>
      <w:r>
        <w:rPr>
          <w:rFonts w:hint="eastAsia" w:ascii="黑体" w:hAnsi="黑体" w:eastAsia="黑体"/>
          <w:color w:val="000000"/>
          <w:kern w:val="0"/>
          <w:sz w:val="32"/>
          <w:szCs w:val="32"/>
          <w:lang w:eastAsia="zh-CN" w:bidi="ar"/>
        </w:rPr>
        <w:drawing>
          <wp:inline distT="0" distB="0" distL="114300" distR="114300">
            <wp:extent cx="5080000" cy="2715260"/>
            <wp:effectExtent l="4445" t="4445" r="20955" b="8064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widowControl/>
        <w:ind w:firstLine="640" w:firstLineChars="200"/>
        <w:jc w:val="left"/>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2019 年收入、支出</w:t>
      </w:r>
      <w:r>
        <w:rPr>
          <w:rFonts w:hint="eastAsia" w:ascii="仿宋" w:hAnsi="仿宋" w:eastAsia="仿宋" w:cs="仿宋"/>
          <w:b/>
          <w:bCs/>
          <w:color w:val="auto"/>
          <w:sz w:val="32"/>
          <w:szCs w:val="32"/>
          <w:lang w:val="en-US" w:eastAsia="zh-CN"/>
        </w:rPr>
        <w:t>总计</w:t>
      </w:r>
      <w:r>
        <w:rPr>
          <w:rFonts w:hint="eastAsia" w:ascii="仿宋" w:hAnsi="仿宋" w:eastAsia="仿宋" w:cs="仿宋"/>
          <w:b/>
          <w:bCs/>
          <w:i w:val="0"/>
          <w:color w:val="000000"/>
          <w:kern w:val="0"/>
          <w:sz w:val="32"/>
          <w:szCs w:val="32"/>
          <w:u w:val="none"/>
          <w:lang w:val="en-US" w:eastAsia="zh-CN" w:bidi="ar"/>
        </w:rPr>
        <w:t>1111.15</w:t>
      </w:r>
      <w:r>
        <w:rPr>
          <w:rFonts w:hint="eastAsia" w:ascii="仿宋_GB2312" w:hAnsi="仿宋" w:eastAsia="仿宋_GB2312"/>
          <w:color w:val="auto"/>
          <w:sz w:val="32"/>
          <w:szCs w:val="32"/>
          <w:lang w:val="en-US" w:eastAsia="zh-CN"/>
        </w:rPr>
        <w:t>万元，与 2018 年相比，收入、支出总计各增加156.87万元，增加16.44%，主要是本单位职工调资、新增职工养老保险单位部分及项目支出增加。</w:t>
      </w:r>
    </w:p>
    <w:p>
      <w:pPr>
        <w:widowControl/>
        <w:ind w:firstLine="640" w:firstLineChars="200"/>
        <w:jc w:val="left"/>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二、收入决算情况说明</w:t>
      </w:r>
    </w:p>
    <w:p>
      <w:pPr>
        <w:widowControl/>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3804920" cy="2440305"/>
            <wp:effectExtent l="4445" t="4445" r="19685" b="6985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widowControl/>
        <w:ind w:firstLine="640" w:firstLineChars="200"/>
        <w:jc w:val="left"/>
      </w:pPr>
      <w:r>
        <w:rPr>
          <w:rFonts w:hint="eastAsia" w:ascii="仿宋_GB2312" w:hAnsi="宋体" w:eastAsia="仿宋_GB2312" w:cs="仿宋_GB2312"/>
          <w:color w:val="000000"/>
          <w:kern w:val="0"/>
          <w:sz w:val="32"/>
          <w:szCs w:val="32"/>
          <w:lang w:bidi="ar"/>
        </w:rPr>
        <w:t>2019</w:t>
      </w:r>
      <w:r>
        <w:rPr>
          <w:rFonts w:ascii="仿宋_GB2312" w:hAnsi="宋体" w:eastAsia="仿宋_GB2312" w:cs="仿宋_GB2312"/>
          <w:color w:val="000000"/>
          <w:kern w:val="0"/>
          <w:sz w:val="32"/>
          <w:szCs w:val="32"/>
          <w:lang w:bidi="ar"/>
        </w:rPr>
        <w:t>年收入</w:t>
      </w:r>
      <w:r>
        <w:rPr>
          <w:rFonts w:ascii="仿宋_GB2312" w:hAnsi="宋体" w:eastAsia="仿宋_GB2312" w:cs="仿宋_GB2312"/>
          <w:color w:val="auto"/>
          <w:kern w:val="0"/>
          <w:sz w:val="32"/>
          <w:szCs w:val="32"/>
          <w:lang w:bidi="ar"/>
        </w:rPr>
        <w:t>合计</w:t>
      </w:r>
      <w:r>
        <w:rPr>
          <w:rFonts w:hint="eastAsia" w:ascii="仿宋" w:hAnsi="仿宋" w:eastAsia="仿宋" w:cs="仿宋"/>
          <w:b/>
          <w:bCs/>
          <w:i w:val="0"/>
          <w:color w:val="000000"/>
          <w:kern w:val="0"/>
          <w:sz w:val="32"/>
          <w:szCs w:val="32"/>
          <w:u w:val="none"/>
          <w:lang w:val="en-US" w:eastAsia="zh-CN" w:bidi="ar"/>
        </w:rPr>
        <w:t>1111.15</w:t>
      </w:r>
      <w:r>
        <w:rPr>
          <w:rFonts w:ascii="仿宋_GB2312" w:hAnsi="宋体" w:eastAsia="仿宋_GB2312" w:cs="仿宋_GB2312"/>
          <w:color w:val="auto"/>
          <w:kern w:val="0"/>
          <w:sz w:val="32"/>
          <w:szCs w:val="32"/>
          <w:lang w:bidi="ar"/>
        </w:rPr>
        <w:t>万元，其中：财政拨款收入</w:t>
      </w:r>
      <w:r>
        <w:rPr>
          <w:rFonts w:hint="eastAsia" w:ascii="仿宋" w:hAnsi="仿宋" w:eastAsia="仿宋" w:cs="仿宋"/>
          <w:b/>
          <w:bCs/>
          <w:i w:val="0"/>
          <w:color w:val="000000"/>
          <w:kern w:val="0"/>
          <w:sz w:val="32"/>
          <w:szCs w:val="32"/>
          <w:u w:val="none"/>
          <w:lang w:val="en-US" w:eastAsia="zh-CN" w:bidi="ar"/>
        </w:rPr>
        <w:t>1111.15</w:t>
      </w:r>
      <w:r>
        <w:rPr>
          <w:rFonts w:ascii="仿宋_GB2312" w:hAnsi="宋体" w:eastAsia="仿宋_GB2312" w:cs="仿宋_GB2312"/>
          <w:color w:val="auto"/>
          <w:kern w:val="0"/>
          <w:sz w:val="32"/>
          <w:szCs w:val="32"/>
          <w:lang w:bidi="ar"/>
        </w:rPr>
        <w:t>万元，</w:t>
      </w:r>
      <w:r>
        <w:rPr>
          <w:rFonts w:ascii="仿宋_GB2312" w:hAnsi="宋体" w:eastAsia="仿宋_GB2312" w:cs="仿宋_GB2312"/>
          <w:color w:val="000000"/>
          <w:kern w:val="0"/>
          <w:sz w:val="32"/>
          <w:szCs w:val="32"/>
          <w:lang w:bidi="ar"/>
        </w:rPr>
        <w:t>占收入</w:t>
      </w:r>
      <w:r>
        <w:rPr>
          <w:rFonts w:hint="eastAsia" w:ascii="仿宋_GB2312" w:hAnsi="宋体" w:eastAsia="仿宋_GB2312" w:cs="仿宋_GB2312"/>
          <w:color w:val="000000"/>
          <w:kern w:val="0"/>
          <w:sz w:val="32"/>
          <w:szCs w:val="32"/>
          <w:lang w:val="en-US" w:eastAsia="zh-CN" w:bidi="ar"/>
        </w:rPr>
        <w:t>100</w:t>
      </w:r>
      <w:r>
        <w:rPr>
          <w:rFonts w:ascii="仿宋_GB2312" w:hAnsi="宋体" w:eastAsia="仿宋_GB2312" w:cs="仿宋_GB2312"/>
          <w:color w:val="000000"/>
          <w:kern w:val="0"/>
          <w:sz w:val="32"/>
          <w:szCs w:val="32"/>
          <w:lang w:bidi="ar"/>
        </w:rPr>
        <w:t>%；事业收入</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万元，占收入</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%；经营收入</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万元，占收入</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%；其他收入</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万元，占收入</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bidi="ar"/>
        </w:rPr>
        <w:t>。</w:t>
      </w:r>
    </w:p>
    <w:p>
      <w:pPr>
        <w:widowControl/>
        <w:numPr>
          <w:ilvl w:val="0"/>
          <w:numId w:val="1"/>
        </w:numPr>
        <w:ind w:firstLine="640" w:firstLineChars="200"/>
        <w:jc w:val="left"/>
        <w:rPr>
          <w:rFonts w:hint="eastAsia" w:ascii="黑体" w:hAnsi="黑体" w:eastAsia="黑体"/>
          <w:color w:val="000000"/>
          <w:kern w:val="0"/>
          <w:sz w:val="32"/>
          <w:szCs w:val="32"/>
          <w:lang w:bidi="ar"/>
        </w:rPr>
      </w:pPr>
      <w:r>
        <w:rPr>
          <w:rFonts w:hint="eastAsia" w:ascii="黑体" w:hAnsi="黑体" w:eastAsia="黑体"/>
          <w:color w:val="000000"/>
          <w:kern w:val="0"/>
          <w:sz w:val="32"/>
          <w:szCs w:val="32"/>
          <w:lang w:bidi="ar"/>
        </w:rPr>
        <w:t xml:space="preserve">支出决算情况说明  </w:t>
      </w:r>
    </w:p>
    <w:p>
      <w:pPr>
        <w:widowControl/>
        <w:numPr>
          <w:ilvl w:val="0"/>
          <w:numId w:val="0"/>
        </w:numPr>
        <w:jc w:val="left"/>
        <w:rPr>
          <w:rFonts w:hint="eastAsia" w:ascii="黑体" w:hAnsi="黑体" w:eastAsia="黑体"/>
          <w:color w:val="000000"/>
          <w:kern w:val="0"/>
          <w:sz w:val="32"/>
          <w:szCs w:val="32"/>
          <w:lang w:eastAsia="zh-CN" w:bidi="ar"/>
        </w:rPr>
      </w:pPr>
      <w:r>
        <w:rPr>
          <w:rFonts w:hint="eastAsia" w:ascii="黑体" w:hAnsi="黑体" w:eastAsia="黑体"/>
          <w:color w:val="000000"/>
          <w:kern w:val="0"/>
          <w:sz w:val="32"/>
          <w:szCs w:val="32"/>
          <w:lang w:eastAsia="zh-CN" w:bidi="ar"/>
        </w:rPr>
        <w:drawing>
          <wp:inline distT="0" distB="0" distL="114300" distR="114300">
            <wp:extent cx="3518535" cy="2866390"/>
            <wp:effectExtent l="4445" t="4445" r="20320" b="8191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widowControl/>
        <w:ind w:firstLine="640" w:firstLineChars="200"/>
        <w:jc w:val="left"/>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2019年支出</w:t>
      </w:r>
      <w:r>
        <w:rPr>
          <w:rFonts w:hint="eastAsia" w:ascii="仿宋" w:hAnsi="仿宋" w:eastAsia="仿宋" w:cs="仿宋"/>
          <w:color w:val="auto"/>
          <w:kern w:val="0"/>
          <w:sz w:val="32"/>
          <w:szCs w:val="32"/>
          <w:lang w:bidi="ar"/>
        </w:rPr>
        <w:t>合计</w:t>
      </w:r>
      <w:r>
        <w:rPr>
          <w:rFonts w:hint="eastAsia" w:ascii="仿宋" w:hAnsi="仿宋" w:eastAsia="仿宋" w:cs="仿宋"/>
          <w:b/>
          <w:bCs/>
          <w:i w:val="0"/>
          <w:color w:val="000000"/>
          <w:kern w:val="0"/>
          <w:sz w:val="32"/>
          <w:szCs w:val="32"/>
          <w:u w:val="none"/>
          <w:lang w:val="en-US" w:eastAsia="zh-CN" w:bidi="ar"/>
        </w:rPr>
        <w:t>1111.15</w:t>
      </w:r>
      <w:r>
        <w:rPr>
          <w:rFonts w:hint="eastAsia" w:ascii="仿宋" w:hAnsi="仿宋" w:eastAsia="仿宋" w:cs="仿宋"/>
          <w:color w:val="000000"/>
          <w:kern w:val="0"/>
          <w:sz w:val="32"/>
          <w:szCs w:val="32"/>
          <w:lang w:bidi="ar"/>
        </w:rPr>
        <w:t>万元，其中：基本支出</w:t>
      </w:r>
      <w:r>
        <w:rPr>
          <w:rFonts w:hint="eastAsia" w:ascii="仿宋" w:hAnsi="仿宋" w:eastAsia="仿宋" w:cs="仿宋"/>
          <w:b/>
          <w:bCs/>
          <w:i w:val="0"/>
          <w:color w:val="000000"/>
          <w:kern w:val="0"/>
          <w:sz w:val="32"/>
          <w:szCs w:val="32"/>
          <w:u w:val="none"/>
          <w:lang w:val="en-US" w:eastAsia="zh-CN" w:bidi="ar"/>
        </w:rPr>
        <w:t>713.69</w:t>
      </w:r>
      <w:r>
        <w:rPr>
          <w:rFonts w:hint="eastAsia" w:ascii="仿宋" w:hAnsi="仿宋" w:eastAsia="仿宋" w:cs="仿宋"/>
          <w:color w:val="000000"/>
          <w:kern w:val="0"/>
          <w:sz w:val="32"/>
          <w:szCs w:val="32"/>
          <w:lang w:bidi="ar"/>
        </w:rPr>
        <w:t>万元，占支出</w:t>
      </w:r>
      <w:r>
        <w:rPr>
          <w:rFonts w:hint="eastAsia" w:ascii="仿宋" w:hAnsi="仿宋" w:eastAsia="仿宋" w:cs="仿宋"/>
          <w:color w:val="000000"/>
          <w:kern w:val="0"/>
          <w:sz w:val="32"/>
          <w:szCs w:val="32"/>
          <w:lang w:val="en-US" w:eastAsia="zh-CN" w:bidi="ar"/>
        </w:rPr>
        <w:t>64.23</w:t>
      </w:r>
      <w:r>
        <w:rPr>
          <w:rFonts w:hint="eastAsia" w:ascii="仿宋" w:hAnsi="仿宋" w:eastAsia="仿宋" w:cs="仿宋"/>
          <w:color w:val="000000"/>
          <w:kern w:val="0"/>
          <w:sz w:val="32"/>
          <w:szCs w:val="32"/>
          <w:lang w:bidi="ar"/>
        </w:rPr>
        <w:t>%；项目支出</w:t>
      </w:r>
      <w:r>
        <w:rPr>
          <w:rFonts w:hint="eastAsia" w:ascii="仿宋" w:hAnsi="仿宋" w:eastAsia="仿宋" w:cs="仿宋"/>
          <w:b/>
          <w:bCs/>
          <w:i w:val="0"/>
          <w:color w:val="000000"/>
          <w:kern w:val="0"/>
          <w:sz w:val="32"/>
          <w:szCs w:val="32"/>
          <w:u w:val="none"/>
          <w:lang w:val="en-US" w:eastAsia="zh-CN" w:bidi="ar"/>
        </w:rPr>
        <w:t>397.46</w:t>
      </w:r>
      <w:r>
        <w:rPr>
          <w:rFonts w:hint="eastAsia" w:ascii="仿宋" w:hAnsi="仿宋" w:eastAsia="仿宋" w:cs="仿宋"/>
          <w:color w:val="000000"/>
          <w:kern w:val="0"/>
          <w:sz w:val="32"/>
          <w:szCs w:val="32"/>
          <w:lang w:bidi="ar"/>
        </w:rPr>
        <w:t>万元，占</w:t>
      </w:r>
      <w:r>
        <w:rPr>
          <w:rFonts w:hint="eastAsia" w:ascii="仿宋" w:hAnsi="仿宋" w:eastAsia="仿宋" w:cs="仿宋"/>
          <w:color w:val="000000"/>
          <w:kern w:val="0"/>
          <w:sz w:val="32"/>
          <w:szCs w:val="32"/>
          <w:lang w:val="en-US" w:eastAsia="zh-CN" w:bidi="ar"/>
        </w:rPr>
        <w:t>35.77</w:t>
      </w:r>
      <w:r>
        <w:rPr>
          <w:rFonts w:hint="eastAsia" w:ascii="仿宋" w:hAnsi="仿宋" w:eastAsia="仿宋" w:cs="仿宋"/>
          <w:color w:val="000000"/>
          <w:kern w:val="0"/>
          <w:sz w:val="32"/>
          <w:szCs w:val="32"/>
          <w:lang w:bidi="ar"/>
        </w:rPr>
        <w:t>%；经营支出</w:t>
      </w:r>
      <w:r>
        <w:rPr>
          <w:rFonts w:hint="eastAsia" w:ascii="仿宋" w:hAnsi="仿宋" w:eastAsia="仿宋" w:cs="仿宋"/>
          <w:color w:val="000000"/>
          <w:kern w:val="0"/>
          <w:sz w:val="32"/>
          <w:szCs w:val="32"/>
          <w:lang w:val="en-US" w:eastAsia="zh-CN" w:bidi="ar"/>
        </w:rPr>
        <w:t>0</w:t>
      </w:r>
      <w:r>
        <w:rPr>
          <w:rFonts w:hint="eastAsia" w:ascii="仿宋" w:hAnsi="仿宋" w:eastAsia="仿宋" w:cs="仿宋"/>
          <w:color w:val="000000"/>
          <w:kern w:val="0"/>
          <w:sz w:val="32"/>
          <w:szCs w:val="32"/>
          <w:lang w:bidi="ar"/>
        </w:rPr>
        <w:t>万元，占</w:t>
      </w:r>
      <w:r>
        <w:rPr>
          <w:rFonts w:hint="eastAsia" w:ascii="仿宋" w:hAnsi="仿宋" w:eastAsia="仿宋" w:cs="仿宋"/>
          <w:color w:val="000000"/>
          <w:kern w:val="0"/>
          <w:sz w:val="32"/>
          <w:szCs w:val="32"/>
          <w:lang w:val="en-US" w:eastAsia="zh-CN" w:bidi="ar"/>
        </w:rPr>
        <w:t>0</w:t>
      </w:r>
      <w:r>
        <w:rPr>
          <w:rFonts w:hint="eastAsia" w:ascii="仿宋" w:hAnsi="仿宋" w:eastAsia="仿宋" w:cs="仿宋"/>
          <w:color w:val="000000"/>
          <w:kern w:val="0"/>
          <w:sz w:val="32"/>
          <w:szCs w:val="32"/>
          <w:lang w:bidi="ar"/>
        </w:rPr>
        <w:t>%。</w:t>
      </w:r>
    </w:p>
    <w:p>
      <w:pPr>
        <w:widowControl/>
        <w:numPr>
          <w:ilvl w:val="0"/>
          <w:numId w:val="1"/>
        </w:numPr>
        <w:ind w:left="0" w:leftChars="0" w:firstLine="640" w:firstLineChars="200"/>
        <w:jc w:val="left"/>
        <w:rPr>
          <w:rFonts w:hint="eastAsia" w:ascii="黑体" w:hAnsi="黑体" w:eastAsia="黑体"/>
          <w:color w:val="000000"/>
          <w:kern w:val="0"/>
          <w:sz w:val="32"/>
          <w:szCs w:val="32"/>
          <w:lang w:bidi="ar"/>
        </w:rPr>
      </w:pPr>
      <w:r>
        <w:rPr>
          <w:rFonts w:hint="eastAsia" w:ascii="黑体" w:hAnsi="黑体" w:eastAsia="黑体"/>
          <w:color w:val="000000"/>
          <w:kern w:val="0"/>
          <w:sz w:val="32"/>
          <w:szCs w:val="32"/>
          <w:lang w:bidi="ar"/>
        </w:rPr>
        <w:t xml:space="preserve">财政拨款收入支出决算总体情况说明 </w:t>
      </w:r>
    </w:p>
    <w:p>
      <w:pPr>
        <w:widowControl/>
        <w:numPr>
          <w:ilvl w:val="0"/>
          <w:numId w:val="0"/>
        </w:numPr>
        <w:ind w:leftChars="200"/>
        <w:jc w:val="left"/>
        <w:rPr>
          <w:rFonts w:hint="eastAsia" w:ascii="黑体" w:hAnsi="黑体" w:eastAsia="黑体"/>
          <w:color w:val="000000"/>
          <w:kern w:val="0"/>
          <w:sz w:val="32"/>
          <w:szCs w:val="32"/>
          <w:lang w:eastAsia="zh-CN" w:bidi="ar"/>
        </w:rPr>
      </w:pPr>
      <w:r>
        <w:rPr>
          <w:rFonts w:hint="eastAsia" w:ascii="黑体" w:hAnsi="黑体" w:eastAsia="黑体"/>
          <w:color w:val="000000"/>
          <w:kern w:val="0"/>
          <w:sz w:val="32"/>
          <w:szCs w:val="32"/>
          <w:lang w:bidi="ar"/>
        </w:rPr>
        <w:t xml:space="preserve"> </w:t>
      </w:r>
      <w:r>
        <w:rPr>
          <w:rFonts w:hint="eastAsia" w:ascii="黑体" w:hAnsi="黑体" w:eastAsia="黑体"/>
          <w:color w:val="000000"/>
          <w:kern w:val="0"/>
          <w:sz w:val="32"/>
          <w:szCs w:val="32"/>
          <w:lang w:eastAsia="zh-CN" w:bidi="ar"/>
        </w:rPr>
        <w:drawing>
          <wp:inline distT="0" distB="0" distL="114300" distR="114300">
            <wp:extent cx="5080000" cy="1697355"/>
            <wp:effectExtent l="4445" t="4445" r="20955" b="6985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widowControl/>
        <w:ind w:firstLine="640" w:firstLineChars="200"/>
        <w:jc w:val="left"/>
        <w:rPr>
          <w:rFonts w:hint="eastAsia" w:ascii="仿宋_GB2312" w:hAnsi="仿宋" w:eastAsia="仿宋_GB2312"/>
          <w:color w:val="auto"/>
          <w:sz w:val="32"/>
          <w:szCs w:val="32"/>
        </w:rPr>
      </w:pPr>
      <w:r>
        <w:rPr>
          <w:rFonts w:hint="eastAsia" w:ascii="仿宋_GB2312" w:hAnsi="仿宋" w:eastAsia="仿宋_GB2312"/>
          <w:sz w:val="32"/>
          <w:szCs w:val="32"/>
        </w:rPr>
        <w:t>2019年</w:t>
      </w:r>
      <w:r>
        <w:rPr>
          <w:rFonts w:ascii="仿宋_GB2312" w:hAnsi="宋体" w:eastAsia="仿宋_GB2312" w:cs="仿宋_GB2312"/>
          <w:color w:val="000000"/>
          <w:kern w:val="0"/>
          <w:sz w:val="32"/>
          <w:szCs w:val="32"/>
          <w:lang w:bidi="ar"/>
        </w:rPr>
        <w:t>财政拨款</w:t>
      </w:r>
      <w:r>
        <w:rPr>
          <w:rFonts w:hint="eastAsia" w:ascii="仿宋_GB2312" w:hAnsi="仿宋" w:eastAsia="仿宋_GB2312"/>
          <w:sz w:val="32"/>
          <w:szCs w:val="32"/>
        </w:rPr>
        <w:t>收入</w:t>
      </w:r>
      <w:r>
        <w:rPr>
          <w:rFonts w:hint="eastAsia" w:ascii="仿宋_GB2312" w:hAnsi="仿宋" w:eastAsia="仿宋_GB2312"/>
          <w:sz w:val="32"/>
          <w:szCs w:val="32"/>
          <w:lang w:eastAsia="zh-CN"/>
        </w:rPr>
        <w:t>、支出</w:t>
      </w:r>
      <w:r>
        <w:rPr>
          <w:rFonts w:hint="eastAsia" w:ascii="仿宋_GB2312" w:hAnsi="仿宋" w:eastAsia="仿宋_GB2312"/>
          <w:b/>
          <w:bCs/>
          <w:color w:val="auto"/>
          <w:sz w:val="32"/>
          <w:szCs w:val="32"/>
          <w:lang w:val="en-US" w:eastAsia="zh-CN"/>
        </w:rPr>
        <w:t>总计1111.15</w:t>
      </w:r>
      <w:r>
        <w:rPr>
          <w:rFonts w:hint="eastAsia" w:ascii="仿宋_GB2312" w:hAnsi="仿宋" w:eastAsia="仿宋_GB2312"/>
          <w:color w:val="auto"/>
          <w:sz w:val="32"/>
          <w:szCs w:val="32"/>
          <w:lang w:val="en-US" w:eastAsia="zh-CN"/>
        </w:rPr>
        <w:t>万元，与 2018 年相比，收入、支出总计各增加156.87万元，增加16.44%，主要是本单位职工调资、新增职工养老保险单位部分及项目支出增加。</w:t>
      </w:r>
    </w:p>
    <w:p>
      <w:pPr>
        <w:widowControl/>
        <w:ind w:firstLine="640" w:firstLineChars="200"/>
        <w:jc w:val="left"/>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五、一般公共预算财政拨款支出决算情况说明</w:t>
      </w:r>
    </w:p>
    <w:p>
      <w:pPr>
        <w:widowControl/>
        <w:ind w:firstLine="643" w:firstLineChars="200"/>
        <w:jc w:val="left"/>
        <w:rPr>
          <w:rFonts w:hint="eastAsia" w:ascii="楷体_GB2312" w:hAnsi="宋体" w:eastAsia="楷体_GB2312" w:cs="楷体_GB2312"/>
          <w:b/>
          <w:color w:val="000000"/>
          <w:kern w:val="0"/>
          <w:sz w:val="32"/>
          <w:szCs w:val="32"/>
          <w:lang w:bidi="ar"/>
        </w:rPr>
      </w:pPr>
      <w:r>
        <w:rPr>
          <w:rFonts w:ascii="楷体_GB2312" w:hAnsi="宋体" w:eastAsia="楷体_GB2312" w:cs="楷体_GB2312"/>
          <w:b/>
          <w:color w:val="000000"/>
          <w:kern w:val="0"/>
          <w:sz w:val="32"/>
          <w:szCs w:val="32"/>
          <w:lang w:bidi="ar"/>
        </w:rPr>
        <w:t>（一）财政拨款支出决算总体情况</w:t>
      </w:r>
      <w:r>
        <w:rPr>
          <w:rFonts w:hint="eastAsia" w:ascii="楷体_GB2312" w:hAnsi="宋体" w:eastAsia="楷体_GB2312" w:cs="楷体_GB2312"/>
          <w:b/>
          <w:color w:val="000000"/>
          <w:kern w:val="0"/>
          <w:sz w:val="32"/>
          <w:szCs w:val="32"/>
          <w:lang w:bidi="ar"/>
        </w:rPr>
        <w:t>说明</w:t>
      </w:r>
    </w:p>
    <w:p>
      <w:pPr>
        <w:widowControl/>
        <w:jc w:val="left"/>
        <w:rPr>
          <w:rFonts w:hint="eastAsia" w:ascii="楷体_GB2312" w:hAnsi="宋体" w:eastAsia="楷体_GB2312" w:cs="楷体_GB2312"/>
          <w:b/>
          <w:color w:val="000000"/>
          <w:kern w:val="0"/>
          <w:sz w:val="32"/>
          <w:szCs w:val="32"/>
          <w:lang w:eastAsia="zh-CN" w:bidi="ar"/>
        </w:rPr>
      </w:pPr>
      <w:r>
        <w:rPr>
          <w:rFonts w:hint="eastAsia" w:ascii="楷体_GB2312" w:hAnsi="宋体" w:eastAsia="楷体_GB2312" w:cs="楷体_GB2312"/>
          <w:b/>
          <w:color w:val="000000"/>
          <w:kern w:val="0"/>
          <w:sz w:val="32"/>
          <w:szCs w:val="32"/>
          <w:lang w:eastAsia="zh-CN" w:bidi="ar"/>
        </w:rPr>
        <w:drawing>
          <wp:inline distT="0" distB="0" distL="114300" distR="114300">
            <wp:extent cx="5080000" cy="2628900"/>
            <wp:effectExtent l="4445" t="4445" r="20955" b="7175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widowControl/>
        <w:ind w:firstLine="640" w:firstLineChars="200"/>
        <w:jc w:val="left"/>
        <w:rPr>
          <w:color w:val="auto"/>
        </w:rPr>
      </w:pPr>
      <w:r>
        <w:rPr>
          <w:rFonts w:ascii="仿宋_GB2312" w:hAnsi="宋体" w:eastAsia="仿宋_GB2312" w:cs="仿宋_GB2312"/>
          <w:color w:val="000000"/>
          <w:kern w:val="0"/>
          <w:sz w:val="32"/>
          <w:szCs w:val="32"/>
          <w:lang w:bidi="ar"/>
        </w:rPr>
        <w:t>2019 年财政拨款支出</w:t>
      </w:r>
      <w:r>
        <w:rPr>
          <w:rFonts w:hint="eastAsia" w:ascii="仿宋_GB2312" w:hAnsi="仿宋" w:eastAsia="仿宋_GB2312"/>
          <w:b/>
          <w:bCs/>
          <w:color w:val="auto"/>
          <w:sz w:val="32"/>
          <w:szCs w:val="32"/>
          <w:lang w:val="en-US" w:eastAsia="zh-CN"/>
        </w:rPr>
        <w:t>1111.15</w:t>
      </w:r>
      <w:r>
        <w:rPr>
          <w:rFonts w:ascii="仿宋_GB2312" w:hAnsi="宋体" w:eastAsia="仿宋_GB2312" w:cs="仿宋_GB2312"/>
          <w:color w:val="auto"/>
          <w:kern w:val="0"/>
          <w:sz w:val="32"/>
          <w:szCs w:val="32"/>
          <w:lang w:bidi="ar"/>
        </w:rPr>
        <w:t xml:space="preserve"> </w:t>
      </w:r>
      <w:r>
        <w:rPr>
          <w:rFonts w:ascii="仿宋_GB2312" w:hAnsi="宋体" w:eastAsia="仿宋_GB2312" w:cs="仿宋_GB2312"/>
          <w:color w:val="000000"/>
          <w:kern w:val="0"/>
          <w:sz w:val="32"/>
          <w:szCs w:val="32"/>
          <w:lang w:bidi="ar"/>
        </w:rPr>
        <w:t>万元，占本年支出合计的</w:t>
      </w:r>
      <w:r>
        <w:rPr>
          <w:rFonts w:hint="eastAsia" w:ascii="仿宋_GB2312" w:hAnsi="宋体" w:eastAsia="仿宋_GB2312" w:cs="仿宋_GB2312"/>
          <w:color w:val="000000"/>
          <w:kern w:val="0"/>
          <w:sz w:val="32"/>
          <w:szCs w:val="32"/>
          <w:lang w:val="en-US" w:eastAsia="zh-CN" w:bidi="ar"/>
        </w:rPr>
        <w:t>100</w:t>
      </w:r>
      <w:r>
        <w:rPr>
          <w:rFonts w:ascii="仿宋_GB2312" w:hAnsi="宋体" w:eastAsia="仿宋_GB2312" w:cs="仿宋_GB2312"/>
          <w:color w:val="000000"/>
          <w:kern w:val="0"/>
          <w:sz w:val="32"/>
          <w:szCs w:val="32"/>
          <w:lang w:bidi="ar"/>
        </w:rPr>
        <w:t>%。与</w:t>
      </w:r>
      <w:r>
        <w:rPr>
          <w:rFonts w:hint="eastAsia" w:ascii="仿宋_GB2312" w:hAnsi="宋体" w:eastAsia="仿宋_GB2312" w:cs="仿宋_GB2312"/>
          <w:color w:val="000000"/>
          <w:kern w:val="0"/>
          <w:sz w:val="32"/>
          <w:szCs w:val="32"/>
          <w:lang w:bidi="ar"/>
        </w:rPr>
        <w:t>上年</w:t>
      </w:r>
      <w:r>
        <w:rPr>
          <w:rFonts w:ascii="仿宋_GB2312" w:hAnsi="宋体" w:eastAsia="仿宋_GB2312" w:cs="仿宋_GB2312"/>
          <w:color w:val="000000"/>
          <w:kern w:val="0"/>
          <w:sz w:val="32"/>
          <w:szCs w:val="32"/>
          <w:lang w:bidi="ar"/>
        </w:rPr>
        <w:t>相比，财政拨款支出增</w:t>
      </w:r>
      <w:r>
        <w:rPr>
          <w:rFonts w:ascii="仿宋_GB2312" w:hAnsi="宋体" w:eastAsia="仿宋_GB2312" w:cs="仿宋_GB2312"/>
          <w:color w:val="auto"/>
          <w:kern w:val="0"/>
          <w:sz w:val="32"/>
          <w:szCs w:val="32"/>
          <w:lang w:bidi="ar"/>
        </w:rPr>
        <w:t>加</w:t>
      </w:r>
      <w:r>
        <w:rPr>
          <w:rFonts w:hint="eastAsia" w:ascii="仿宋_GB2312" w:hAnsi="仿宋" w:eastAsia="仿宋_GB2312"/>
          <w:color w:val="auto"/>
          <w:sz w:val="32"/>
          <w:szCs w:val="32"/>
          <w:lang w:val="en-US" w:eastAsia="zh-CN"/>
        </w:rPr>
        <w:t>156.87万元，增加16.44%</w:t>
      </w:r>
      <w:r>
        <w:rPr>
          <w:rFonts w:ascii="仿宋_GB2312" w:hAnsi="宋体" w:eastAsia="仿宋_GB2312" w:cs="仿宋_GB2312"/>
          <w:color w:val="auto"/>
          <w:kern w:val="0"/>
          <w:sz w:val="32"/>
          <w:szCs w:val="32"/>
          <w:lang w:bidi="ar"/>
        </w:rPr>
        <w:t>，主要</w:t>
      </w:r>
      <w:r>
        <w:rPr>
          <w:rFonts w:hint="eastAsia" w:ascii="仿宋_GB2312" w:hAnsi="宋体" w:eastAsia="仿宋_GB2312" w:cs="仿宋_GB2312"/>
          <w:color w:val="auto"/>
          <w:kern w:val="0"/>
          <w:sz w:val="32"/>
          <w:szCs w:val="32"/>
          <w:lang w:bidi="ar"/>
        </w:rPr>
        <w:t>原因是</w:t>
      </w:r>
      <w:r>
        <w:rPr>
          <w:rFonts w:hint="eastAsia" w:ascii="仿宋_GB2312" w:hAnsi="仿宋" w:eastAsia="仿宋_GB2312"/>
          <w:color w:val="auto"/>
          <w:sz w:val="32"/>
          <w:szCs w:val="32"/>
          <w:lang w:val="en-US" w:eastAsia="zh-CN"/>
        </w:rPr>
        <w:t>本单位职工调资、新增职工养老保险单位部分及项目支出增加</w:t>
      </w:r>
      <w:r>
        <w:rPr>
          <w:rFonts w:hint="eastAsia" w:ascii="仿宋_GB2312" w:hAnsi="宋体" w:eastAsia="仿宋_GB2312" w:cs="仿宋_GB2312"/>
          <w:color w:val="auto"/>
          <w:kern w:val="0"/>
          <w:sz w:val="32"/>
          <w:szCs w:val="32"/>
          <w:lang w:bidi="ar"/>
        </w:rPr>
        <w:t>。</w:t>
      </w:r>
    </w:p>
    <w:p>
      <w:pPr>
        <w:spacing w:line="360" w:lineRule="auto"/>
        <w:ind w:firstLine="643" w:firstLineChars="200"/>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（二）</w:t>
      </w:r>
      <w:r>
        <w:rPr>
          <w:rFonts w:ascii="楷体_GB2312" w:hAnsi="宋体" w:eastAsia="楷体_GB2312" w:cs="楷体_GB2312"/>
          <w:b/>
          <w:color w:val="000000"/>
          <w:kern w:val="0"/>
          <w:sz w:val="32"/>
          <w:szCs w:val="32"/>
          <w:lang w:bidi="ar"/>
        </w:rPr>
        <w:t>财政拨款支出决算具体情况</w:t>
      </w:r>
      <w:r>
        <w:rPr>
          <w:rFonts w:hint="eastAsia" w:ascii="楷体_GB2312" w:hAnsi="宋体" w:eastAsia="楷体_GB2312" w:cs="楷体_GB2312"/>
          <w:b/>
          <w:color w:val="000000"/>
          <w:kern w:val="0"/>
          <w:sz w:val="32"/>
          <w:szCs w:val="32"/>
          <w:lang w:bidi="ar"/>
        </w:rPr>
        <w:t>说明</w:t>
      </w:r>
    </w:p>
    <w:p>
      <w:pPr>
        <w:widowControl/>
        <w:ind w:firstLine="640" w:firstLineChars="200"/>
        <w:jc w:val="left"/>
      </w:pPr>
      <w:r>
        <w:rPr>
          <w:rFonts w:ascii="仿宋_GB2312" w:hAnsi="宋体" w:eastAsia="仿宋_GB2312" w:cs="仿宋_GB2312"/>
          <w:color w:val="000000"/>
          <w:kern w:val="0"/>
          <w:sz w:val="32"/>
          <w:szCs w:val="32"/>
          <w:lang w:bidi="ar"/>
        </w:rPr>
        <w:t>2019 年财政拨款支出决算为</w:t>
      </w:r>
      <w:r>
        <w:rPr>
          <w:rFonts w:hint="eastAsia" w:ascii="仿宋_GB2312" w:hAnsi="宋体" w:eastAsia="仿宋_GB2312" w:cs="仿宋_GB2312"/>
          <w:color w:val="000000"/>
          <w:kern w:val="0"/>
          <w:sz w:val="32"/>
          <w:szCs w:val="32"/>
          <w:lang w:val="en-US" w:eastAsia="zh-CN" w:bidi="ar"/>
        </w:rPr>
        <w:t>1111</w:t>
      </w:r>
      <w:r>
        <w:rPr>
          <w:rFonts w:hint="eastAsia"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val="en-US" w:eastAsia="zh-CN" w:bidi="ar"/>
        </w:rPr>
        <w:t>15</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bidi="ar"/>
        </w:rPr>
        <w:t>按照政府功能分类科目，</w:t>
      </w:r>
      <w:r>
        <w:rPr>
          <w:rFonts w:ascii="仿宋_GB2312" w:hAnsi="宋体" w:eastAsia="仿宋_GB2312" w:cs="仿宋_GB2312"/>
          <w:color w:val="000000"/>
          <w:kern w:val="0"/>
          <w:sz w:val="32"/>
          <w:szCs w:val="32"/>
          <w:lang w:bidi="ar"/>
        </w:rPr>
        <w:t>其中：一般公共服务支出（类）为</w:t>
      </w:r>
      <w:r>
        <w:rPr>
          <w:rFonts w:hint="eastAsia" w:ascii="仿宋_GB2312" w:hAnsi="宋体" w:eastAsia="仿宋_GB2312" w:cs="仿宋_GB2312"/>
          <w:color w:val="000000"/>
          <w:kern w:val="0"/>
          <w:sz w:val="32"/>
          <w:szCs w:val="32"/>
          <w:lang w:bidi="ar"/>
        </w:rPr>
        <w:t>585.83</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r>
        <w:rPr>
          <w:rFonts w:hint="eastAsia" w:ascii="仿宋_GB2312" w:hAnsi="宋体" w:eastAsia="仿宋_GB2312" w:cs="仿宋_GB2312"/>
          <w:color w:val="000000"/>
          <w:kern w:val="0"/>
          <w:sz w:val="32"/>
          <w:szCs w:val="32"/>
          <w:lang w:bidi="ar"/>
        </w:rPr>
        <w:t>文化旅游体育与传媒支出</w:t>
      </w:r>
      <w:r>
        <w:rPr>
          <w:rFonts w:ascii="仿宋_GB2312" w:hAnsi="宋体" w:eastAsia="仿宋_GB2312" w:cs="仿宋_GB2312"/>
          <w:color w:val="000000"/>
          <w:kern w:val="0"/>
          <w:sz w:val="32"/>
          <w:szCs w:val="32"/>
          <w:lang w:bidi="ar"/>
        </w:rPr>
        <w:t>（类）</w:t>
      </w:r>
      <w:r>
        <w:rPr>
          <w:rFonts w:hint="eastAsia" w:ascii="仿宋_GB2312" w:hAnsi="宋体" w:eastAsia="仿宋_GB2312" w:cs="仿宋_GB2312"/>
          <w:color w:val="000000"/>
          <w:kern w:val="0"/>
          <w:sz w:val="32"/>
          <w:szCs w:val="32"/>
          <w:lang w:bidi="ar"/>
        </w:rPr>
        <w:t xml:space="preserve"> 33.57万元；社会保障和就业支出</w:t>
      </w:r>
      <w:r>
        <w:rPr>
          <w:rFonts w:ascii="仿宋_GB2312" w:hAnsi="宋体" w:eastAsia="仿宋_GB2312" w:cs="仿宋_GB2312"/>
          <w:color w:val="000000"/>
          <w:kern w:val="0"/>
          <w:sz w:val="32"/>
          <w:szCs w:val="32"/>
          <w:lang w:bidi="ar"/>
        </w:rPr>
        <w:t>（类）</w:t>
      </w:r>
      <w:r>
        <w:rPr>
          <w:rFonts w:hint="eastAsia" w:ascii="仿宋_GB2312" w:hAnsi="宋体" w:eastAsia="仿宋_GB2312" w:cs="仿宋_GB2312"/>
          <w:color w:val="000000"/>
          <w:kern w:val="0"/>
          <w:sz w:val="32"/>
          <w:szCs w:val="32"/>
          <w:lang w:bidi="ar"/>
        </w:rPr>
        <w:t>140.86万元；卫生健康支出</w:t>
      </w:r>
      <w:r>
        <w:rPr>
          <w:rFonts w:ascii="仿宋_GB2312" w:hAnsi="宋体" w:eastAsia="仿宋_GB2312" w:cs="仿宋_GB2312"/>
          <w:color w:val="000000"/>
          <w:kern w:val="0"/>
          <w:sz w:val="32"/>
          <w:szCs w:val="32"/>
          <w:lang w:bidi="ar"/>
        </w:rPr>
        <w:t>（类）</w:t>
      </w:r>
      <w:r>
        <w:rPr>
          <w:rFonts w:hint="eastAsia" w:ascii="仿宋_GB2312" w:hAnsi="宋体" w:eastAsia="仿宋_GB2312" w:cs="仿宋_GB2312"/>
          <w:color w:val="000000"/>
          <w:kern w:val="0"/>
          <w:sz w:val="32"/>
          <w:szCs w:val="32"/>
          <w:lang w:bidi="ar"/>
        </w:rPr>
        <w:t>53.06</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r>
        <w:rPr>
          <w:rFonts w:hint="eastAsia" w:ascii="仿宋_GB2312" w:hAnsi="宋体" w:eastAsia="仿宋_GB2312" w:cs="仿宋_GB2312"/>
          <w:color w:val="000000"/>
          <w:kern w:val="0"/>
          <w:sz w:val="32"/>
          <w:szCs w:val="32"/>
          <w:lang w:bidi="ar"/>
        </w:rPr>
        <w:t>农林水支出（类）257.55万元；住房保障支出（类）40.29万元。</w:t>
      </w:r>
    </w:p>
    <w:p>
      <w:pPr>
        <w:spacing w:line="360" w:lineRule="auto"/>
        <w:ind w:firstLine="640" w:firstLineChars="200"/>
        <w:rPr>
          <w:rFonts w:ascii="仿宋_GB2312" w:hAnsi="仿宋" w:eastAsia="仿宋_GB2312"/>
          <w:sz w:val="32"/>
          <w:szCs w:val="32"/>
        </w:rPr>
      </w:pPr>
      <w:r>
        <w:rPr>
          <w:rFonts w:hint="eastAsia" w:ascii="黑体" w:hAnsi="黑体" w:eastAsia="黑体"/>
          <w:color w:val="000000"/>
          <w:kern w:val="0"/>
          <w:sz w:val="32"/>
          <w:szCs w:val="32"/>
          <w:lang w:bidi="ar"/>
        </w:rPr>
        <w:t xml:space="preserve">六、一般公共预算财政拨款基本支出决算情况说明 </w:t>
      </w:r>
    </w:p>
    <w:p>
      <w:pPr>
        <w:widowControl/>
        <w:ind w:firstLine="620" w:firstLineChars="200"/>
        <w:jc w:val="left"/>
        <w:rPr>
          <w:rFonts w:ascii="仿宋_GB2312" w:hAnsi="仿宋_GB2312" w:eastAsia="仿宋_GB2312" w:cs="仿宋_GB2312"/>
          <w:color w:val="000000"/>
          <w:kern w:val="0"/>
          <w:sz w:val="31"/>
          <w:szCs w:val="31"/>
          <w:lang w:bidi="ar"/>
        </w:rPr>
      </w:pPr>
      <w:r>
        <w:rPr>
          <w:rFonts w:ascii="仿宋_GB2312" w:hAnsi="仿宋_GB2312" w:eastAsia="仿宋_GB2312" w:cs="仿宋_GB2312"/>
          <w:color w:val="000000"/>
          <w:kern w:val="0"/>
          <w:sz w:val="31"/>
          <w:szCs w:val="31"/>
          <w:lang w:bidi="ar"/>
        </w:rPr>
        <w:t>201</w:t>
      </w:r>
      <w:r>
        <w:rPr>
          <w:rFonts w:hint="eastAsia" w:ascii="仿宋_GB2312" w:hAnsi="仿宋_GB2312" w:eastAsia="仿宋_GB2312" w:cs="仿宋_GB2312"/>
          <w:color w:val="000000"/>
          <w:kern w:val="0"/>
          <w:sz w:val="31"/>
          <w:szCs w:val="31"/>
          <w:lang w:bidi="ar"/>
        </w:rPr>
        <w:t>9</w:t>
      </w:r>
      <w:r>
        <w:rPr>
          <w:rFonts w:ascii="仿宋_GB2312" w:hAnsi="仿宋_GB2312" w:eastAsia="仿宋_GB2312" w:cs="仿宋_GB2312"/>
          <w:color w:val="000000"/>
          <w:kern w:val="0"/>
          <w:sz w:val="31"/>
          <w:szCs w:val="31"/>
          <w:lang w:bidi="ar"/>
        </w:rPr>
        <w:t>年一般公共预算财政拨款基本支出</w:t>
      </w:r>
      <w:r>
        <w:rPr>
          <w:rFonts w:hint="eastAsia" w:ascii="仿宋_GB2312" w:hAnsi="仿宋_GB2312" w:eastAsia="仿宋_GB2312" w:cs="仿宋_GB2312"/>
          <w:color w:val="000000"/>
          <w:kern w:val="0"/>
          <w:sz w:val="31"/>
          <w:szCs w:val="31"/>
          <w:lang w:val="en-US" w:eastAsia="zh-CN" w:bidi="ar"/>
        </w:rPr>
        <w:t>713.69</w:t>
      </w:r>
      <w:r>
        <w:rPr>
          <w:rFonts w:ascii="仿宋_GB2312" w:hAnsi="仿宋_GB2312" w:eastAsia="仿宋_GB2312" w:cs="仿宋_GB2312"/>
          <w:color w:val="000000"/>
          <w:kern w:val="0"/>
          <w:sz w:val="31"/>
          <w:szCs w:val="31"/>
          <w:lang w:bidi="ar"/>
        </w:rPr>
        <w:t>万元，包括：人员经费支出</w:t>
      </w:r>
      <w:r>
        <w:rPr>
          <w:rFonts w:hint="eastAsia" w:ascii="仿宋_GB2312" w:hAnsi="仿宋_GB2312" w:eastAsia="仿宋_GB2312" w:cs="仿宋_GB2312"/>
          <w:color w:val="000000"/>
          <w:kern w:val="0"/>
          <w:sz w:val="31"/>
          <w:szCs w:val="31"/>
          <w:lang w:val="en-US" w:eastAsia="zh-CN" w:bidi="ar"/>
        </w:rPr>
        <w:t>601</w:t>
      </w:r>
      <w:r>
        <w:rPr>
          <w:rFonts w:hint="eastAsia" w:ascii="仿宋_GB2312" w:hAnsi="仿宋_GB2312" w:eastAsia="仿宋_GB2312" w:cs="仿宋_GB2312"/>
          <w:color w:val="000000"/>
          <w:kern w:val="0"/>
          <w:sz w:val="31"/>
          <w:szCs w:val="31"/>
          <w:lang w:bidi="ar"/>
        </w:rPr>
        <w:t>.9</w:t>
      </w:r>
      <w:r>
        <w:rPr>
          <w:rFonts w:hint="eastAsia" w:ascii="仿宋_GB2312" w:hAnsi="仿宋_GB2312" w:eastAsia="仿宋_GB2312" w:cs="仿宋_GB2312"/>
          <w:color w:val="000000"/>
          <w:kern w:val="0"/>
          <w:sz w:val="31"/>
          <w:szCs w:val="31"/>
          <w:lang w:val="en-US" w:eastAsia="zh-CN" w:bidi="ar"/>
        </w:rPr>
        <w:t>5</w:t>
      </w:r>
      <w:r>
        <w:rPr>
          <w:rFonts w:ascii="仿宋_GB2312" w:hAnsi="仿宋_GB2312" w:eastAsia="仿宋_GB2312" w:cs="仿宋_GB2312"/>
          <w:color w:val="000000"/>
          <w:kern w:val="0"/>
          <w:sz w:val="31"/>
          <w:szCs w:val="31"/>
          <w:lang w:bidi="ar"/>
        </w:rPr>
        <w:t>万元和公用经费支出</w:t>
      </w:r>
      <w:r>
        <w:rPr>
          <w:rFonts w:hint="eastAsia" w:ascii="仿宋_GB2312" w:hAnsi="仿宋_GB2312" w:eastAsia="仿宋_GB2312" w:cs="仿宋_GB2312"/>
          <w:color w:val="000000"/>
          <w:kern w:val="0"/>
          <w:sz w:val="31"/>
          <w:szCs w:val="31"/>
          <w:lang w:bidi="ar"/>
        </w:rPr>
        <w:tab/>
      </w:r>
      <w:r>
        <w:rPr>
          <w:rFonts w:hint="eastAsia" w:ascii="仿宋_GB2312" w:hAnsi="仿宋_GB2312" w:eastAsia="仿宋_GB2312" w:cs="仿宋_GB2312"/>
          <w:color w:val="000000"/>
          <w:kern w:val="0"/>
          <w:sz w:val="31"/>
          <w:szCs w:val="31"/>
          <w:lang w:bidi="ar"/>
        </w:rPr>
        <w:t>1</w:t>
      </w:r>
      <w:r>
        <w:rPr>
          <w:rFonts w:hint="eastAsia" w:ascii="仿宋_GB2312" w:hAnsi="仿宋_GB2312" w:eastAsia="仿宋_GB2312" w:cs="仿宋_GB2312"/>
          <w:color w:val="000000"/>
          <w:kern w:val="0"/>
          <w:sz w:val="31"/>
          <w:szCs w:val="31"/>
          <w:lang w:val="en-US" w:eastAsia="zh-CN" w:bidi="ar"/>
        </w:rPr>
        <w:t>11</w:t>
      </w:r>
      <w:r>
        <w:rPr>
          <w:rFonts w:hint="eastAsia" w:ascii="仿宋_GB2312" w:hAnsi="仿宋_GB2312" w:eastAsia="仿宋_GB2312" w:cs="仿宋_GB2312"/>
          <w:color w:val="000000"/>
          <w:kern w:val="0"/>
          <w:sz w:val="31"/>
          <w:szCs w:val="31"/>
          <w:lang w:bidi="ar"/>
        </w:rPr>
        <w:t>.</w:t>
      </w:r>
      <w:r>
        <w:rPr>
          <w:rFonts w:hint="eastAsia" w:ascii="仿宋_GB2312" w:hAnsi="仿宋_GB2312" w:eastAsia="仿宋_GB2312" w:cs="仿宋_GB2312"/>
          <w:color w:val="000000"/>
          <w:kern w:val="0"/>
          <w:sz w:val="31"/>
          <w:szCs w:val="31"/>
          <w:lang w:val="en-US" w:eastAsia="zh-CN" w:bidi="ar"/>
        </w:rPr>
        <w:t>74</w:t>
      </w:r>
      <w:r>
        <w:rPr>
          <w:rFonts w:ascii="仿宋_GB2312" w:hAnsi="仿宋_GB2312" w:eastAsia="仿宋_GB2312" w:cs="仿宋_GB2312"/>
          <w:color w:val="000000"/>
          <w:kern w:val="0"/>
          <w:sz w:val="31"/>
          <w:szCs w:val="31"/>
          <w:lang w:bidi="ar"/>
        </w:rPr>
        <w:t>万元。</w:t>
      </w:r>
    </w:p>
    <w:p>
      <w:pPr>
        <w:widowControl/>
        <w:ind w:firstLine="643" w:firstLineChars="200"/>
        <w:jc w:val="left"/>
        <w:rPr>
          <w:rFonts w:ascii="仿宋_GB2312" w:hAnsi="宋体" w:eastAsia="仿宋_GB2312" w:cs="仿宋_GB2312"/>
          <w:color w:val="000000"/>
          <w:kern w:val="0"/>
          <w:sz w:val="32"/>
          <w:szCs w:val="32"/>
          <w:lang w:bidi="ar"/>
        </w:rPr>
      </w:pPr>
      <w:r>
        <w:rPr>
          <w:rFonts w:ascii="仿宋_GB2312" w:hAnsi="宋体" w:eastAsia="仿宋_GB2312" w:cs="仿宋_GB2312"/>
          <w:b/>
          <w:bCs/>
          <w:color w:val="000000"/>
          <w:kern w:val="0"/>
          <w:sz w:val="32"/>
          <w:szCs w:val="32"/>
          <w:lang w:bidi="ar"/>
        </w:rPr>
        <w:t>人员经费</w:t>
      </w:r>
      <w:r>
        <w:rPr>
          <w:rFonts w:hint="eastAsia" w:ascii="仿宋_GB2312" w:hAnsi="宋体" w:eastAsia="仿宋_GB2312" w:cs="仿宋_GB2312"/>
          <w:color w:val="000000"/>
          <w:kern w:val="0"/>
          <w:sz w:val="32"/>
          <w:szCs w:val="32"/>
          <w:lang w:val="en-US" w:eastAsia="zh-CN" w:bidi="ar"/>
        </w:rPr>
        <w:t>601.95</w:t>
      </w:r>
      <w:r>
        <w:rPr>
          <w:rFonts w:ascii="仿宋_GB2312" w:hAnsi="宋体" w:eastAsia="仿宋_GB2312" w:cs="仿宋_GB2312"/>
          <w:color w:val="000000"/>
          <w:kern w:val="0"/>
          <w:sz w:val="32"/>
          <w:szCs w:val="32"/>
          <w:lang w:bidi="ar"/>
        </w:rPr>
        <w:t>万元，主要包括</w:t>
      </w:r>
      <w:r>
        <w:rPr>
          <w:rFonts w:hint="eastAsia" w:ascii="仿宋_GB2312" w:hAnsi="宋体" w:eastAsia="仿宋_GB2312" w:cs="仿宋_GB2312"/>
          <w:color w:val="000000"/>
          <w:kern w:val="0"/>
          <w:sz w:val="32"/>
          <w:szCs w:val="32"/>
          <w:lang w:bidi="ar"/>
        </w:rPr>
        <w:t>（单位支出涉及的款级科目）</w:t>
      </w:r>
      <w:r>
        <w:rPr>
          <w:rFonts w:ascii="仿宋_GB2312" w:hAnsi="宋体" w:eastAsia="仿宋_GB2312" w:cs="仿宋_GB2312"/>
          <w:color w:val="000000"/>
          <w:kern w:val="0"/>
          <w:sz w:val="32"/>
          <w:szCs w:val="32"/>
          <w:lang w:bidi="ar"/>
        </w:rPr>
        <w:t>基本工资</w:t>
      </w:r>
      <w:r>
        <w:rPr>
          <w:rFonts w:hint="eastAsia" w:ascii="仿宋_GB2312" w:hAnsi="宋体" w:eastAsia="仿宋_GB2312" w:cs="仿宋_GB2312"/>
          <w:color w:val="000000"/>
          <w:kern w:val="0"/>
          <w:sz w:val="32"/>
          <w:szCs w:val="32"/>
          <w:lang w:bidi="ar"/>
        </w:rPr>
        <w:t>218.62</w:t>
      </w:r>
      <w:r>
        <w:rPr>
          <w:rFonts w:hint="eastAsia" w:ascii="仿宋_GB2312" w:hAnsi="宋体" w:eastAsia="仿宋_GB2312" w:cs="仿宋_GB2312"/>
          <w:color w:val="000000"/>
          <w:kern w:val="0"/>
          <w:sz w:val="32"/>
          <w:szCs w:val="32"/>
          <w:lang w:eastAsia="zh-CN" w:bidi="ar"/>
        </w:rPr>
        <w:t>万元；</w:t>
      </w:r>
      <w:r>
        <w:rPr>
          <w:rFonts w:hint="eastAsia" w:ascii="仿宋_GB2312" w:hAnsi="宋体" w:eastAsia="仿宋_GB2312" w:cs="仿宋_GB2312"/>
          <w:color w:val="000000"/>
          <w:kern w:val="0"/>
          <w:sz w:val="32"/>
          <w:szCs w:val="32"/>
          <w:lang w:bidi="ar"/>
        </w:rPr>
        <w:t>津贴补贴154.84</w:t>
      </w:r>
      <w:r>
        <w:rPr>
          <w:rFonts w:hint="eastAsia" w:ascii="仿宋_GB2312" w:hAnsi="宋体" w:eastAsia="仿宋_GB2312" w:cs="仿宋_GB2312"/>
          <w:color w:val="000000"/>
          <w:kern w:val="0"/>
          <w:sz w:val="32"/>
          <w:szCs w:val="32"/>
          <w:lang w:eastAsia="zh-CN" w:bidi="ar"/>
        </w:rPr>
        <w:t>万元；</w:t>
      </w:r>
      <w:r>
        <w:rPr>
          <w:rFonts w:hint="eastAsia" w:ascii="仿宋_GB2312" w:hAnsi="宋体" w:eastAsia="仿宋_GB2312" w:cs="仿宋_GB2312"/>
          <w:color w:val="000000"/>
          <w:kern w:val="0"/>
          <w:sz w:val="32"/>
          <w:szCs w:val="32"/>
          <w:lang w:bidi="ar"/>
        </w:rPr>
        <w:t>奖金11.59</w:t>
      </w:r>
      <w:r>
        <w:rPr>
          <w:rFonts w:hint="eastAsia" w:ascii="仿宋_GB2312" w:hAnsi="宋体" w:eastAsia="仿宋_GB2312" w:cs="仿宋_GB2312"/>
          <w:color w:val="000000"/>
          <w:kern w:val="0"/>
          <w:sz w:val="32"/>
          <w:szCs w:val="32"/>
          <w:lang w:eastAsia="zh-CN" w:bidi="ar"/>
        </w:rPr>
        <w:t>万元；</w:t>
      </w:r>
      <w:r>
        <w:rPr>
          <w:rFonts w:hint="eastAsia" w:ascii="仿宋_GB2312" w:hAnsi="宋体" w:eastAsia="仿宋_GB2312" w:cs="仿宋_GB2312"/>
          <w:color w:val="000000"/>
          <w:kern w:val="0"/>
          <w:sz w:val="32"/>
          <w:szCs w:val="32"/>
          <w:lang w:bidi="ar"/>
        </w:rPr>
        <w:t>绩效工资63.69</w:t>
      </w:r>
      <w:r>
        <w:rPr>
          <w:rFonts w:hint="eastAsia" w:ascii="仿宋_GB2312" w:hAnsi="宋体" w:eastAsia="仿宋_GB2312" w:cs="仿宋_GB2312"/>
          <w:color w:val="000000"/>
          <w:kern w:val="0"/>
          <w:sz w:val="32"/>
          <w:szCs w:val="32"/>
          <w:lang w:eastAsia="zh-CN" w:bidi="ar"/>
        </w:rPr>
        <w:t>万元；</w:t>
      </w:r>
      <w:r>
        <w:rPr>
          <w:rFonts w:hint="eastAsia" w:ascii="仿宋_GB2312" w:hAnsi="宋体" w:eastAsia="仿宋_GB2312" w:cs="仿宋_GB2312"/>
          <w:color w:val="000000"/>
          <w:kern w:val="0"/>
          <w:sz w:val="32"/>
          <w:szCs w:val="32"/>
          <w:lang w:bidi="ar"/>
        </w:rPr>
        <w:t>机关事业单位基本养老保险缴费82.57</w:t>
      </w:r>
      <w:r>
        <w:rPr>
          <w:rFonts w:hint="eastAsia" w:ascii="仿宋_GB2312" w:hAnsi="宋体" w:eastAsia="仿宋_GB2312" w:cs="仿宋_GB2312"/>
          <w:color w:val="000000"/>
          <w:kern w:val="0"/>
          <w:sz w:val="32"/>
          <w:szCs w:val="32"/>
          <w:lang w:eastAsia="zh-CN" w:bidi="ar"/>
        </w:rPr>
        <w:t>万元；</w:t>
      </w:r>
      <w:r>
        <w:rPr>
          <w:rFonts w:hint="eastAsia" w:ascii="仿宋_GB2312" w:hAnsi="宋体" w:eastAsia="仿宋_GB2312" w:cs="仿宋_GB2312"/>
          <w:color w:val="000000"/>
          <w:kern w:val="0"/>
          <w:sz w:val="32"/>
          <w:szCs w:val="32"/>
          <w:lang w:bidi="ar"/>
        </w:rPr>
        <w:t>职工基本医疗保险缴费30.35</w:t>
      </w:r>
      <w:r>
        <w:rPr>
          <w:rFonts w:hint="eastAsia" w:ascii="仿宋_GB2312" w:hAnsi="宋体" w:eastAsia="仿宋_GB2312" w:cs="仿宋_GB2312"/>
          <w:color w:val="000000"/>
          <w:kern w:val="0"/>
          <w:sz w:val="32"/>
          <w:szCs w:val="32"/>
          <w:lang w:eastAsia="zh-CN" w:bidi="ar"/>
        </w:rPr>
        <w:t>万元；</w:t>
      </w:r>
      <w:r>
        <w:rPr>
          <w:rFonts w:hint="eastAsia" w:ascii="仿宋_GB2312" w:hAnsi="宋体" w:eastAsia="仿宋_GB2312" w:cs="仿宋_GB2312"/>
          <w:color w:val="000000"/>
          <w:kern w:val="0"/>
          <w:sz w:val="32"/>
          <w:szCs w:val="32"/>
          <w:lang w:bidi="ar"/>
        </w:rPr>
        <w:t>住房公积金40.29</w:t>
      </w:r>
      <w:r>
        <w:rPr>
          <w:rFonts w:hint="eastAsia" w:ascii="仿宋_GB2312" w:hAnsi="宋体" w:eastAsia="仿宋_GB2312" w:cs="仿宋_GB2312"/>
          <w:color w:val="000000"/>
          <w:kern w:val="0"/>
          <w:sz w:val="32"/>
          <w:szCs w:val="32"/>
          <w:lang w:eastAsia="zh-CN" w:bidi="ar"/>
        </w:rPr>
        <w:t>万元；</w:t>
      </w:r>
      <w:r>
        <w:rPr>
          <w:rFonts w:hint="eastAsia" w:ascii="仿宋_GB2312" w:hAnsi="宋体" w:eastAsia="仿宋_GB2312" w:cs="仿宋_GB2312"/>
          <w:color w:val="000000"/>
          <w:kern w:val="0"/>
          <w:sz w:val="32"/>
          <w:szCs w:val="32"/>
          <w:lang w:bidi="ar"/>
        </w:rPr>
        <w:t>医疗费补助3.55</w:t>
      </w:r>
      <w:r>
        <w:rPr>
          <w:rFonts w:hint="eastAsia" w:ascii="仿宋_GB2312" w:hAnsi="宋体" w:eastAsia="仿宋_GB2312" w:cs="仿宋_GB2312"/>
          <w:color w:val="000000"/>
          <w:kern w:val="0"/>
          <w:sz w:val="32"/>
          <w:szCs w:val="32"/>
          <w:lang w:eastAsia="zh-CN" w:bidi="ar"/>
        </w:rPr>
        <w:t>万元。</w:t>
      </w:r>
    </w:p>
    <w:p>
      <w:pPr>
        <w:widowControl/>
        <w:ind w:firstLine="643" w:firstLineChars="200"/>
        <w:jc w:val="left"/>
        <w:rPr>
          <w:rFonts w:hint="eastAsia" w:ascii="仿宋_GB2312" w:hAnsi="宋体" w:eastAsia="仿宋_GB2312" w:cs="仿宋_GB2312"/>
          <w:color w:val="000000"/>
          <w:kern w:val="0"/>
          <w:sz w:val="32"/>
          <w:szCs w:val="32"/>
          <w:lang w:eastAsia="zh-CN" w:bidi="ar"/>
        </w:rPr>
      </w:pPr>
      <w:r>
        <w:rPr>
          <w:rFonts w:ascii="仿宋_GB2312" w:hAnsi="宋体" w:eastAsia="仿宋_GB2312" w:cs="仿宋_GB2312"/>
          <w:b/>
          <w:bCs/>
          <w:color w:val="000000"/>
          <w:kern w:val="0"/>
          <w:sz w:val="32"/>
          <w:szCs w:val="32"/>
          <w:lang w:bidi="ar"/>
        </w:rPr>
        <w:t>公用经费</w:t>
      </w:r>
      <w:r>
        <w:rPr>
          <w:rFonts w:hint="eastAsia" w:ascii="仿宋_GB2312" w:hAnsi="宋体" w:eastAsia="仿宋_GB2312" w:cs="仿宋_GB2312"/>
          <w:color w:val="000000"/>
          <w:kern w:val="0"/>
          <w:sz w:val="32"/>
          <w:szCs w:val="32"/>
          <w:lang w:val="en-US" w:eastAsia="zh-CN" w:bidi="ar"/>
        </w:rPr>
        <w:t>111</w:t>
      </w:r>
      <w:r>
        <w:rPr>
          <w:rFonts w:hint="eastAsia"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val="en-US" w:eastAsia="zh-CN" w:bidi="ar"/>
        </w:rPr>
        <w:t>74</w:t>
      </w:r>
      <w:r>
        <w:rPr>
          <w:rFonts w:ascii="仿宋_GB2312" w:hAnsi="宋体" w:eastAsia="仿宋_GB2312" w:cs="仿宋_GB2312"/>
          <w:color w:val="000000"/>
          <w:kern w:val="0"/>
          <w:sz w:val="32"/>
          <w:szCs w:val="32"/>
          <w:lang w:bidi="ar"/>
        </w:rPr>
        <w:t>万元，主要包括</w:t>
      </w:r>
      <w:r>
        <w:rPr>
          <w:rFonts w:hint="eastAsia" w:ascii="仿宋_GB2312" w:hAnsi="宋体" w:eastAsia="仿宋_GB2312" w:cs="仿宋_GB2312"/>
          <w:color w:val="000000"/>
          <w:kern w:val="0"/>
          <w:sz w:val="32"/>
          <w:szCs w:val="32"/>
          <w:lang w:bidi="ar"/>
        </w:rPr>
        <w:t>（单位支出涉及的款级科目）办公费</w:t>
      </w:r>
      <w:r>
        <w:rPr>
          <w:rFonts w:hint="eastAsia" w:ascii="仿宋_GB2312" w:hAnsi="宋体" w:eastAsia="仿宋_GB2312" w:cs="仿宋_GB2312"/>
          <w:color w:val="000000"/>
          <w:kern w:val="0"/>
          <w:sz w:val="32"/>
          <w:szCs w:val="32"/>
          <w:lang w:bidi="ar"/>
        </w:rPr>
        <w:tab/>
      </w:r>
      <w:r>
        <w:rPr>
          <w:rFonts w:hint="eastAsia" w:ascii="仿宋_GB2312" w:hAnsi="宋体" w:eastAsia="仿宋_GB2312" w:cs="仿宋_GB2312"/>
          <w:color w:val="000000"/>
          <w:kern w:val="0"/>
          <w:sz w:val="32"/>
          <w:szCs w:val="32"/>
          <w:lang w:val="en-US" w:eastAsia="zh-CN" w:bidi="ar"/>
        </w:rPr>
        <w:t>18</w:t>
      </w:r>
      <w:r>
        <w:rPr>
          <w:rFonts w:hint="eastAsia" w:ascii="仿宋_GB2312" w:hAnsi="宋体" w:eastAsia="仿宋_GB2312" w:cs="仿宋_GB2312"/>
          <w:color w:val="000000"/>
          <w:kern w:val="0"/>
          <w:sz w:val="32"/>
          <w:szCs w:val="32"/>
          <w:lang w:bidi="ar"/>
        </w:rPr>
        <w:t>.9</w:t>
      </w:r>
      <w:r>
        <w:rPr>
          <w:rFonts w:hint="eastAsia" w:ascii="仿宋_GB2312" w:hAnsi="宋体" w:eastAsia="仿宋_GB2312" w:cs="仿宋_GB2312"/>
          <w:color w:val="000000"/>
          <w:kern w:val="0"/>
          <w:sz w:val="32"/>
          <w:szCs w:val="32"/>
          <w:lang w:val="en-US" w:eastAsia="zh-CN" w:bidi="ar"/>
        </w:rPr>
        <w:t>4</w:t>
      </w:r>
      <w:r>
        <w:rPr>
          <w:rFonts w:hint="eastAsia" w:ascii="仿宋_GB2312" w:hAnsi="宋体" w:eastAsia="仿宋_GB2312" w:cs="仿宋_GB2312"/>
          <w:color w:val="000000"/>
          <w:kern w:val="0"/>
          <w:sz w:val="32"/>
          <w:szCs w:val="32"/>
          <w:lang w:eastAsia="zh-CN" w:bidi="ar"/>
        </w:rPr>
        <w:t>万元；</w:t>
      </w:r>
      <w:r>
        <w:rPr>
          <w:rFonts w:hint="eastAsia" w:ascii="仿宋_GB2312" w:hAnsi="宋体" w:eastAsia="仿宋_GB2312" w:cs="仿宋_GB2312"/>
          <w:color w:val="000000"/>
          <w:kern w:val="0"/>
          <w:sz w:val="32"/>
          <w:szCs w:val="32"/>
          <w:lang w:bidi="ar"/>
        </w:rPr>
        <w:t>印刷费</w:t>
      </w:r>
      <w:r>
        <w:rPr>
          <w:rFonts w:hint="eastAsia" w:ascii="仿宋_GB2312" w:hAnsi="宋体" w:eastAsia="仿宋_GB2312" w:cs="仿宋_GB2312"/>
          <w:color w:val="000000"/>
          <w:kern w:val="0"/>
          <w:sz w:val="32"/>
          <w:szCs w:val="32"/>
          <w:lang w:val="en-US" w:eastAsia="zh-CN" w:bidi="ar"/>
        </w:rPr>
        <w:t>4</w:t>
      </w:r>
      <w:r>
        <w:rPr>
          <w:rFonts w:hint="eastAsia"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val="en-US" w:eastAsia="zh-CN" w:bidi="ar"/>
        </w:rPr>
        <w:t>62</w:t>
      </w:r>
      <w:r>
        <w:rPr>
          <w:rFonts w:hint="eastAsia" w:ascii="仿宋_GB2312" w:hAnsi="宋体" w:eastAsia="仿宋_GB2312" w:cs="仿宋_GB2312"/>
          <w:color w:val="000000"/>
          <w:kern w:val="0"/>
          <w:sz w:val="32"/>
          <w:szCs w:val="32"/>
          <w:lang w:eastAsia="zh-CN" w:bidi="ar"/>
        </w:rPr>
        <w:t>万元；</w:t>
      </w:r>
      <w:r>
        <w:rPr>
          <w:rFonts w:hint="eastAsia" w:ascii="仿宋_GB2312" w:hAnsi="宋体" w:eastAsia="仿宋_GB2312" w:cs="仿宋_GB2312"/>
          <w:color w:val="000000"/>
          <w:kern w:val="0"/>
          <w:sz w:val="32"/>
          <w:szCs w:val="32"/>
          <w:lang w:bidi="ar"/>
        </w:rPr>
        <w:t>电费15.12</w:t>
      </w:r>
      <w:r>
        <w:rPr>
          <w:rFonts w:hint="eastAsia" w:ascii="仿宋_GB2312" w:hAnsi="宋体" w:eastAsia="仿宋_GB2312" w:cs="仿宋_GB2312"/>
          <w:color w:val="000000"/>
          <w:kern w:val="0"/>
          <w:sz w:val="32"/>
          <w:szCs w:val="32"/>
          <w:lang w:eastAsia="zh-CN" w:bidi="ar"/>
        </w:rPr>
        <w:t>万元；</w:t>
      </w:r>
      <w:r>
        <w:rPr>
          <w:rFonts w:hint="eastAsia" w:ascii="仿宋_GB2312" w:hAnsi="宋体" w:eastAsia="仿宋_GB2312" w:cs="仿宋_GB2312"/>
          <w:color w:val="000000"/>
          <w:kern w:val="0"/>
          <w:sz w:val="32"/>
          <w:szCs w:val="32"/>
          <w:lang w:bidi="ar"/>
        </w:rPr>
        <w:t>邮电费1.28</w:t>
      </w:r>
      <w:r>
        <w:rPr>
          <w:rFonts w:hint="eastAsia" w:ascii="仿宋_GB2312" w:hAnsi="宋体" w:eastAsia="仿宋_GB2312" w:cs="仿宋_GB2312"/>
          <w:color w:val="000000"/>
          <w:kern w:val="0"/>
          <w:sz w:val="32"/>
          <w:szCs w:val="32"/>
          <w:lang w:eastAsia="zh-CN" w:bidi="ar"/>
        </w:rPr>
        <w:t>万元；会议</w:t>
      </w:r>
      <w:r>
        <w:rPr>
          <w:rFonts w:hint="eastAsia" w:ascii="仿宋_GB2312" w:hAnsi="宋体" w:eastAsia="仿宋_GB2312" w:cs="仿宋_GB2312"/>
          <w:color w:val="000000"/>
          <w:kern w:val="0"/>
          <w:sz w:val="32"/>
          <w:szCs w:val="32"/>
          <w:lang w:bidi="ar"/>
        </w:rPr>
        <w:t>费</w:t>
      </w:r>
      <w:r>
        <w:rPr>
          <w:rFonts w:hint="eastAsia" w:ascii="仿宋_GB2312" w:hAnsi="宋体" w:eastAsia="仿宋_GB2312" w:cs="仿宋_GB2312"/>
          <w:color w:val="000000"/>
          <w:kern w:val="0"/>
          <w:sz w:val="32"/>
          <w:szCs w:val="32"/>
          <w:lang w:val="en-US" w:eastAsia="zh-CN" w:bidi="ar"/>
        </w:rPr>
        <w:t>3.93</w:t>
      </w:r>
      <w:r>
        <w:rPr>
          <w:rFonts w:hint="eastAsia" w:ascii="仿宋_GB2312" w:hAnsi="宋体" w:eastAsia="仿宋_GB2312" w:cs="仿宋_GB2312"/>
          <w:color w:val="000000"/>
          <w:kern w:val="0"/>
          <w:sz w:val="32"/>
          <w:szCs w:val="32"/>
          <w:lang w:eastAsia="zh-CN" w:bidi="ar"/>
        </w:rPr>
        <w:t>万元；</w:t>
      </w:r>
      <w:r>
        <w:rPr>
          <w:rFonts w:hint="eastAsia" w:ascii="仿宋_GB2312" w:hAnsi="宋体" w:eastAsia="仿宋_GB2312" w:cs="仿宋_GB2312"/>
          <w:color w:val="000000"/>
          <w:kern w:val="0"/>
          <w:sz w:val="32"/>
          <w:szCs w:val="32"/>
          <w:lang w:bidi="ar"/>
        </w:rPr>
        <w:t>差旅费0.24</w:t>
      </w:r>
      <w:r>
        <w:rPr>
          <w:rFonts w:hint="eastAsia" w:ascii="仿宋_GB2312" w:hAnsi="宋体" w:eastAsia="仿宋_GB2312" w:cs="仿宋_GB2312"/>
          <w:color w:val="000000"/>
          <w:kern w:val="0"/>
          <w:sz w:val="32"/>
          <w:szCs w:val="32"/>
          <w:lang w:eastAsia="zh-CN" w:bidi="ar"/>
        </w:rPr>
        <w:t>万元；</w:t>
      </w:r>
      <w:r>
        <w:rPr>
          <w:rFonts w:hint="eastAsia" w:ascii="仿宋_GB2312" w:hAnsi="宋体" w:eastAsia="仿宋_GB2312" w:cs="仿宋_GB2312"/>
          <w:color w:val="000000"/>
          <w:kern w:val="0"/>
          <w:sz w:val="32"/>
          <w:szCs w:val="32"/>
          <w:lang w:bidi="ar"/>
        </w:rPr>
        <w:t>维修（护）费4.62</w:t>
      </w:r>
      <w:r>
        <w:rPr>
          <w:rFonts w:hint="eastAsia" w:ascii="仿宋_GB2312" w:hAnsi="宋体" w:eastAsia="仿宋_GB2312" w:cs="仿宋_GB2312"/>
          <w:color w:val="000000"/>
          <w:kern w:val="0"/>
          <w:sz w:val="32"/>
          <w:szCs w:val="32"/>
          <w:lang w:eastAsia="zh-CN" w:bidi="ar"/>
        </w:rPr>
        <w:t>万元；</w:t>
      </w:r>
      <w:r>
        <w:rPr>
          <w:rFonts w:hint="eastAsia" w:ascii="仿宋_GB2312" w:hAnsi="宋体" w:eastAsia="仿宋_GB2312" w:cs="仿宋_GB2312"/>
          <w:color w:val="000000"/>
          <w:kern w:val="0"/>
          <w:sz w:val="32"/>
          <w:szCs w:val="32"/>
          <w:lang w:bidi="ar"/>
        </w:rPr>
        <w:t>公务接待费10.52</w:t>
      </w:r>
      <w:r>
        <w:rPr>
          <w:rFonts w:hint="eastAsia" w:ascii="仿宋_GB2312" w:hAnsi="宋体" w:eastAsia="仿宋_GB2312" w:cs="仿宋_GB2312"/>
          <w:color w:val="000000"/>
          <w:kern w:val="0"/>
          <w:sz w:val="32"/>
          <w:szCs w:val="32"/>
          <w:lang w:eastAsia="zh-CN" w:bidi="ar"/>
        </w:rPr>
        <w:t>万元；</w:t>
      </w:r>
      <w:r>
        <w:rPr>
          <w:rFonts w:hint="eastAsia" w:ascii="仿宋_GB2312" w:hAnsi="宋体" w:eastAsia="仿宋_GB2312" w:cs="仿宋_GB2312"/>
          <w:color w:val="000000"/>
          <w:kern w:val="0"/>
          <w:sz w:val="32"/>
          <w:szCs w:val="32"/>
          <w:lang w:bidi="ar"/>
        </w:rPr>
        <w:t>专用</w:t>
      </w:r>
      <w:r>
        <w:rPr>
          <w:rFonts w:hint="eastAsia" w:ascii="仿宋_GB2312" w:hAnsi="宋体" w:eastAsia="仿宋_GB2312" w:cs="仿宋_GB2312"/>
          <w:color w:val="000000"/>
          <w:kern w:val="0"/>
          <w:sz w:val="32"/>
          <w:szCs w:val="32"/>
          <w:lang w:eastAsia="zh-CN" w:bidi="ar"/>
        </w:rPr>
        <w:t>材</w:t>
      </w:r>
      <w:r>
        <w:rPr>
          <w:rFonts w:hint="eastAsia" w:ascii="仿宋_GB2312" w:hAnsi="宋体" w:eastAsia="仿宋_GB2312" w:cs="仿宋_GB2312"/>
          <w:color w:val="000000"/>
          <w:kern w:val="0"/>
          <w:sz w:val="32"/>
          <w:szCs w:val="32"/>
          <w:lang w:bidi="ar"/>
        </w:rPr>
        <w:t>料费0.52</w:t>
      </w:r>
      <w:r>
        <w:rPr>
          <w:rFonts w:hint="eastAsia" w:ascii="仿宋_GB2312" w:hAnsi="宋体" w:eastAsia="仿宋_GB2312" w:cs="仿宋_GB2312"/>
          <w:color w:val="000000"/>
          <w:kern w:val="0"/>
          <w:sz w:val="32"/>
          <w:szCs w:val="32"/>
          <w:lang w:eastAsia="zh-CN" w:bidi="ar"/>
        </w:rPr>
        <w:t>万元；</w:t>
      </w:r>
      <w:r>
        <w:rPr>
          <w:rFonts w:hint="eastAsia" w:ascii="仿宋_GB2312" w:hAnsi="宋体" w:eastAsia="仿宋_GB2312" w:cs="仿宋_GB2312"/>
          <w:color w:val="000000"/>
          <w:kern w:val="0"/>
          <w:sz w:val="32"/>
          <w:szCs w:val="32"/>
          <w:lang w:bidi="ar"/>
        </w:rPr>
        <w:t>劳务费</w:t>
      </w:r>
      <w:r>
        <w:rPr>
          <w:rFonts w:hint="eastAsia" w:ascii="仿宋_GB2312" w:hAnsi="宋体" w:eastAsia="仿宋_GB2312" w:cs="仿宋_GB2312"/>
          <w:color w:val="000000"/>
          <w:kern w:val="0"/>
          <w:sz w:val="32"/>
          <w:szCs w:val="32"/>
          <w:lang w:val="en-US" w:eastAsia="zh-CN" w:bidi="ar"/>
        </w:rPr>
        <w:t>16</w:t>
      </w:r>
      <w:r>
        <w:rPr>
          <w:rFonts w:hint="eastAsia"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val="en-US" w:eastAsia="zh-CN" w:bidi="ar"/>
        </w:rPr>
        <w:t>91</w:t>
      </w:r>
      <w:r>
        <w:rPr>
          <w:rFonts w:hint="eastAsia" w:ascii="仿宋_GB2312" w:hAnsi="宋体" w:eastAsia="仿宋_GB2312" w:cs="仿宋_GB2312"/>
          <w:color w:val="000000"/>
          <w:kern w:val="0"/>
          <w:sz w:val="32"/>
          <w:szCs w:val="32"/>
          <w:lang w:eastAsia="zh-CN" w:bidi="ar"/>
        </w:rPr>
        <w:t>万元；</w:t>
      </w:r>
      <w:r>
        <w:rPr>
          <w:rFonts w:hint="eastAsia" w:ascii="仿宋_GB2312" w:hAnsi="宋体" w:eastAsia="仿宋_GB2312" w:cs="仿宋_GB2312"/>
          <w:color w:val="000000"/>
          <w:kern w:val="0"/>
          <w:sz w:val="32"/>
          <w:szCs w:val="32"/>
          <w:lang w:bidi="ar"/>
        </w:rPr>
        <w:t>委托业务费</w:t>
      </w:r>
      <w:r>
        <w:rPr>
          <w:rFonts w:hint="eastAsia" w:ascii="仿宋_GB2312" w:hAnsi="宋体" w:eastAsia="仿宋_GB2312" w:cs="仿宋_GB2312"/>
          <w:color w:val="000000"/>
          <w:kern w:val="0"/>
          <w:sz w:val="32"/>
          <w:szCs w:val="32"/>
          <w:lang w:val="en-US" w:eastAsia="zh-CN" w:bidi="ar"/>
        </w:rPr>
        <w:t>0</w:t>
      </w:r>
      <w:r>
        <w:rPr>
          <w:rFonts w:hint="eastAsia" w:ascii="仿宋_GB2312" w:hAnsi="宋体" w:eastAsia="仿宋_GB2312" w:cs="仿宋_GB2312"/>
          <w:color w:val="000000"/>
          <w:kern w:val="0"/>
          <w:sz w:val="32"/>
          <w:szCs w:val="32"/>
          <w:lang w:eastAsia="zh-CN" w:bidi="ar"/>
        </w:rPr>
        <w:t>万元；</w:t>
      </w:r>
      <w:r>
        <w:rPr>
          <w:rFonts w:hint="eastAsia" w:ascii="仿宋_GB2312" w:hAnsi="宋体" w:eastAsia="仿宋_GB2312" w:cs="仿宋_GB2312"/>
          <w:color w:val="000000"/>
          <w:kern w:val="0"/>
          <w:sz w:val="32"/>
          <w:szCs w:val="32"/>
          <w:lang w:bidi="ar"/>
        </w:rPr>
        <w:t>公务用车运行维护费</w:t>
      </w:r>
      <w:r>
        <w:rPr>
          <w:rFonts w:hint="eastAsia" w:ascii="仿宋_GB2312" w:hAnsi="宋体" w:eastAsia="仿宋_GB2312" w:cs="仿宋_GB2312"/>
          <w:color w:val="000000"/>
          <w:kern w:val="0"/>
          <w:sz w:val="32"/>
          <w:szCs w:val="32"/>
          <w:lang w:val="en-US" w:eastAsia="zh-CN" w:bidi="ar"/>
        </w:rPr>
        <w:t>4.4</w:t>
      </w:r>
      <w:r>
        <w:rPr>
          <w:rFonts w:hint="eastAsia" w:ascii="仿宋_GB2312" w:hAnsi="宋体" w:eastAsia="仿宋_GB2312" w:cs="仿宋_GB2312"/>
          <w:color w:val="000000"/>
          <w:kern w:val="0"/>
          <w:sz w:val="32"/>
          <w:szCs w:val="32"/>
          <w:lang w:eastAsia="zh-CN" w:bidi="ar"/>
        </w:rPr>
        <w:t>万元；</w:t>
      </w:r>
      <w:r>
        <w:rPr>
          <w:rFonts w:hint="eastAsia" w:ascii="仿宋_GB2312" w:hAnsi="宋体" w:eastAsia="仿宋_GB2312" w:cs="仿宋_GB2312"/>
          <w:color w:val="000000"/>
          <w:kern w:val="0"/>
          <w:sz w:val="32"/>
          <w:szCs w:val="32"/>
          <w:lang w:bidi="ar"/>
        </w:rPr>
        <w:t>其他交通费用</w:t>
      </w:r>
      <w:r>
        <w:rPr>
          <w:rFonts w:hint="eastAsia" w:ascii="仿宋_GB2312" w:hAnsi="宋体" w:eastAsia="仿宋_GB2312" w:cs="仿宋_GB2312"/>
          <w:color w:val="000000"/>
          <w:kern w:val="0"/>
          <w:sz w:val="32"/>
          <w:szCs w:val="32"/>
          <w:lang w:val="en-US" w:eastAsia="zh-CN" w:bidi="ar"/>
        </w:rPr>
        <w:t>15.33</w:t>
      </w:r>
      <w:r>
        <w:rPr>
          <w:rFonts w:hint="eastAsia" w:ascii="仿宋_GB2312" w:hAnsi="宋体" w:eastAsia="仿宋_GB2312" w:cs="仿宋_GB2312"/>
          <w:color w:val="000000"/>
          <w:kern w:val="0"/>
          <w:sz w:val="32"/>
          <w:szCs w:val="32"/>
          <w:lang w:eastAsia="zh-CN" w:bidi="ar"/>
        </w:rPr>
        <w:t>万元；</w:t>
      </w:r>
      <w:r>
        <w:rPr>
          <w:rFonts w:hint="eastAsia" w:ascii="仿宋_GB2312" w:hAnsi="宋体" w:eastAsia="仿宋_GB2312" w:cs="仿宋_GB2312"/>
          <w:color w:val="000000"/>
          <w:kern w:val="0"/>
          <w:sz w:val="32"/>
          <w:szCs w:val="32"/>
          <w:lang w:bidi="ar"/>
        </w:rPr>
        <w:t>其他商品和服务支出</w:t>
      </w:r>
      <w:r>
        <w:rPr>
          <w:rFonts w:hint="eastAsia" w:ascii="仿宋_GB2312" w:hAnsi="宋体" w:eastAsia="仿宋_GB2312" w:cs="仿宋_GB2312"/>
          <w:color w:val="000000"/>
          <w:kern w:val="0"/>
          <w:sz w:val="32"/>
          <w:szCs w:val="32"/>
          <w:lang w:val="en-US" w:eastAsia="zh-CN" w:bidi="ar"/>
        </w:rPr>
        <w:t>15.32</w:t>
      </w:r>
      <w:r>
        <w:rPr>
          <w:rFonts w:hint="eastAsia" w:ascii="仿宋_GB2312" w:hAnsi="宋体" w:eastAsia="仿宋_GB2312" w:cs="仿宋_GB2312"/>
          <w:color w:val="000000"/>
          <w:kern w:val="0"/>
          <w:sz w:val="32"/>
          <w:szCs w:val="32"/>
          <w:lang w:eastAsia="zh-CN" w:bidi="ar"/>
        </w:rPr>
        <w:t>万元。</w:t>
      </w:r>
    </w:p>
    <w:p>
      <w:pPr>
        <w:widowControl/>
        <w:ind w:firstLine="640" w:firstLineChars="200"/>
        <w:jc w:val="left"/>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 xml:space="preserve">七、一般公共预算财政拨款“三公”经费及会议费、培训费支出决算情况说明 </w:t>
      </w:r>
    </w:p>
    <w:p>
      <w:pPr>
        <w:widowControl/>
        <w:ind w:firstLine="643" w:firstLineChars="200"/>
        <w:jc w:val="left"/>
      </w:pPr>
      <w:r>
        <w:rPr>
          <w:rFonts w:ascii="楷体_GB2312" w:hAnsi="宋体" w:eastAsia="楷体_GB2312" w:cs="楷体_GB2312"/>
          <w:b/>
          <w:color w:val="000000"/>
          <w:kern w:val="0"/>
          <w:sz w:val="32"/>
          <w:szCs w:val="32"/>
          <w:lang w:bidi="ar"/>
        </w:rPr>
        <w:t>（一）“三公”经费财政拨款支出决算总体情况</w:t>
      </w:r>
      <w:r>
        <w:rPr>
          <w:rFonts w:hint="eastAsia" w:ascii="楷体_GB2312" w:hAnsi="宋体" w:eastAsia="楷体_GB2312" w:cs="楷体_GB2312"/>
          <w:b/>
          <w:color w:val="000000"/>
          <w:kern w:val="0"/>
          <w:sz w:val="32"/>
          <w:szCs w:val="32"/>
          <w:lang w:bidi="ar"/>
        </w:rPr>
        <w:t>说明</w:t>
      </w:r>
      <w:r>
        <w:rPr>
          <w:rFonts w:ascii="楷体_GB2312" w:hAnsi="宋体" w:eastAsia="楷体_GB2312" w:cs="楷体_GB2312"/>
          <w:b/>
          <w:color w:val="000000"/>
          <w:kern w:val="0"/>
          <w:sz w:val="32"/>
          <w:szCs w:val="32"/>
          <w:lang w:bidi="ar"/>
        </w:rPr>
        <w:t xml:space="preserve"> </w:t>
      </w:r>
    </w:p>
    <w:p>
      <w:pPr>
        <w:widowControl/>
        <w:ind w:firstLine="640" w:firstLineChars="200"/>
        <w:jc w:val="left"/>
      </w:pPr>
      <w:r>
        <w:rPr>
          <w:rFonts w:ascii="仿宋_GB2312" w:hAnsi="宋体" w:eastAsia="仿宋_GB2312" w:cs="仿宋_GB2312"/>
          <w:color w:val="000000"/>
          <w:kern w:val="0"/>
          <w:sz w:val="32"/>
          <w:szCs w:val="32"/>
          <w:lang w:bidi="ar"/>
        </w:rPr>
        <w:t>2019年“三公”经费财政拨款支出预算为</w:t>
      </w:r>
      <w:r>
        <w:rPr>
          <w:rFonts w:hint="eastAsia" w:ascii="仿宋_GB2312" w:hAnsi="宋体" w:eastAsia="仿宋_GB2312" w:cs="仿宋_GB2312"/>
          <w:color w:val="000000"/>
          <w:kern w:val="0"/>
          <w:sz w:val="32"/>
          <w:szCs w:val="32"/>
          <w:lang w:val="en-US" w:eastAsia="zh-CN" w:bidi="ar"/>
        </w:rPr>
        <w:t>15.56</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14.92</w:t>
      </w:r>
      <w:r>
        <w:rPr>
          <w:rFonts w:ascii="仿宋_GB2312" w:hAnsi="宋体" w:eastAsia="仿宋_GB2312" w:cs="仿宋_GB2312"/>
          <w:color w:val="000000"/>
          <w:kern w:val="0"/>
          <w:sz w:val="32"/>
          <w:szCs w:val="32"/>
          <w:lang w:bidi="ar"/>
        </w:rPr>
        <w:t>万元，完成预算的</w:t>
      </w:r>
      <w:r>
        <w:rPr>
          <w:rFonts w:hint="eastAsia" w:ascii="仿宋_GB2312" w:hAnsi="宋体" w:eastAsia="仿宋_GB2312" w:cs="仿宋_GB2312"/>
          <w:color w:val="000000"/>
          <w:kern w:val="0"/>
          <w:sz w:val="32"/>
          <w:szCs w:val="32"/>
          <w:lang w:val="en-US" w:eastAsia="zh-CN" w:bidi="ar"/>
        </w:rPr>
        <w:t>95.89</w:t>
      </w:r>
      <w:r>
        <w:rPr>
          <w:rFonts w:ascii="仿宋_GB2312" w:hAnsi="宋体" w:eastAsia="仿宋_GB2312" w:cs="仿宋_GB2312"/>
          <w:color w:val="000000"/>
          <w:kern w:val="0"/>
          <w:sz w:val="32"/>
          <w:szCs w:val="32"/>
          <w:lang w:bidi="ar"/>
        </w:rPr>
        <w:t>%。决算数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bidi="ar"/>
        </w:rPr>
        <w:t>减少</w:t>
      </w:r>
      <w:r>
        <w:rPr>
          <w:rFonts w:hint="eastAsia" w:ascii="仿宋_GB2312" w:hAnsi="宋体" w:eastAsia="仿宋_GB2312" w:cs="仿宋_GB2312"/>
          <w:color w:val="000000"/>
          <w:kern w:val="0"/>
          <w:sz w:val="32"/>
          <w:szCs w:val="32"/>
          <w:lang w:val="en-US" w:eastAsia="zh-CN" w:bidi="ar"/>
        </w:rPr>
        <w:t>0.64</w:t>
      </w:r>
      <w:r>
        <w:rPr>
          <w:rFonts w:hint="eastAsia" w:ascii="仿宋_GB2312" w:hAnsi="宋体" w:eastAsia="仿宋_GB2312" w:cs="仿宋_GB2312"/>
          <w:color w:val="000000"/>
          <w:kern w:val="0"/>
          <w:sz w:val="32"/>
          <w:szCs w:val="32"/>
          <w:lang w:bidi="ar"/>
        </w:rPr>
        <w:t>万元，</w:t>
      </w:r>
      <w:r>
        <w:rPr>
          <w:rFonts w:ascii="仿宋_GB2312" w:hAnsi="宋体" w:eastAsia="仿宋_GB2312" w:cs="仿宋_GB2312"/>
          <w:color w:val="000000"/>
          <w:kern w:val="0"/>
          <w:sz w:val="32"/>
          <w:szCs w:val="32"/>
          <w:lang w:bidi="ar"/>
        </w:rPr>
        <w:t>主要原因是</w:t>
      </w:r>
      <w:r>
        <w:rPr>
          <w:rFonts w:hint="eastAsia" w:ascii="仿宋_GB2312" w:hAnsi="宋体" w:eastAsia="仿宋_GB2312" w:cs="仿宋_GB2312"/>
          <w:color w:val="000000"/>
          <w:kern w:val="0"/>
          <w:sz w:val="32"/>
          <w:szCs w:val="32"/>
          <w:lang w:eastAsia="zh-CN" w:bidi="ar"/>
        </w:rPr>
        <w:t>公务接待减少及公务用车减少</w:t>
      </w:r>
      <w:r>
        <w:rPr>
          <w:rFonts w:hint="eastAsia" w:ascii="仿宋_GB2312" w:hAnsi="宋体" w:eastAsia="仿宋_GB2312" w:cs="仿宋_GB2312"/>
          <w:color w:val="000000"/>
          <w:kern w:val="0"/>
          <w:sz w:val="32"/>
          <w:szCs w:val="32"/>
          <w:lang w:bidi="ar"/>
        </w:rPr>
        <w:t>。</w:t>
      </w:r>
    </w:p>
    <w:p>
      <w:pPr>
        <w:spacing w:line="360" w:lineRule="auto"/>
        <w:ind w:firstLine="643" w:firstLineChars="200"/>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（二）</w:t>
      </w:r>
      <w:r>
        <w:rPr>
          <w:rFonts w:ascii="楷体_GB2312" w:hAnsi="宋体" w:eastAsia="楷体_GB2312" w:cs="楷体_GB2312"/>
          <w:b/>
          <w:color w:val="000000"/>
          <w:kern w:val="0"/>
          <w:sz w:val="32"/>
          <w:szCs w:val="32"/>
          <w:lang w:bidi="ar"/>
        </w:rPr>
        <w:t>“三公”经费财政拨款支出决算具体情况</w:t>
      </w:r>
      <w:r>
        <w:rPr>
          <w:rFonts w:hint="eastAsia" w:ascii="楷体_GB2312" w:hAnsi="宋体" w:eastAsia="楷体_GB2312" w:cs="楷体_GB2312"/>
          <w:b/>
          <w:color w:val="000000"/>
          <w:kern w:val="0"/>
          <w:sz w:val="32"/>
          <w:szCs w:val="32"/>
          <w:lang w:bidi="ar"/>
        </w:rPr>
        <w:t>说明</w:t>
      </w:r>
    </w:p>
    <w:p>
      <w:pPr>
        <w:widowControl/>
        <w:ind w:firstLine="640" w:firstLineChars="200"/>
        <w:jc w:val="left"/>
        <w:rPr>
          <w:rFonts w:ascii="仿宋_GB2312" w:hAnsi="宋体" w:eastAsia="仿宋_GB2312" w:cs="仿宋_GB2312"/>
          <w:color w:val="000000"/>
          <w:kern w:val="0"/>
          <w:sz w:val="32"/>
          <w:szCs w:val="32"/>
          <w:lang w:bidi="ar"/>
        </w:rPr>
      </w:pPr>
      <w:r>
        <w:rPr>
          <w:rFonts w:ascii="仿宋_GB2312" w:hAnsi="宋体" w:eastAsia="仿宋_GB2312" w:cs="仿宋_GB2312"/>
          <w:color w:val="000000"/>
          <w:kern w:val="0"/>
          <w:sz w:val="32"/>
          <w:szCs w:val="32"/>
          <w:lang w:bidi="ar"/>
        </w:rPr>
        <w:drawing>
          <wp:inline distT="0" distB="0" distL="114300" distR="114300">
            <wp:extent cx="5080000" cy="2581910"/>
            <wp:effectExtent l="4445" t="4445" r="20955" b="8064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widowControl/>
        <w:ind w:firstLine="640" w:firstLineChars="200"/>
        <w:jc w:val="left"/>
      </w:pPr>
      <w:r>
        <w:rPr>
          <w:rFonts w:ascii="仿宋_GB2312" w:hAnsi="宋体" w:eastAsia="仿宋_GB2312" w:cs="仿宋_GB2312"/>
          <w:color w:val="000000"/>
          <w:kern w:val="0"/>
          <w:sz w:val="32"/>
          <w:szCs w:val="32"/>
          <w:lang w:bidi="ar"/>
        </w:rPr>
        <w:t>2019年“三公”经费财政拨款支出决算中，因公出国（境）费支出决算</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%；公务用车购置</w:t>
      </w:r>
      <w:r>
        <w:rPr>
          <w:rFonts w:hint="eastAsia" w:ascii="仿宋_GB2312" w:hAnsi="宋体" w:eastAsia="仿宋_GB2312" w:cs="仿宋_GB2312"/>
          <w:color w:val="000000"/>
          <w:kern w:val="0"/>
          <w:sz w:val="32"/>
          <w:szCs w:val="32"/>
          <w:lang w:bidi="ar"/>
        </w:rPr>
        <w:t>费支出</w:t>
      </w:r>
      <w:r>
        <w:rPr>
          <w:rFonts w:hint="eastAsia" w:ascii="仿宋_GB2312" w:hAnsi="宋体" w:eastAsia="仿宋_GB2312" w:cs="仿宋_GB2312"/>
          <w:color w:val="000000"/>
          <w:kern w:val="0"/>
          <w:sz w:val="32"/>
          <w:szCs w:val="32"/>
          <w:lang w:val="en-US" w:eastAsia="zh-CN" w:bidi="ar"/>
        </w:rPr>
        <w:t>0</w:t>
      </w:r>
      <w:r>
        <w:rPr>
          <w:rFonts w:hint="eastAsia"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%；公务用车运行</w:t>
      </w:r>
      <w:r>
        <w:rPr>
          <w:rFonts w:hint="eastAsia" w:ascii="仿宋_GB2312" w:hAnsi="仿宋" w:eastAsia="仿宋_GB2312"/>
          <w:sz w:val="32"/>
          <w:szCs w:val="32"/>
        </w:rPr>
        <w:t>维护</w:t>
      </w:r>
      <w:r>
        <w:rPr>
          <w:rFonts w:ascii="仿宋_GB2312" w:hAnsi="宋体" w:eastAsia="仿宋_GB2312" w:cs="仿宋_GB2312"/>
          <w:color w:val="000000"/>
          <w:kern w:val="0"/>
          <w:sz w:val="32"/>
          <w:szCs w:val="32"/>
          <w:lang w:bidi="ar"/>
        </w:rPr>
        <w:t>费支出决算</w:t>
      </w:r>
      <w:r>
        <w:rPr>
          <w:rFonts w:hint="eastAsia" w:ascii="仿宋_GB2312" w:hAnsi="宋体" w:eastAsia="仿宋_GB2312" w:cs="仿宋_GB2312"/>
          <w:color w:val="000000"/>
          <w:kern w:val="0"/>
          <w:sz w:val="32"/>
          <w:szCs w:val="32"/>
          <w:lang w:val="en-US" w:eastAsia="zh-CN" w:bidi="ar"/>
        </w:rPr>
        <w:t>4.4</w:t>
      </w:r>
      <w:r>
        <w:rPr>
          <w:rFonts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29.49</w:t>
      </w:r>
      <w:r>
        <w:rPr>
          <w:rFonts w:ascii="仿宋_GB2312" w:hAnsi="宋体" w:eastAsia="仿宋_GB2312" w:cs="仿宋_GB2312"/>
          <w:color w:val="000000"/>
          <w:kern w:val="0"/>
          <w:sz w:val="32"/>
          <w:szCs w:val="32"/>
          <w:lang w:bidi="ar"/>
        </w:rPr>
        <w:t>%；公务接待费支出决算</w:t>
      </w:r>
      <w:r>
        <w:rPr>
          <w:rFonts w:hint="eastAsia" w:ascii="仿宋_GB2312" w:hAnsi="宋体" w:eastAsia="仿宋_GB2312" w:cs="仿宋_GB2312"/>
          <w:color w:val="000000"/>
          <w:kern w:val="0"/>
          <w:sz w:val="32"/>
          <w:szCs w:val="32"/>
          <w:lang w:val="en-US" w:eastAsia="zh-CN" w:bidi="ar"/>
        </w:rPr>
        <w:t>10.52</w:t>
      </w:r>
      <w:r>
        <w:rPr>
          <w:rFonts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70.5</w:t>
      </w:r>
      <w:r>
        <w:rPr>
          <w:rFonts w:ascii="仿宋_GB2312" w:hAnsi="宋体" w:eastAsia="仿宋_GB2312" w:cs="仿宋_GB2312"/>
          <w:color w:val="000000"/>
          <w:kern w:val="0"/>
          <w:sz w:val="32"/>
          <w:szCs w:val="32"/>
          <w:lang w:bidi="ar"/>
        </w:rPr>
        <w:t>%；。具体情况如下：</w:t>
      </w:r>
    </w:p>
    <w:p>
      <w:pPr>
        <w:ind w:firstLine="643" w:firstLineChars="200"/>
        <w:rPr>
          <w:rFonts w:ascii="仿宋_GB2312" w:hAnsi="仿宋" w:eastAsia="仿宋_GB2312"/>
          <w:b/>
          <w:bCs/>
          <w:sz w:val="32"/>
          <w:szCs w:val="32"/>
        </w:rPr>
      </w:pPr>
      <w:r>
        <w:rPr>
          <w:rFonts w:hint="eastAsia" w:ascii="仿宋_GB2312" w:hAnsi="仿宋" w:eastAsia="仿宋_GB2312"/>
          <w:b/>
          <w:bCs/>
          <w:sz w:val="32"/>
          <w:szCs w:val="32"/>
        </w:rPr>
        <w:t>1.因公出国（境）支出情况</w:t>
      </w:r>
      <w:r>
        <w:rPr>
          <w:rFonts w:hint="eastAsia" w:ascii="楷体_GB2312" w:hAnsi="宋体" w:eastAsia="楷体_GB2312" w:cs="楷体_GB2312"/>
          <w:b/>
          <w:color w:val="000000"/>
          <w:kern w:val="0"/>
          <w:sz w:val="32"/>
          <w:szCs w:val="32"/>
          <w:lang w:bidi="ar"/>
        </w:rPr>
        <w:t>说明</w:t>
      </w:r>
    </w:p>
    <w:p>
      <w:pPr>
        <w:widowControl/>
        <w:ind w:firstLine="640" w:firstLineChars="200"/>
        <w:jc w:val="left"/>
        <w:rPr>
          <w:rFonts w:hint="eastAsia" w:eastAsia="仿宋_GB2312"/>
          <w:lang w:val="en-US" w:eastAsia="zh-CN"/>
        </w:rPr>
      </w:pPr>
      <w:r>
        <w:rPr>
          <w:rFonts w:hint="eastAsia" w:ascii="仿宋_GB2312" w:hAnsi="仿宋" w:eastAsia="仿宋_GB2312"/>
          <w:sz w:val="32"/>
          <w:szCs w:val="32"/>
        </w:rPr>
        <w:t>2019年因公出国（境）团组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元</w:t>
      </w:r>
      <w:r>
        <w:rPr>
          <w:rFonts w:hint="eastAsia" w:ascii="仿宋_GB2312" w:hAnsi="宋体" w:eastAsia="仿宋_GB2312" w:cs="仿宋_GB2312"/>
          <w:color w:val="000000"/>
          <w:kern w:val="0"/>
          <w:sz w:val="32"/>
          <w:szCs w:val="32"/>
          <w:lang w:eastAsia="zh-CN" w:bidi="ar"/>
        </w:rPr>
        <w:t>。</w:t>
      </w:r>
    </w:p>
    <w:p>
      <w:pPr>
        <w:ind w:firstLine="643" w:firstLineChars="200"/>
        <w:rPr>
          <w:rFonts w:ascii="仿宋_GB2312" w:hAnsi="仿宋" w:eastAsia="仿宋_GB2312"/>
          <w:b/>
          <w:bCs/>
          <w:sz w:val="32"/>
          <w:szCs w:val="32"/>
        </w:rPr>
      </w:pPr>
      <w:r>
        <w:rPr>
          <w:rFonts w:hint="eastAsia" w:ascii="仿宋_GB2312" w:hAnsi="仿宋" w:eastAsia="仿宋_GB2312"/>
          <w:b/>
          <w:bCs/>
          <w:sz w:val="32"/>
          <w:szCs w:val="32"/>
        </w:rPr>
        <w:t>2.公务用车购置费用支出情况</w:t>
      </w:r>
      <w:r>
        <w:rPr>
          <w:rFonts w:hint="eastAsia" w:ascii="楷体_GB2312" w:hAnsi="宋体" w:eastAsia="楷体_GB2312" w:cs="楷体_GB2312"/>
          <w:b/>
          <w:color w:val="000000"/>
          <w:kern w:val="0"/>
          <w:sz w:val="32"/>
          <w:szCs w:val="32"/>
          <w:lang w:bidi="ar"/>
        </w:rPr>
        <w:t>说明</w:t>
      </w:r>
    </w:p>
    <w:p>
      <w:pPr>
        <w:widowControl/>
        <w:ind w:firstLine="640" w:firstLineChars="200"/>
        <w:jc w:val="left"/>
      </w:pPr>
      <w:r>
        <w:rPr>
          <w:rFonts w:hint="eastAsia" w:ascii="仿宋_GB2312" w:hAnsi="仿宋" w:eastAsia="仿宋_GB2312"/>
          <w:sz w:val="32"/>
          <w:szCs w:val="32"/>
        </w:rPr>
        <w:t>2019年购置车辆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台（如没有支出填0），</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w:t>
      </w:r>
      <w:r>
        <w:rPr>
          <w:rFonts w:hint="eastAsia" w:ascii="仿宋_GB2312" w:hAnsi="仿宋_GB2312" w:eastAsia="仿宋_GB2312" w:cs="仿宋_GB2312"/>
          <w:sz w:val="32"/>
          <w:szCs w:val="32"/>
        </w:rPr>
        <w:t>（如没有支出填0）</w:t>
      </w:r>
      <w:r>
        <w:rPr>
          <w:rFonts w:hint="eastAsia" w:ascii="仿宋_GB2312" w:hAnsi="宋体" w:eastAsia="仿宋_GB2312" w:cs="仿宋_GB2312"/>
          <w:color w:val="000000"/>
          <w:kern w:val="0"/>
          <w:sz w:val="32"/>
          <w:szCs w:val="32"/>
          <w:lang w:bidi="ar"/>
        </w:rPr>
        <w:t>。</w:t>
      </w:r>
    </w:p>
    <w:p>
      <w:pPr>
        <w:ind w:firstLine="643" w:firstLineChars="200"/>
        <w:rPr>
          <w:rFonts w:ascii="仿宋_GB2312" w:hAnsi="仿宋" w:eastAsia="仿宋_GB2312"/>
          <w:b/>
          <w:bCs/>
          <w:sz w:val="32"/>
          <w:szCs w:val="32"/>
        </w:rPr>
      </w:pPr>
      <w:r>
        <w:rPr>
          <w:rFonts w:hint="eastAsia" w:ascii="仿宋_GB2312" w:hAnsi="仿宋" w:eastAsia="仿宋_GB2312"/>
          <w:b/>
          <w:bCs/>
          <w:sz w:val="32"/>
          <w:szCs w:val="32"/>
        </w:rPr>
        <w:t>3.公务用车运行维护费用支出情况</w:t>
      </w:r>
      <w:r>
        <w:rPr>
          <w:rFonts w:hint="eastAsia" w:ascii="楷体_GB2312" w:hAnsi="宋体" w:eastAsia="楷体_GB2312" w:cs="楷体_GB2312"/>
          <w:b/>
          <w:color w:val="000000"/>
          <w:kern w:val="0"/>
          <w:sz w:val="32"/>
          <w:szCs w:val="32"/>
          <w:lang w:bidi="ar"/>
        </w:rPr>
        <w:t>说明</w:t>
      </w:r>
    </w:p>
    <w:p>
      <w:pPr>
        <w:widowControl/>
        <w:ind w:firstLine="640" w:firstLineChars="200"/>
        <w:jc w:val="left"/>
        <w:rPr>
          <w:rFonts w:ascii="仿宋_GB2312" w:hAnsi="宋体" w:eastAsia="仿宋_GB2312" w:cs="仿宋_GB2312"/>
          <w:color w:val="000000"/>
          <w:kern w:val="0"/>
          <w:sz w:val="32"/>
          <w:szCs w:val="32"/>
          <w:lang w:bidi="ar"/>
        </w:rPr>
      </w:pPr>
      <w:r>
        <w:rPr>
          <w:rFonts w:hint="eastAsia" w:ascii="仿宋_GB2312" w:hAnsi="仿宋" w:eastAsia="仿宋_GB2312"/>
          <w:sz w:val="32"/>
          <w:szCs w:val="32"/>
        </w:rPr>
        <w:t>2019年</w:t>
      </w:r>
      <w:r>
        <w:rPr>
          <w:rFonts w:hint="eastAsia" w:ascii="仿宋_GB2312" w:hAnsi="仿宋_GB2312" w:eastAsia="仿宋_GB2312" w:cs="仿宋_GB2312"/>
          <w:sz w:val="32"/>
          <w:szCs w:val="32"/>
        </w:rPr>
        <w:t>公务用车运行维护费</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4.58</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4.4</w:t>
      </w:r>
      <w:r>
        <w:rPr>
          <w:rFonts w:ascii="仿宋_GB2312" w:hAnsi="宋体" w:eastAsia="仿宋_GB2312" w:cs="仿宋_GB2312"/>
          <w:color w:val="000000"/>
          <w:kern w:val="0"/>
          <w:sz w:val="32"/>
          <w:szCs w:val="32"/>
          <w:lang w:bidi="ar"/>
        </w:rPr>
        <w:t>万元</w:t>
      </w:r>
      <w:r>
        <w:rPr>
          <w:rFonts w:hint="eastAsia" w:ascii="仿宋_GB2312" w:hAnsi="仿宋_GB2312" w:eastAsia="仿宋_GB2312" w:cs="仿宋_GB2312"/>
          <w:sz w:val="32"/>
          <w:szCs w:val="32"/>
        </w:rPr>
        <w:t>（如没有支出填0）</w:t>
      </w:r>
      <w:r>
        <w:rPr>
          <w:rFonts w:ascii="仿宋_GB2312" w:hAnsi="宋体" w:eastAsia="仿宋_GB2312" w:cs="仿宋_GB2312"/>
          <w:color w:val="000000"/>
          <w:kern w:val="0"/>
          <w:sz w:val="32"/>
          <w:szCs w:val="32"/>
          <w:lang w:bidi="ar"/>
        </w:rPr>
        <w:t>，完成预算的</w:t>
      </w:r>
      <w:r>
        <w:rPr>
          <w:rFonts w:hint="eastAsia" w:ascii="仿宋_GB2312" w:hAnsi="宋体" w:eastAsia="仿宋_GB2312" w:cs="仿宋_GB2312"/>
          <w:color w:val="000000"/>
          <w:kern w:val="0"/>
          <w:sz w:val="32"/>
          <w:szCs w:val="32"/>
          <w:lang w:val="en-US" w:eastAsia="zh-CN" w:bidi="ar"/>
        </w:rPr>
        <w:t>96.07</w:t>
      </w:r>
      <w:r>
        <w:rPr>
          <w:rFonts w:hint="eastAsia" w:ascii="仿宋_GB2312" w:hAnsi="宋体" w:eastAsia="仿宋_GB2312" w:cs="仿宋_GB2312"/>
          <w:color w:val="000000"/>
          <w:kern w:val="0"/>
          <w:sz w:val="32"/>
          <w:szCs w:val="32"/>
          <w:lang w:bidi="ar"/>
        </w:rPr>
        <w:t>%，决</w:t>
      </w:r>
      <w:r>
        <w:rPr>
          <w:rFonts w:ascii="仿宋_GB2312" w:hAnsi="宋体" w:eastAsia="仿宋_GB2312" w:cs="仿宋_GB2312"/>
          <w:color w:val="000000"/>
          <w:kern w:val="0"/>
          <w:sz w:val="32"/>
          <w:szCs w:val="32"/>
          <w:lang w:bidi="ar"/>
        </w:rPr>
        <w:t>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bidi="ar"/>
        </w:rPr>
        <w:t>减少</w:t>
      </w:r>
      <w:r>
        <w:rPr>
          <w:rFonts w:hint="eastAsia" w:ascii="仿宋_GB2312" w:hAnsi="宋体" w:eastAsia="仿宋_GB2312" w:cs="仿宋_GB2312"/>
          <w:color w:val="000000"/>
          <w:kern w:val="0"/>
          <w:sz w:val="32"/>
          <w:szCs w:val="32"/>
          <w:lang w:val="en-US" w:eastAsia="zh-CN" w:bidi="ar"/>
        </w:rPr>
        <w:t>0.18</w:t>
      </w:r>
      <w:r>
        <w:rPr>
          <w:rFonts w:hint="eastAsia" w:ascii="仿宋_GB2312" w:hAnsi="宋体" w:eastAsia="仿宋_GB2312" w:cs="仿宋_GB2312"/>
          <w:color w:val="000000"/>
          <w:kern w:val="0"/>
          <w:sz w:val="32"/>
          <w:szCs w:val="32"/>
          <w:lang w:bidi="ar"/>
        </w:rPr>
        <w:t>万元，</w:t>
      </w:r>
      <w:r>
        <w:rPr>
          <w:rFonts w:ascii="仿宋_GB2312" w:hAnsi="宋体" w:eastAsia="仿宋_GB2312" w:cs="仿宋_GB2312"/>
          <w:color w:val="000000"/>
          <w:kern w:val="0"/>
          <w:sz w:val="32"/>
          <w:szCs w:val="32"/>
          <w:lang w:bidi="ar"/>
        </w:rPr>
        <w:t>主要原因是</w:t>
      </w:r>
      <w:r>
        <w:rPr>
          <w:rFonts w:hint="eastAsia" w:ascii="仿宋_GB2312" w:hAnsi="宋体" w:eastAsia="仿宋_GB2312" w:cs="仿宋_GB2312"/>
          <w:color w:val="000000"/>
          <w:kern w:val="0"/>
          <w:sz w:val="32"/>
          <w:szCs w:val="32"/>
          <w:lang w:eastAsia="zh-CN" w:bidi="ar"/>
        </w:rPr>
        <w:t>公务用车减少</w:t>
      </w:r>
      <w:r>
        <w:rPr>
          <w:rFonts w:hint="eastAsia" w:ascii="仿宋_GB2312" w:hAnsi="宋体" w:eastAsia="仿宋_GB2312" w:cs="仿宋_GB2312"/>
          <w:color w:val="000000"/>
          <w:kern w:val="0"/>
          <w:sz w:val="32"/>
          <w:szCs w:val="32"/>
          <w:lang w:bidi="ar"/>
        </w:rPr>
        <w:t>。</w:t>
      </w:r>
    </w:p>
    <w:p>
      <w:pPr>
        <w:ind w:firstLine="643" w:firstLineChars="200"/>
        <w:rPr>
          <w:rFonts w:ascii="仿宋_GB2312" w:hAnsi="仿宋" w:eastAsia="仿宋_GB2312"/>
          <w:sz w:val="32"/>
          <w:szCs w:val="32"/>
        </w:rPr>
      </w:pPr>
      <w:r>
        <w:rPr>
          <w:rFonts w:hint="eastAsia" w:ascii="仿宋_GB2312" w:hAnsi="仿宋" w:eastAsia="仿宋_GB2312"/>
          <w:b/>
          <w:bCs/>
          <w:sz w:val="32"/>
          <w:szCs w:val="32"/>
        </w:rPr>
        <w:t>4.公务接待费支出情况</w:t>
      </w:r>
      <w:r>
        <w:rPr>
          <w:rFonts w:hint="eastAsia" w:ascii="楷体_GB2312" w:hAnsi="宋体" w:eastAsia="楷体_GB2312" w:cs="楷体_GB2312"/>
          <w:b/>
          <w:color w:val="000000"/>
          <w:kern w:val="0"/>
          <w:sz w:val="32"/>
          <w:szCs w:val="32"/>
          <w:lang w:bidi="ar"/>
        </w:rPr>
        <w:t>说明</w:t>
      </w:r>
    </w:p>
    <w:p>
      <w:pPr>
        <w:widowControl/>
        <w:ind w:firstLine="640" w:firstLineChars="200"/>
        <w:jc w:val="left"/>
        <w:rPr>
          <w:rFonts w:ascii="仿宋_GB2312" w:hAnsi="宋体" w:eastAsia="仿宋_GB2312" w:cs="仿宋_GB2312"/>
          <w:color w:val="000000"/>
          <w:kern w:val="0"/>
          <w:sz w:val="32"/>
          <w:szCs w:val="32"/>
          <w:lang w:bidi="ar"/>
        </w:rPr>
      </w:pPr>
      <w:r>
        <w:rPr>
          <w:rFonts w:hint="eastAsia" w:ascii="仿宋_GB2312" w:hAnsi="仿宋" w:eastAsia="仿宋_GB2312"/>
          <w:sz w:val="32"/>
          <w:szCs w:val="32"/>
        </w:rPr>
        <w:t>2019年公务接待</w:t>
      </w:r>
      <w:r>
        <w:rPr>
          <w:rFonts w:hint="eastAsia" w:ascii="仿宋_GB2312" w:hAnsi="仿宋" w:eastAsia="仿宋_GB2312"/>
          <w:sz w:val="32"/>
          <w:szCs w:val="32"/>
          <w:lang w:val="en-US" w:eastAsia="zh-CN"/>
        </w:rPr>
        <w:t>180</w:t>
      </w:r>
      <w:r>
        <w:rPr>
          <w:rFonts w:hint="eastAsia" w:ascii="仿宋_GB2312" w:hAnsi="仿宋_GB2312" w:eastAsia="仿宋_GB2312" w:cs="仿宋_GB2312"/>
          <w:sz w:val="32"/>
          <w:szCs w:val="32"/>
        </w:rPr>
        <w:t>批次，</w:t>
      </w:r>
      <w:r>
        <w:rPr>
          <w:rFonts w:hint="eastAsia" w:ascii="仿宋_GB2312" w:hAnsi="仿宋_GB2312" w:eastAsia="仿宋_GB2312" w:cs="仿宋_GB2312"/>
          <w:sz w:val="32"/>
          <w:szCs w:val="32"/>
          <w:lang w:val="en-US" w:eastAsia="zh-CN"/>
        </w:rPr>
        <w:t>1786</w:t>
      </w:r>
      <w:r>
        <w:rPr>
          <w:rFonts w:hint="eastAsia" w:ascii="仿宋_GB2312" w:hAnsi="仿宋_GB2312" w:eastAsia="仿宋_GB2312" w:cs="仿宋_GB2312"/>
          <w:sz w:val="32"/>
          <w:szCs w:val="32"/>
        </w:rPr>
        <w:t>人次，</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10.98</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10.52</w:t>
      </w:r>
      <w:r>
        <w:rPr>
          <w:rFonts w:ascii="仿宋_GB2312" w:hAnsi="宋体" w:eastAsia="仿宋_GB2312" w:cs="仿宋_GB2312"/>
          <w:color w:val="000000"/>
          <w:kern w:val="0"/>
          <w:sz w:val="32"/>
          <w:szCs w:val="32"/>
          <w:lang w:bidi="ar"/>
        </w:rPr>
        <w:t>万元</w:t>
      </w:r>
      <w:r>
        <w:rPr>
          <w:rFonts w:hint="eastAsia" w:ascii="仿宋_GB2312" w:hAnsi="仿宋_GB2312" w:eastAsia="仿宋_GB2312" w:cs="仿宋_GB2312"/>
          <w:sz w:val="32"/>
          <w:szCs w:val="32"/>
        </w:rPr>
        <w:t>（如没有支出填0）</w:t>
      </w:r>
      <w:r>
        <w:rPr>
          <w:rFonts w:ascii="仿宋_GB2312" w:hAnsi="宋体" w:eastAsia="仿宋_GB2312" w:cs="仿宋_GB2312"/>
          <w:color w:val="000000"/>
          <w:kern w:val="0"/>
          <w:sz w:val="32"/>
          <w:szCs w:val="32"/>
          <w:lang w:bidi="ar"/>
        </w:rPr>
        <w:t>，完成预算的</w:t>
      </w:r>
      <w:r>
        <w:rPr>
          <w:rFonts w:hint="eastAsia" w:ascii="仿宋_GB2312" w:hAnsi="宋体" w:eastAsia="仿宋_GB2312" w:cs="仿宋_GB2312"/>
          <w:color w:val="000000"/>
          <w:kern w:val="0"/>
          <w:sz w:val="32"/>
          <w:szCs w:val="32"/>
          <w:lang w:val="en-US" w:eastAsia="zh-CN" w:bidi="ar"/>
        </w:rPr>
        <w:t>95.81</w:t>
      </w:r>
      <w:r>
        <w:rPr>
          <w:rFonts w:hint="eastAsia" w:ascii="仿宋_GB2312" w:hAnsi="宋体" w:eastAsia="仿宋_GB2312" w:cs="仿宋_GB2312"/>
          <w:color w:val="000000"/>
          <w:kern w:val="0"/>
          <w:sz w:val="32"/>
          <w:szCs w:val="32"/>
          <w:lang w:bidi="ar"/>
        </w:rPr>
        <w:t>%，决</w:t>
      </w:r>
      <w:r>
        <w:rPr>
          <w:rFonts w:ascii="仿宋_GB2312" w:hAnsi="宋体" w:eastAsia="仿宋_GB2312" w:cs="仿宋_GB2312"/>
          <w:color w:val="000000"/>
          <w:kern w:val="0"/>
          <w:sz w:val="32"/>
          <w:szCs w:val="32"/>
          <w:lang w:bidi="ar"/>
        </w:rPr>
        <w:t>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bidi="ar"/>
        </w:rPr>
        <w:t>减少</w:t>
      </w:r>
      <w:r>
        <w:rPr>
          <w:rFonts w:hint="eastAsia" w:ascii="仿宋_GB2312" w:hAnsi="宋体" w:eastAsia="仿宋_GB2312" w:cs="仿宋_GB2312"/>
          <w:color w:val="000000"/>
          <w:kern w:val="0"/>
          <w:sz w:val="32"/>
          <w:szCs w:val="32"/>
          <w:lang w:val="en-US" w:eastAsia="zh-CN" w:bidi="ar"/>
        </w:rPr>
        <w:t>0.46</w:t>
      </w:r>
      <w:r>
        <w:rPr>
          <w:rFonts w:hint="eastAsia" w:ascii="仿宋_GB2312" w:hAnsi="宋体" w:eastAsia="仿宋_GB2312" w:cs="仿宋_GB2312"/>
          <w:color w:val="000000"/>
          <w:kern w:val="0"/>
          <w:sz w:val="32"/>
          <w:szCs w:val="32"/>
          <w:lang w:bidi="ar"/>
        </w:rPr>
        <w:t>万元，</w:t>
      </w:r>
      <w:r>
        <w:rPr>
          <w:rFonts w:ascii="仿宋_GB2312" w:hAnsi="宋体" w:eastAsia="仿宋_GB2312" w:cs="仿宋_GB2312"/>
          <w:color w:val="000000"/>
          <w:kern w:val="0"/>
          <w:sz w:val="32"/>
          <w:szCs w:val="32"/>
          <w:lang w:bidi="ar"/>
        </w:rPr>
        <w:t>主要原因是</w:t>
      </w:r>
      <w:r>
        <w:rPr>
          <w:rFonts w:hint="eastAsia" w:ascii="仿宋_GB2312" w:hAnsi="宋体" w:eastAsia="仿宋_GB2312" w:cs="仿宋_GB2312"/>
          <w:color w:val="000000"/>
          <w:kern w:val="0"/>
          <w:sz w:val="32"/>
          <w:szCs w:val="32"/>
          <w:lang w:eastAsia="zh-CN" w:bidi="ar"/>
        </w:rPr>
        <w:t>公务接待减少</w:t>
      </w:r>
      <w:r>
        <w:rPr>
          <w:rFonts w:hint="eastAsia" w:ascii="仿宋_GB2312" w:hAnsi="宋体" w:eastAsia="仿宋_GB2312" w:cs="仿宋_GB2312"/>
          <w:color w:val="000000"/>
          <w:kern w:val="0"/>
          <w:sz w:val="32"/>
          <w:szCs w:val="32"/>
          <w:lang w:bidi="ar"/>
        </w:rPr>
        <w:t>。</w:t>
      </w:r>
    </w:p>
    <w:p>
      <w:pPr>
        <w:ind w:firstLine="643" w:firstLineChars="200"/>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（三）培训费支出情况说明</w:t>
      </w:r>
    </w:p>
    <w:p>
      <w:pPr>
        <w:widowControl/>
        <w:ind w:firstLine="640" w:firstLineChars="200"/>
        <w:jc w:val="left"/>
        <w:rPr>
          <w:rFonts w:ascii="仿宋_GB2312" w:hAnsi="宋体" w:eastAsia="仿宋_GB2312" w:cs="仿宋_GB2312"/>
          <w:color w:val="000000"/>
          <w:kern w:val="0"/>
          <w:sz w:val="32"/>
          <w:szCs w:val="32"/>
          <w:lang w:bidi="ar"/>
        </w:rPr>
      </w:pPr>
      <w:r>
        <w:rPr>
          <w:rFonts w:hint="eastAsia" w:ascii="仿宋_GB2312" w:hAnsi="仿宋" w:eastAsia="仿宋_GB2312"/>
          <w:sz w:val="32"/>
          <w:szCs w:val="32"/>
        </w:rPr>
        <w:t>2019年</w:t>
      </w:r>
      <w:r>
        <w:rPr>
          <w:rFonts w:hint="eastAsia" w:ascii="仿宋_GB2312" w:hAnsi="仿宋_GB2312" w:eastAsia="仿宋_GB2312" w:cs="仿宋_GB2312"/>
          <w:sz w:val="32"/>
          <w:szCs w:val="32"/>
        </w:rPr>
        <w:t>培训费</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w:t>
      </w:r>
      <w:r>
        <w:rPr>
          <w:rFonts w:hint="eastAsia" w:ascii="仿宋_GB2312" w:hAnsi="仿宋_GB2312" w:eastAsia="仿宋_GB2312" w:cs="仿宋_GB2312"/>
          <w:sz w:val="32"/>
          <w:szCs w:val="32"/>
        </w:rPr>
        <w:t>（如没有支出填0）</w:t>
      </w:r>
      <w:r>
        <w:rPr>
          <w:rFonts w:hint="eastAsia" w:ascii="仿宋_GB2312" w:hAnsi="宋体" w:eastAsia="仿宋_GB2312" w:cs="仿宋_GB2312"/>
          <w:color w:val="000000"/>
          <w:kern w:val="0"/>
          <w:sz w:val="32"/>
          <w:szCs w:val="32"/>
          <w:lang w:bidi="ar"/>
        </w:rPr>
        <w:t>。</w:t>
      </w:r>
    </w:p>
    <w:p>
      <w:pPr>
        <w:spacing w:line="360" w:lineRule="auto"/>
        <w:ind w:firstLine="643" w:firstLineChars="200"/>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（四）会议费支出情况说明</w:t>
      </w:r>
    </w:p>
    <w:p>
      <w:pPr>
        <w:widowControl/>
        <w:ind w:firstLine="640" w:firstLineChars="200"/>
        <w:jc w:val="left"/>
        <w:rPr>
          <w:rFonts w:ascii="仿宋_GB2312" w:hAnsi="宋体" w:eastAsia="仿宋_GB2312" w:cs="仿宋_GB2312"/>
          <w:color w:val="000000"/>
          <w:kern w:val="0"/>
          <w:sz w:val="32"/>
          <w:szCs w:val="32"/>
          <w:lang w:bidi="ar"/>
        </w:rPr>
      </w:pPr>
      <w:r>
        <w:rPr>
          <w:rFonts w:hint="eastAsia" w:ascii="仿宋_GB2312" w:hAnsi="仿宋" w:eastAsia="仿宋_GB2312"/>
          <w:sz w:val="32"/>
          <w:szCs w:val="32"/>
        </w:rPr>
        <w:t>2019年</w:t>
      </w:r>
      <w:r>
        <w:rPr>
          <w:rFonts w:hint="eastAsia" w:ascii="仿宋_GB2312" w:hAnsi="仿宋_GB2312" w:eastAsia="仿宋_GB2312" w:cs="仿宋_GB2312"/>
          <w:sz w:val="32"/>
          <w:szCs w:val="32"/>
        </w:rPr>
        <w:t>会议费</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3.95</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3.93</w:t>
      </w:r>
      <w:r>
        <w:rPr>
          <w:rFonts w:ascii="仿宋_GB2312" w:hAnsi="宋体" w:eastAsia="仿宋_GB2312" w:cs="仿宋_GB2312"/>
          <w:color w:val="000000"/>
          <w:kern w:val="0"/>
          <w:sz w:val="32"/>
          <w:szCs w:val="32"/>
          <w:lang w:bidi="ar"/>
        </w:rPr>
        <w:t>万元</w:t>
      </w:r>
      <w:r>
        <w:rPr>
          <w:rFonts w:hint="eastAsia" w:ascii="仿宋_GB2312" w:hAnsi="仿宋_GB2312" w:eastAsia="仿宋_GB2312" w:cs="仿宋_GB2312"/>
          <w:sz w:val="32"/>
          <w:szCs w:val="32"/>
        </w:rPr>
        <w:t>（如没有支出填0）</w:t>
      </w:r>
      <w:r>
        <w:rPr>
          <w:rFonts w:hint="eastAsia" w:ascii="仿宋_GB2312" w:hAnsi="宋体" w:eastAsia="仿宋_GB2312" w:cs="仿宋_GB2312"/>
          <w:color w:val="000000"/>
          <w:kern w:val="0"/>
          <w:sz w:val="32"/>
          <w:szCs w:val="32"/>
          <w:lang w:bidi="ar"/>
        </w:rPr>
        <w:t>。</w:t>
      </w:r>
    </w:p>
    <w:p>
      <w:pPr>
        <w:ind w:firstLine="640" w:firstLineChars="200"/>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 xml:space="preserve">八、政府性基金预算财政拨款收入支出情况说明 </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本部门无政府性基金决算收支，并已公开空表</w:t>
      </w:r>
      <w:r>
        <w:rPr>
          <w:rFonts w:hint="eastAsia" w:ascii="仿宋_GB2312" w:hAnsi="仿宋_GB2312" w:eastAsia="仿宋_GB2312" w:cs="仿宋_GB2312"/>
          <w:sz w:val="32"/>
          <w:szCs w:val="32"/>
          <w:lang w:eastAsia="zh-CN"/>
        </w:rPr>
        <w:t>。</w:t>
      </w:r>
    </w:p>
    <w:p>
      <w:pPr>
        <w:widowControl/>
        <w:ind w:firstLine="640" w:firstLineChars="200"/>
        <w:jc w:val="left"/>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九、预算绩效情况说明</w:t>
      </w:r>
    </w:p>
    <w:p>
      <w:pPr>
        <w:widowControl/>
        <w:ind w:left="1281" w:leftChars="304" w:hanging="643" w:hangingChars="200"/>
        <w:jc w:val="left"/>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（一）</w:t>
      </w:r>
      <w:r>
        <w:rPr>
          <w:rFonts w:ascii="楷体_GB2312" w:hAnsi="宋体" w:eastAsia="楷体_GB2312" w:cs="楷体_GB2312"/>
          <w:b/>
          <w:color w:val="000000"/>
          <w:kern w:val="0"/>
          <w:sz w:val="32"/>
          <w:szCs w:val="32"/>
          <w:lang w:bidi="ar"/>
        </w:rPr>
        <w:t>预算绩效管理工作开展情况</w:t>
      </w:r>
      <w:r>
        <w:rPr>
          <w:rFonts w:hint="eastAsia" w:ascii="楷体_GB2312" w:hAnsi="宋体" w:eastAsia="楷体_GB2312" w:cs="楷体_GB2312"/>
          <w:b/>
          <w:color w:val="000000"/>
          <w:kern w:val="0"/>
          <w:sz w:val="32"/>
          <w:szCs w:val="32"/>
          <w:lang w:bidi="ar"/>
        </w:rPr>
        <w:t xml:space="preserve">说明     </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 2019</w:t>
      </w:r>
      <w:r>
        <w:rPr>
          <w:rFonts w:ascii="仿宋_GB2312" w:hAnsi="仿宋_GB2312" w:eastAsia="仿宋_GB2312" w:cs="仿宋_GB2312"/>
          <w:sz w:val="32"/>
          <w:szCs w:val="32"/>
        </w:rPr>
        <w:t>年一般公共预算项目支出全面开展绩效自评，</w:t>
      </w:r>
      <w:r>
        <w:rPr>
          <w:rFonts w:hint="eastAsia" w:ascii="仿宋_GB2312" w:hAnsi="仿宋_GB2312" w:eastAsia="仿宋_GB2312" w:cs="仿宋_GB2312"/>
          <w:sz w:val="32"/>
          <w:szCs w:val="32"/>
        </w:rPr>
        <w:t>共计项目</w:t>
      </w:r>
      <w:r>
        <w:rPr>
          <w:rFonts w:hint="eastAsia" w:ascii="仿宋_GB2312" w:hAnsi="仿宋_GB2312" w:eastAsia="仿宋_GB2312" w:cs="仿宋_GB2312"/>
          <w:sz w:val="32"/>
          <w:szCs w:val="32"/>
          <w:lang w:val="en-US" w:eastAsia="zh-CN"/>
        </w:rPr>
        <w:t>4</w:t>
      </w:r>
      <w:r>
        <w:rPr>
          <w:rFonts w:ascii="仿宋_GB2312" w:hAnsi="仿宋_GB2312" w:eastAsia="仿宋_GB2312" w:cs="仿宋_GB2312"/>
          <w:sz w:val="32"/>
          <w:szCs w:val="32"/>
        </w:rPr>
        <w:t>个，涉及</w:t>
      </w:r>
      <w:r>
        <w:rPr>
          <w:rFonts w:hint="eastAsia" w:ascii="仿宋_GB2312" w:hAnsi="仿宋_GB2312" w:eastAsia="仿宋_GB2312" w:cs="仿宋_GB2312"/>
          <w:sz w:val="32"/>
          <w:szCs w:val="32"/>
        </w:rPr>
        <w:t>财政</w:t>
      </w:r>
      <w:r>
        <w:rPr>
          <w:rFonts w:ascii="仿宋_GB2312" w:hAnsi="仿宋_GB2312" w:eastAsia="仿宋_GB2312" w:cs="仿宋_GB2312"/>
          <w:sz w:val="32"/>
          <w:szCs w:val="32"/>
        </w:rPr>
        <w:t>资金</w:t>
      </w:r>
      <w:r>
        <w:rPr>
          <w:rFonts w:hint="eastAsia" w:ascii="仿宋_GB2312" w:hAnsi="仿宋_GB2312" w:eastAsia="仿宋_GB2312" w:cs="仿宋_GB2312"/>
          <w:sz w:val="32"/>
          <w:szCs w:val="32"/>
          <w:lang w:val="en-US" w:eastAsia="zh-CN"/>
        </w:rPr>
        <w:t>397.46</w:t>
      </w:r>
      <w:r>
        <w:rPr>
          <w:rFonts w:ascii="仿宋_GB2312" w:hAnsi="仿宋_GB2312" w:eastAsia="仿宋_GB2312" w:cs="仿宋_GB2312"/>
          <w:sz w:val="32"/>
          <w:szCs w:val="32"/>
        </w:rPr>
        <w:t>万元。</w:t>
      </w:r>
    </w:p>
    <w:p>
      <w:pPr>
        <w:widowControl/>
        <w:ind w:firstLine="643" w:firstLineChars="200"/>
        <w:jc w:val="left"/>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（二）</w:t>
      </w:r>
      <w:r>
        <w:rPr>
          <w:rFonts w:ascii="楷体_GB2312" w:hAnsi="宋体" w:eastAsia="楷体_GB2312" w:cs="楷体_GB2312"/>
          <w:b/>
          <w:color w:val="000000"/>
          <w:kern w:val="0"/>
          <w:sz w:val="32"/>
          <w:szCs w:val="32"/>
          <w:lang w:bidi="ar"/>
        </w:rPr>
        <w:t>部门决算中项目绩效自评结果</w:t>
      </w:r>
    </w:p>
    <w:p>
      <w:pPr>
        <w:keepNext w:val="0"/>
        <w:keepLines w:val="0"/>
        <w:widowControl/>
        <w:suppressLineNumbers w:val="0"/>
        <w:ind w:firstLine="620" w:firstLineChars="200"/>
        <w:jc w:val="left"/>
      </w:pPr>
      <w:r>
        <w:rPr>
          <w:rFonts w:hint="eastAsia" w:ascii="仿宋_GB2312" w:hAnsi="仿宋_GB2312" w:eastAsia="仿宋_GB2312" w:cs="仿宋_GB2312"/>
          <w:color w:val="000000"/>
          <w:kern w:val="0"/>
          <w:sz w:val="31"/>
          <w:szCs w:val="31"/>
          <w:lang w:bidi="ar"/>
        </w:rPr>
        <w:t>评价结果为优秀的项目</w:t>
      </w:r>
      <w:r>
        <w:rPr>
          <w:rFonts w:hint="eastAsia" w:ascii="仿宋_GB2312" w:hAnsi="仿宋_GB2312" w:eastAsia="仿宋_GB2312" w:cs="仿宋_GB2312"/>
          <w:color w:val="000000"/>
          <w:kern w:val="0"/>
          <w:sz w:val="31"/>
          <w:szCs w:val="31"/>
          <w:lang w:val="en-US" w:eastAsia="zh-CN" w:bidi="ar"/>
        </w:rPr>
        <w:t>4</w:t>
      </w:r>
      <w:r>
        <w:rPr>
          <w:rFonts w:hint="eastAsia" w:ascii="仿宋_GB2312" w:hAnsi="仿宋_GB2312" w:eastAsia="仿宋_GB2312" w:cs="仿宋_GB2312"/>
          <w:color w:val="000000"/>
          <w:kern w:val="0"/>
          <w:sz w:val="31"/>
          <w:szCs w:val="31"/>
          <w:lang w:bidi="ar"/>
        </w:rPr>
        <w:t>个，占全部项目的</w:t>
      </w:r>
      <w:r>
        <w:rPr>
          <w:rFonts w:hint="eastAsia" w:ascii="仿宋_GB2312" w:hAnsi="仿宋_GB2312" w:eastAsia="仿宋_GB2312" w:cs="仿宋_GB2312"/>
          <w:color w:val="000000"/>
          <w:kern w:val="0"/>
          <w:sz w:val="31"/>
          <w:szCs w:val="31"/>
          <w:lang w:val="en-US" w:eastAsia="zh-CN" w:bidi="ar"/>
        </w:rPr>
        <w:t>100</w:t>
      </w:r>
      <w:r>
        <w:rPr>
          <w:rFonts w:ascii="仿宋_GB2312" w:hAnsi="仿宋_GB2312" w:eastAsia="仿宋_GB2312" w:cs="仿宋_GB2312"/>
          <w:color w:val="000000"/>
          <w:kern w:val="0"/>
          <w:sz w:val="31"/>
          <w:szCs w:val="31"/>
          <w:lang w:bidi="ar"/>
        </w:rPr>
        <w:t>%</w:t>
      </w:r>
      <w:r>
        <w:rPr>
          <w:rFonts w:hint="eastAsia" w:ascii="仿宋_GB2312" w:hAnsi="仿宋_GB2312" w:eastAsia="仿宋_GB2312" w:cs="仿宋_GB2312"/>
          <w:color w:val="000000"/>
          <w:kern w:val="0"/>
          <w:sz w:val="31"/>
          <w:szCs w:val="31"/>
          <w:lang w:bidi="ar"/>
        </w:rPr>
        <w:t>。</w:t>
      </w:r>
      <w:r>
        <w:rPr>
          <w:rFonts w:ascii="仿宋_GB2312" w:hAnsi="宋体" w:eastAsia="仿宋_GB2312" w:cs="仿宋_GB2312"/>
          <w:color w:val="000000"/>
          <w:kern w:val="0"/>
          <w:sz w:val="31"/>
          <w:szCs w:val="31"/>
          <w:lang w:val="en-US" w:eastAsia="zh-CN" w:bidi="ar"/>
        </w:rPr>
        <w:t xml:space="preserve">通过项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目实施绩效自评工作</w:t>
      </w:r>
      <w:r>
        <w:rPr>
          <w:rFonts w:hint="eastAsia" w:ascii="仿宋_GB2312" w:hAnsi="仿宋_GB2312" w:eastAsia="仿宋_GB2312" w:cs="仿宋_GB2312"/>
          <w:color w:val="000000"/>
          <w:kern w:val="0"/>
          <w:sz w:val="31"/>
          <w:szCs w:val="31"/>
          <w:lang w:eastAsia="zh-CN" w:bidi="ar"/>
        </w:rPr>
        <w:t>，</w:t>
      </w:r>
      <w:r>
        <w:rPr>
          <w:rFonts w:ascii="仿宋_GB2312" w:hAnsi="仿宋_GB2312" w:eastAsia="仿宋_GB2312" w:cs="仿宋_GB2312"/>
          <w:color w:val="000000"/>
          <w:kern w:val="0"/>
          <w:sz w:val="31"/>
          <w:szCs w:val="31"/>
          <w:lang w:bidi="ar"/>
        </w:rPr>
        <w:t>发现的问题及原因：</w:t>
      </w:r>
      <w:r>
        <w:rPr>
          <w:rFonts w:ascii="仿宋_GB2312" w:hAnsi="宋体" w:eastAsia="仿宋_GB2312" w:cs="仿宋_GB2312"/>
          <w:color w:val="000000"/>
          <w:kern w:val="0"/>
          <w:sz w:val="31"/>
          <w:szCs w:val="31"/>
          <w:lang w:val="en-US" w:eastAsia="zh-CN" w:bidi="ar"/>
        </w:rPr>
        <w:t xml:space="preserve">部分项目年度完成 </w:t>
      </w:r>
    </w:p>
    <w:p>
      <w:pPr>
        <w:keepNext w:val="0"/>
        <w:keepLines w:val="0"/>
        <w:widowControl/>
        <w:suppressLineNumbers w:val="0"/>
        <w:jc w:val="left"/>
        <w:rPr>
          <w:rFonts w:ascii="仿宋_GB2312" w:hAnsi="仿宋_GB2312" w:eastAsia="仿宋_GB2312" w:cs="仿宋_GB2312"/>
          <w:color w:val="000000"/>
          <w:kern w:val="0"/>
          <w:sz w:val="31"/>
          <w:szCs w:val="31"/>
          <w:lang w:bidi="ar"/>
        </w:rPr>
      </w:pPr>
      <w:r>
        <w:rPr>
          <w:rFonts w:hint="default" w:ascii="仿宋_GB2312" w:hAnsi="宋体" w:eastAsia="仿宋_GB2312" w:cs="仿宋_GB2312"/>
          <w:color w:val="000000"/>
          <w:kern w:val="0"/>
          <w:sz w:val="31"/>
          <w:szCs w:val="31"/>
          <w:lang w:val="en-US" w:eastAsia="zh-CN" w:bidi="ar"/>
        </w:rPr>
        <w:t>情况提前不能预测，所以不能正确估计年度支付情况。下一步改进措施：进一步增加财政财务绩效工作专职人员，合理确定各相关项目年度实 情况，及时审核相关支出票据，一定要及时支付项目资金</w:t>
      </w:r>
      <w:r>
        <w:rPr>
          <w:rFonts w:hint="eastAsia" w:ascii="仿宋_GB2312" w:hAnsi="仿宋_GB2312" w:eastAsia="仿宋_GB2312" w:cs="仿宋_GB2312"/>
          <w:color w:val="000000"/>
          <w:kern w:val="0"/>
          <w:sz w:val="31"/>
          <w:szCs w:val="31"/>
          <w:lang w:bidi="ar"/>
        </w:rPr>
        <w:t>。</w:t>
      </w:r>
    </w:p>
    <w:p>
      <w:pPr>
        <w:ind w:firstLine="480" w:firstLineChars="150"/>
        <w:rPr>
          <w:rFonts w:ascii="黑体" w:hAnsi="黑体" w:eastAsia="黑体"/>
          <w:sz w:val="32"/>
          <w:szCs w:val="32"/>
        </w:rPr>
      </w:pPr>
      <w:r>
        <w:rPr>
          <w:rFonts w:hint="eastAsia" w:ascii="黑体" w:hAnsi="黑体" w:eastAsia="黑体"/>
          <w:color w:val="000000"/>
          <w:kern w:val="0"/>
          <w:sz w:val="32"/>
          <w:szCs w:val="32"/>
          <w:lang w:bidi="ar"/>
        </w:rPr>
        <w:t>十、其他重要事项说明</w:t>
      </w:r>
    </w:p>
    <w:p>
      <w:pPr>
        <w:widowControl/>
        <w:ind w:firstLine="472" w:firstLineChars="147"/>
        <w:jc w:val="left"/>
      </w:pPr>
      <w:r>
        <w:rPr>
          <w:rFonts w:ascii="楷体_GB2312" w:hAnsi="宋体" w:eastAsia="楷体_GB2312" w:cs="楷体_GB2312"/>
          <w:b/>
          <w:color w:val="000000"/>
          <w:kern w:val="0"/>
          <w:sz w:val="32"/>
          <w:szCs w:val="32"/>
          <w:lang w:bidi="ar"/>
        </w:rPr>
        <w:t>（一）机关运行经费支出情况</w:t>
      </w:r>
      <w:r>
        <w:rPr>
          <w:rFonts w:hint="eastAsia" w:ascii="楷体_GB2312" w:hAnsi="宋体" w:eastAsia="楷体_GB2312" w:cs="楷体_GB2312"/>
          <w:b/>
          <w:color w:val="000000"/>
          <w:kern w:val="0"/>
          <w:sz w:val="32"/>
          <w:szCs w:val="32"/>
          <w:lang w:bidi="ar"/>
        </w:rPr>
        <w:t>说明</w:t>
      </w:r>
      <w:r>
        <w:rPr>
          <w:rFonts w:ascii="楷体_GB2312" w:hAnsi="宋体" w:eastAsia="楷体_GB2312" w:cs="楷体_GB2312"/>
          <w:b/>
          <w:color w:val="000000"/>
          <w:kern w:val="0"/>
          <w:sz w:val="32"/>
          <w:szCs w:val="32"/>
          <w:lang w:bidi="ar"/>
        </w:rPr>
        <w:t xml:space="preserve"> </w:t>
      </w:r>
    </w:p>
    <w:p>
      <w:pPr>
        <w:widowControl/>
        <w:ind w:firstLine="620" w:firstLineChars="200"/>
        <w:jc w:val="left"/>
        <w:rPr>
          <w:rFonts w:ascii="仿宋_GB2312" w:hAnsi="宋体" w:eastAsia="仿宋_GB2312" w:cs="仿宋_GB2312"/>
          <w:color w:val="000000"/>
          <w:kern w:val="0"/>
          <w:sz w:val="32"/>
          <w:szCs w:val="32"/>
          <w:lang w:bidi="ar"/>
        </w:rPr>
      </w:pPr>
      <w:r>
        <w:rPr>
          <w:rFonts w:ascii="仿宋_GB2312" w:hAnsi="仿宋_GB2312" w:eastAsia="仿宋_GB2312" w:cs="仿宋_GB2312"/>
          <w:color w:val="000000"/>
          <w:kern w:val="0"/>
          <w:sz w:val="31"/>
          <w:szCs w:val="31"/>
          <w:lang w:bidi="ar"/>
        </w:rPr>
        <w:t>2019年机关运行经费</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auto"/>
          <w:kern w:val="0"/>
          <w:sz w:val="32"/>
          <w:szCs w:val="32"/>
          <w:lang w:bidi="ar"/>
        </w:rPr>
        <w:t>111.74</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bidi="ar"/>
        </w:rPr>
        <w:t>111.74</w:t>
      </w:r>
      <w:r>
        <w:rPr>
          <w:rFonts w:ascii="仿宋_GB2312" w:hAnsi="宋体" w:eastAsia="仿宋_GB2312" w:cs="仿宋_GB2312"/>
          <w:color w:val="000000"/>
          <w:kern w:val="0"/>
          <w:sz w:val="32"/>
          <w:szCs w:val="32"/>
          <w:lang w:bidi="ar"/>
        </w:rPr>
        <w:t>万元，完成预算的</w:t>
      </w:r>
      <w:r>
        <w:rPr>
          <w:rFonts w:hint="eastAsia" w:ascii="仿宋_GB2312" w:hAnsi="宋体" w:eastAsia="仿宋_GB2312" w:cs="仿宋_GB2312"/>
          <w:color w:val="000000"/>
          <w:kern w:val="0"/>
          <w:sz w:val="32"/>
          <w:szCs w:val="32"/>
          <w:lang w:val="en-US" w:eastAsia="zh-CN" w:bidi="ar"/>
        </w:rPr>
        <w:t>100</w:t>
      </w:r>
      <w:r>
        <w:rPr>
          <w:rFonts w:ascii="仿宋_GB2312" w:hAnsi="宋体" w:eastAsia="仿宋_GB2312" w:cs="仿宋_GB2312"/>
          <w:color w:val="000000"/>
          <w:kern w:val="0"/>
          <w:sz w:val="32"/>
          <w:szCs w:val="32"/>
          <w:lang w:bidi="ar"/>
        </w:rPr>
        <w:t>%。</w:t>
      </w:r>
    </w:p>
    <w:p>
      <w:pPr>
        <w:widowControl/>
        <w:ind w:firstLine="472" w:firstLineChars="147"/>
        <w:jc w:val="left"/>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（二）政府采购支出情况说明</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2019年本部门政府采购支出总额共</w:t>
      </w:r>
      <w:r>
        <w:rPr>
          <w:rFonts w:hint="eastAsia" w:ascii="仿宋_GB2312" w:hAnsi="仿宋_GB2312" w:eastAsia="仿宋_GB2312" w:cs="仿宋_GB2312"/>
          <w:sz w:val="32"/>
          <w:szCs w:val="32"/>
          <w:lang w:val="en-US" w:eastAsia="zh-CN"/>
        </w:rPr>
        <w:t>397.46</w:t>
      </w:r>
      <w:r>
        <w:rPr>
          <w:rFonts w:hint="eastAsia" w:ascii="仿宋_GB2312" w:hAnsi="仿宋_GB2312" w:eastAsia="仿宋_GB2312" w:cs="仿宋_GB2312"/>
          <w:sz w:val="32"/>
          <w:szCs w:val="32"/>
        </w:rPr>
        <w:t>万元，其中政府采购货物类支出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万元、政府采购服务类支出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万元、政府采购工程类支出</w:t>
      </w:r>
      <w:r>
        <w:rPr>
          <w:rFonts w:hint="eastAsia" w:ascii="仿宋_GB2312" w:hAnsi="仿宋_GB2312" w:eastAsia="仿宋_GB2312" w:cs="仿宋_GB2312"/>
          <w:sz w:val="32"/>
          <w:szCs w:val="32"/>
          <w:lang w:val="en-US" w:eastAsia="zh-CN"/>
        </w:rPr>
        <w:t>397.46</w:t>
      </w:r>
      <w:r>
        <w:rPr>
          <w:rFonts w:hint="eastAsia" w:ascii="仿宋_GB2312" w:hAnsi="仿宋_GB2312" w:eastAsia="仿宋_GB2312" w:cs="仿宋_GB2312"/>
          <w:sz w:val="32"/>
          <w:szCs w:val="32"/>
        </w:rPr>
        <w:t>万元。</w:t>
      </w:r>
    </w:p>
    <w:p>
      <w:pPr>
        <w:widowControl/>
        <w:ind w:firstLine="472" w:firstLineChars="147"/>
        <w:jc w:val="left"/>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（三）国有资产占用及购置情况说明</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截至2019年末，本部门共有车辆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辆；单价50万元以上的通用设备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台（套）；单价100万元以上的专用设备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台（套）。201</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年当年购置车辆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辆；购置单价50万元以上的通用设备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台（套）；购置单价100万元以上的专用设备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widowControl/>
        <w:jc w:val="left"/>
        <w:rPr>
          <w:rFonts w:ascii="黑体" w:hAnsi="宋体" w:eastAsia="黑体"/>
          <w:color w:val="000000"/>
          <w:kern w:val="0"/>
          <w:sz w:val="32"/>
          <w:szCs w:val="32"/>
          <w:lang w:bidi="ar"/>
        </w:rPr>
      </w:pPr>
    </w:p>
    <w:p>
      <w:pPr>
        <w:jc w:val="center"/>
        <w:rPr>
          <w:sz w:val="44"/>
          <w:szCs w:val="44"/>
        </w:rPr>
      </w:pPr>
      <w:r>
        <w:rPr>
          <w:rFonts w:hint="eastAsia" w:ascii="黑体" w:hAnsi="宋体" w:eastAsia="黑体"/>
          <w:color w:val="000000"/>
          <w:kern w:val="0"/>
          <w:sz w:val="44"/>
          <w:szCs w:val="44"/>
          <w:lang w:bidi="ar"/>
        </w:rPr>
        <w:t>第四部分 专业名词解释</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1.基本支出</w:t>
      </w:r>
      <w:r>
        <w:rPr>
          <w:rFonts w:hint="eastAsia" w:ascii="仿宋_GB2312" w:hAnsi="仿宋_GB2312" w:eastAsia="仿宋_GB2312" w:cs="仿宋_GB2312"/>
          <w:sz w:val="32"/>
          <w:szCs w:val="32"/>
        </w:rPr>
        <w:t>：指为保障机构正常运转、完成日常工作任务而发生的各项支出。</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2.项目支出</w:t>
      </w:r>
      <w:r>
        <w:rPr>
          <w:rFonts w:hint="eastAsia" w:ascii="仿宋_GB2312" w:hAnsi="仿宋_GB2312" w:eastAsia="仿宋_GB2312" w:cs="仿宋_GB2312"/>
          <w:sz w:val="32"/>
          <w:szCs w:val="32"/>
        </w:rPr>
        <w:t>：指单位为完成特定的行政工作任务或事业发展目标所发生的各项支出。</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3.“三公”经费</w:t>
      </w:r>
      <w:r>
        <w:rPr>
          <w:rFonts w:hint="eastAsia" w:ascii="仿宋_GB2312" w:hAnsi="仿宋_GB2312" w:eastAsia="仿宋_GB2312" w:cs="仿宋_GB2312"/>
          <w:sz w:val="32"/>
          <w:szCs w:val="32"/>
        </w:rPr>
        <w:t>：指部门使用一般公共预算财政拨款安排的因公出国（境）费、公务用车购置及运行费和公务接待费支出。</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4.财政拨款收入</w:t>
      </w:r>
      <w:r>
        <w:rPr>
          <w:rFonts w:hint="eastAsia" w:ascii="仿宋_GB2312" w:hAnsi="仿宋_GB2312" w:eastAsia="仿宋_GB2312" w:cs="仿宋_GB2312"/>
          <w:sz w:val="32"/>
          <w:szCs w:val="32"/>
        </w:rPr>
        <w:t>：指本级财政当年拨付的资金。</w:t>
      </w:r>
    </w:p>
    <w:p>
      <w:pPr>
        <w:ind w:firstLine="640"/>
        <w:rPr>
          <w:rFonts w:ascii="黑体" w:hAnsi="宋体" w:eastAsia="黑体"/>
          <w:color w:val="000000"/>
          <w:kern w:val="0"/>
          <w:sz w:val="44"/>
          <w:szCs w:val="44"/>
          <w:lang w:bidi="ar"/>
        </w:rPr>
      </w:pPr>
      <w:r>
        <w:rPr>
          <w:rFonts w:hint="eastAsia" w:ascii="仿宋_GB2312" w:hAnsi="仿宋_GB2312" w:eastAsia="仿宋_GB2312" w:cs="仿宋_GB2312"/>
          <w:b/>
          <w:bCs/>
          <w:sz w:val="32"/>
          <w:szCs w:val="32"/>
        </w:rPr>
        <w:t>5.调整预算数：</w:t>
      </w:r>
      <w:r>
        <w:rPr>
          <w:rFonts w:hint="eastAsia" w:ascii="仿宋_GB2312" w:hAnsi="宋体" w:eastAsia="仿宋_GB2312"/>
          <w:bCs/>
          <w:sz w:val="32"/>
          <w:szCs w:val="32"/>
        </w:rPr>
        <w:t>填列经调整后的全年预算数，包括年初预算数和预算调增调减数</w:t>
      </w:r>
      <w:r>
        <w:rPr>
          <w:rFonts w:hint="eastAsia" w:ascii="仿宋_GB2312" w:eastAsia="仿宋_GB2312"/>
          <w:bCs/>
          <w:sz w:val="32"/>
          <w:szCs w:val="32"/>
        </w:rPr>
        <w:t>，即：调整预算数＝年初预算数＋预算调增数－预算调减数</w:t>
      </w:r>
      <w:r>
        <w:rPr>
          <w:rFonts w:hint="eastAsia" w:ascii="仿宋_GB2312" w:hAnsi="宋体" w:eastAsia="仿宋_GB2312"/>
          <w:bCs/>
          <w:sz w:val="32"/>
          <w:szCs w:val="32"/>
        </w:rPr>
        <w:t>。</w:t>
      </w:r>
    </w:p>
    <w:sectPr>
      <w:footerReference r:id="rId3" w:type="default"/>
      <w:pgSz w:w="11906" w:h="16838"/>
      <w:pgMar w:top="1440" w:right="1800" w:bottom="1440" w:left="1380" w:header="851" w:footer="992" w:gutter="0"/>
      <w:cols w:space="0" w:num="1"/>
      <w:titlePg/>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2975718"/>
      <w:docPartObj>
        <w:docPartGallery w:val="autotext"/>
      </w:docPartObj>
    </w:sdtPr>
    <w:sdtContent>
      <w:p>
        <w:pPr>
          <w:pStyle w:val="4"/>
          <w:jc w:val="center"/>
        </w:pPr>
        <w:r>
          <w:fldChar w:fldCharType="begin"/>
        </w:r>
        <w:r>
          <w:instrText xml:space="preserve">PAGE   \* MERGEFORMAT</w:instrText>
        </w:r>
        <w:r>
          <w:fldChar w:fldCharType="separate"/>
        </w:r>
        <w:r>
          <w:rPr>
            <w:lang w:val="zh-CN"/>
          </w:rPr>
          <w:t>18</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8E1CB"/>
    <w:multiLevelType w:val="singleLevel"/>
    <w:tmpl w:val="2A08E1C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HorizontalSpacing w:val="105"/>
  <w:drawingGridVerticalSpacing w:val="31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AA6038"/>
    <w:rsid w:val="00050E89"/>
    <w:rsid w:val="00146787"/>
    <w:rsid w:val="00164001"/>
    <w:rsid w:val="00166E3C"/>
    <w:rsid w:val="001B3406"/>
    <w:rsid w:val="001D7568"/>
    <w:rsid w:val="002424C8"/>
    <w:rsid w:val="00283CB6"/>
    <w:rsid w:val="002A7893"/>
    <w:rsid w:val="003364E9"/>
    <w:rsid w:val="00427EC1"/>
    <w:rsid w:val="00452E2E"/>
    <w:rsid w:val="004B6D6E"/>
    <w:rsid w:val="00504B80"/>
    <w:rsid w:val="005F0D12"/>
    <w:rsid w:val="00637D82"/>
    <w:rsid w:val="007A115D"/>
    <w:rsid w:val="008015FE"/>
    <w:rsid w:val="00813F4A"/>
    <w:rsid w:val="008D481B"/>
    <w:rsid w:val="009C0506"/>
    <w:rsid w:val="00AB4A0E"/>
    <w:rsid w:val="00B37EA8"/>
    <w:rsid w:val="00B80654"/>
    <w:rsid w:val="00C2225D"/>
    <w:rsid w:val="00E8111E"/>
    <w:rsid w:val="00EC0B1D"/>
    <w:rsid w:val="00F61B04"/>
    <w:rsid w:val="013B79AC"/>
    <w:rsid w:val="03D81C71"/>
    <w:rsid w:val="04EB03F6"/>
    <w:rsid w:val="05D31F40"/>
    <w:rsid w:val="0A2F46A7"/>
    <w:rsid w:val="0BF421D1"/>
    <w:rsid w:val="0BFF6CC2"/>
    <w:rsid w:val="0E1035AC"/>
    <w:rsid w:val="0F260014"/>
    <w:rsid w:val="11F72071"/>
    <w:rsid w:val="125E2600"/>
    <w:rsid w:val="12986545"/>
    <w:rsid w:val="132E46A0"/>
    <w:rsid w:val="14411117"/>
    <w:rsid w:val="1586116E"/>
    <w:rsid w:val="18BB4AD7"/>
    <w:rsid w:val="196C1791"/>
    <w:rsid w:val="19B759D5"/>
    <w:rsid w:val="1AA658F5"/>
    <w:rsid w:val="1B4A3FDA"/>
    <w:rsid w:val="1B524C98"/>
    <w:rsid w:val="1C5E2F73"/>
    <w:rsid w:val="1C681E49"/>
    <w:rsid w:val="1D6E0C0D"/>
    <w:rsid w:val="1F9223C7"/>
    <w:rsid w:val="1FBA7626"/>
    <w:rsid w:val="221C15BB"/>
    <w:rsid w:val="29785A6B"/>
    <w:rsid w:val="2CEE44BF"/>
    <w:rsid w:val="2D1F3974"/>
    <w:rsid w:val="30EC4915"/>
    <w:rsid w:val="31AA6038"/>
    <w:rsid w:val="33456238"/>
    <w:rsid w:val="33887EE3"/>
    <w:rsid w:val="34677C61"/>
    <w:rsid w:val="35F0741E"/>
    <w:rsid w:val="36B121A1"/>
    <w:rsid w:val="391B6187"/>
    <w:rsid w:val="3B121AD1"/>
    <w:rsid w:val="3CFD0D2E"/>
    <w:rsid w:val="3D965E58"/>
    <w:rsid w:val="41603979"/>
    <w:rsid w:val="41660AE3"/>
    <w:rsid w:val="43011B4A"/>
    <w:rsid w:val="4619368A"/>
    <w:rsid w:val="46465346"/>
    <w:rsid w:val="48AD0603"/>
    <w:rsid w:val="495A47C9"/>
    <w:rsid w:val="49EE7D59"/>
    <w:rsid w:val="4A850836"/>
    <w:rsid w:val="4CD93219"/>
    <w:rsid w:val="4D6E0FDF"/>
    <w:rsid w:val="4EE4307A"/>
    <w:rsid w:val="5153143F"/>
    <w:rsid w:val="52E350F4"/>
    <w:rsid w:val="54F12DEE"/>
    <w:rsid w:val="56901D49"/>
    <w:rsid w:val="577E18EF"/>
    <w:rsid w:val="585C4EC3"/>
    <w:rsid w:val="59084FEC"/>
    <w:rsid w:val="5A3D55FD"/>
    <w:rsid w:val="65956365"/>
    <w:rsid w:val="668C0EC0"/>
    <w:rsid w:val="6A10204E"/>
    <w:rsid w:val="6C0A6199"/>
    <w:rsid w:val="6C1137F8"/>
    <w:rsid w:val="735322A7"/>
    <w:rsid w:val="7388222D"/>
    <w:rsid w:val="75926953"/>
    <w:rsid w:val="75C31473"/>
    <w:rsid w:val="7C3E5E46"/>
    <w:rsid w:val="7E9E3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0"/>
    <w:pPr>
      <w:jc w:val="left"/>
    </w:pPr>
  </w:style>
  <w:style w:type="paragraph" w:styleId="3">
    <w:name w:val="Balloon Text"/>
    <w:basedOn w:val="1"/>
    <w:link w:val="14"/>
    <w:qFormat/>
    <w:uiPriority w:val="0"/>
    <w:rPr>
      <w:sz w:val="18"/>
      <w:szCs w:val="18"/>
    </w:rPr>
  </w:style>
  <w:style w:type="paragraph" w:styleId="4">
    <w:name w:val="footer"/>
    <w:basedOn w:val="1"/>
    <w:link w:val="16"/>
    <w:qFormat/>
    <w:uiPriority w:val="99"/>
    <w:pPr>
      <w:tabs>
        <w:tab w:val="center" w:pos="4153"/>
        <w:tab w:val="right" w:pos="8306"/>
      </w:tabs>
      <w:snapToGrid w:val="0"/>
      <w:jc w:val="left"/>
    </w:pPr>
    <w:rPr>
      <w:sz w:val="18"/>
    </w:rPr>
  </w:style>
  <w:style w:type="paragraph" w:styleId="5">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3"/>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qFormat/>
    <w:uiPriority w:val="0"/>
    <w:rPr>
      <w:sz w:val="21"/>
      <w:szCs w:val="21"/>
    </w:rPr>
  </w:style>
  <w:style w:type="character" w:customStyle="1" w:styleId="12">
    <w:name w:val="批注文字 Char"/>
    <w:basedOn w:val="10"/>
    <w:link w:val="2"/>
    <w:qFormat/>
    <w:uiPriority w:val="0"/>
    <w:rPr>
      <w:rFonts w:ascii="Calibri" w:hAnsi="Calibri" w:cs="黑体"/>
      <w:kern w:val="2"/>
      <w:sz w:val="21"/>
      <w:szCs w:val="24"/>
    </w:rPr>
  </w:style>
  <w:style w:type="character" w:customStyle="1" w:styleId="13">
    <w:name w:val="批注主题 Char"/>
    <w:basedOn w:val="12"/>
    <w:link w:val="7"/>
    <w:qFormat/>
    <w:uiPriority w:val="0"/>
    <w:rPr>
      <w:rFonts w:ascii="Calibri" w:hAnsi="Calibri" w:cs="黑体"/>
      <w:b/>
      <w:bCs/>
      <w:kern w:val="2"/>
      <w:sz w:val="21"/>
      <w:szCs w:val="24"/>
    </w:rPr>
  </w:style>
  <w:style w:type="character" w:customStyle="1" w:styleId="14">
    <w:name w:val="批注框文本 Char"/>
    <w:basedOn w:val="10"/>
    <w:link w:val="3"/>
    <w:qFormat/>
    <w:uiPriority w:val="0"/>
    <w:rPr>
      <w:rFonts w:ascii="Calibri" w:hAnsi="Calibri" w:cs="黑体"/>
      <w:kern w:val="2"/>
      <w:sz w:val="18"/>
      <w:szCs w:val="18"/>
    </w:rPr>
  </w:style>
  <w:style w:type="character" w:customStyle="1" w:styleId="15">
    <w:name w:val="页眉 Char"/>
    <w:basedOn w:val="10"/>
    <w:link w:val="5"/>
    <w:qFormat/>
    <w:uiPriority w:val="99"/>
    <w:rPr>
      <w:rFonts w:ascii="Calibri" w:hAnsi="Calibri" w:cs="黑体"/>
      <w:kern w:val="2"/>
      <w:sz w:val="18"/>
      <w:szCs w:val="24"/>
    </w:rPr>
  </w:style>
  <w:style w:type="character" w:customStyle="1" w:styleId="16">
    <w:name w:val="页脚 Char"/>
    <w:basedOn w:val="10"/>
    <w:link w:val="4"/>
    <w:qFormat/>
    <w:uiPriority w:val="99"/>
    <w:rPr>
      <w:rFonts w:ascii="Calibri" w:hAnsi="Calibri" w:cs="黑体"/>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2.xml.rels><?xml version="1.0" encoding="UTF-8" standalone="yes"?>
<Relationships xmlns="http://schemas.openxmlformats.org/package/2006/relationships"><Relationship Id="rId4" Type="http://schemas.microsoft.com/office/2011/relationships/chartColorStyle" Target="colors2.xml"/><Relationship Id="rId3" Type="http://schemas.microsoft.com/office/2011/relationships/chartStyle" Target="style2.xml"/><Relationship Id="rId2" Type="http://schemas.openxmlformats.org/officeDocument/2006/relationships/themeOverride" Target="../theme/themeOverride1.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4" Type="http://schemas.microsoft.com/office/2011/relationships/chartColorStyle" Target="colors5.xml"/><Relationship Id="rId3" Type="http://schemas.microsoft.com/office/2011/relationships/chartStyle" Target="style5.xml"/><Relationship Id="rId2" Type="http://schemas.openxmlformats.org/officeDocument/2006/relationships/themeOverride" Target="../theme/themeOverride2.xml"/><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spc="120" normalizeH="0" baseline="0">
                <a:solidFill>
                  <a:schemeClr val="tx1">
                    <a:lumMod val="65000"/>
                    <a:lumOff val="35000"/>
                  </a:schemeClr>
                </a:solidFill>
                <a:latin typeface="+mn-lt"/>
                <a:ea typeface="+mn-ea"/>
                <a:cs typeface="+mn-cs"/>
              </a:defRPr>
            </a:pPr>
            <a:r>
              <a:t>收入支出总体情况表</a:t>
            </a:r>
          </a:p>
        </c:rich>
      </c:tx>
      <c:layout>
        <c:manualLayout>
          <c:xMode val="edge"/>
          <c:yMode val="edge"/>
          <c:x val="0.0783333333333333"/>
          <c:y val="0.03125"/>
        </c:manualLayout>
      </c:layout>
      <c:overlay val="0"/>
      <c:spPr>
        <a:noFill/>
        <a:ln>
          <a:noFill/>
        </a:ln>
        <a:effectLst/>
      </c:spPr>
    </c:title>
    <c:autoTitleDeleted val="0"/>
    <c:plotArea>
      <c:layout>
        <c:manualLayout>
          <c:layoutTarget val="inner"/>
          <c:xMode val="edge"/>
          <c:yMode val="edge"/>
          <c:x val="0.08675"/>
          <c:y val="0.188773148148148"/>
          <c:w val="0.859777777777778"/>
          <c:h val="0.595115740740741"/>
        </c:manualLayout>
      </c:layout>
      <c:barChart>
        <c:barDir val="col"/>
        <c:grouping val="clustered"/>
        <c:varyColors val="0"/>
        <c:ser>
          <c:idx val="0"/>
          <c:order val="0"/>
          <c:tx>
            <c:strRef>
              <c:f>Sheet1!$B$1</c:f>
              <c:strCache>
                <c:ptCount val="1"/>
                <c:pt idx="0">
                  <c:v>2019年</c:v>
                </c:pt>
              </c:strCache>
            </c:strRef>
          </c:tx>
          <c:spPr>
            <a:solidFill>
              <a:schemeClr val="accent1"/>
            </a:solidFill>
            <a:ln>
              <a:noFill/>
            </a:ln>
            <a:effectLst/>
          </c:spPr>
          <c:invertIfNegative val="0"/>
          <c:dLbls>
            <c:dLbl>
              <c:idx val="0"/>
              <c:layout/>
              <c:tx>
                <c:rich>
                  <a:bodyPr rot="-5400000" spcFirstLastPara="1" vertOverflow="clip" horzOverflow="clip" vert="horz" wrap="square" lIns="38100" tIns="19050" rIns="38100" bIns="19050" anchor="ctr" anchorCtr="1">
                    <a:spAutoFit/>
                  </a:bodyPr>
                  <a:lstStyle/>
                  <a:p>
                    <a:pPr defTabSz="914400">
                      <a:defRPr lang="zh-CN" sz="800" b="0" i="0" u="none" strike="noStrike" kern="1200" baseline="0">
                        <a:solidFill>
                          <a:schemeClr val="tx1">
                            <a:lumMod val="50000"/>
                            <a:lumOff val="50000"/>
                          </a:schemeClr>
                        </a:solidFill>
                        <a:latin typeface="+mn-lt"/>
                        <a:ea typeface="+mn-ea"/>
                        <a:cs typeface="+mn-cs"/>
                      </a:defRPr>
                    </a:pPr>
                    <a:r>
                      <a:t>1,</a:t>
                    </a:r>
                    <a:r>
                      <a:rPr lang="en-US" altLang="zh-CN"/>
                      <a:t>111.15</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5400000" spcFirstLastPara="1" vertOverflow="clip" horzOverflow="clip" vert="horz" wrap="square" lIns="38100" tIns="19050" rIns="38100" bIns="19050" anchor="ctr" anchorCtr="1">
                    <a:spAutoFit/>
                  </a:bodyPr>
                  <a:lstStyle/>
                  <a:p>
                    <a:pPr defTabSz="914400">
                      <a:defRPr lang="zh-CN" sz="800" b="0" i="0" u="none" strike="noStrike" kern="1200" baseline="0">
                        <a:solidFill>
                          <a:schemeClr val="tx1">
                            <a:lumMod val="50000"/>
                            <a:lumOff val="50000"/>
                          </a:schemeClr>
                        </a:solidFill>
                        <a:latin typeface="+mn-lt"/>
                        <a:ea typeface="+mn-ea"/>
                        <a:cs typeface="+mn-cs"/>
                      </a:defRPr>
                    </a:pPr>
                    <a:r>
                      <a:rPr lang="en-US" altLang="zh-CN"/>
                      <a:t>1111.15</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spcFirstLastPara="1" vertOverflow="clip" horzOverflow="clip" vert="horz" wrap="square" lIns="38100" tIns="19050" rIns="38100" bIns="19050" anchor="ctr" anchorCtr="1">
                <a:spAutoFit/>
              </a:bodyPr>
              <a:lstStyle/>
              <a:p>
                <a:pPr>
                  <a:defRPr lang="zh-CN" sz="8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tx1">
                          <a:lumMod val="35000"/>
                          <a:lumOff val="65000"/>
                        </a:schemeClr>
                      </a:solidFill>
                    </a:ln>
                    <a:effectLst/>
                  </c:spPr>
                </c15:leaderLines>
              </c:ext>
            </c:extLst>
          </c:dLbls>
          <c:cat>
            <c:strRef>
              <c:f>Sheet1!$A$2:$A$3</c:f>
              <c:strCache>
                <c:ptCount val="2"/>
                <c:pt idx="0">
                  <c:v>收入（万元）</c:v>
                </c:pt>
                <c:pt idx="1">
                  <c:v>支出（万元）</c:v>
                </c:pt>
              </c:strCache>
            </c:strRef>
          </c:cat>
          <c:val>
            <c:numRef>
              <c:f>Sheet1!$B$2:$B$3</c:f>
              <c:numCache>
                <c:formatCode>#,##0.00</c:formatCode>
                <c:ptCount val="2"/>
                <c:pt idx="0">
                  <c:v>1841.07</c:v>
                </c:pt>
                <c:pt idx="1">
                  <c:v>1841.07</c:v>
                </c:pt>
              </c:numCache>
            </c:numRef>
          </c:val>
        </c:ser>
        <c:ser>
          <c:idx val="1"/>
          <c:order val="1"/>
          <c:tx>
            <c:strRef>
              <c:f>Sheet1!$C$1</c:f>
              <c:strCache>
                <c:ptCount val="1"/>
                <c:pt idx="0">
                  <c:v>2018年</c:v>
                </c:pt>
              </c:strCache>
            </c:strRef>
          </c:tx>
          <c:spPr>
            <a:solidFill>
              <a:schemeClr val="accent2"/>
            </a:solidFill>
            <a:ln>
              <a:noFill/>
            </a:ln>
            <a:effectLst/>
          </c:spPr>
          <c:invertIfNegative val="0"/>
          <c:dLbls>
            <c:dLbl>
              <c:idx val="0"/>
              <c:layout/>
              <c:tx>
                <c:rich>
                  <a:bodyPr rot="-5400000" spcFirstLastPara="1" vertOverflow="clip" horzOverflow="clip" vert="horz" wrap="square" lIns="38100" tIns="19050" rIns="38100" bIns="19050" anchor="ctr" anchorCtr="1">
                    <a:spAutoFit/>
                  </a:bodyPr>
                  <a:lstStyle/>
                  <a:p>
                    <a:pPr defTabSz="914400">
                      <a:defRPr lang="zh-CN" sz="800" b="0" i="0" u="none" strike="noStrike" kern="1200" baseline="0">
                        <a:solidFill>
                          <a:schemeClr val="tx1">
                            <a:lumMod val="50000"/>
                            <a:lumOff val="50000"/>
                          </a:schemeClr>
                        </a:solidFill>
                        <a:latin typeface="+mn-lt"/>
                        <a:ea typeface="+mn-ea"/>
                        <a:cs typeface="+mn-cs"/>
                      </a:defRPr>
                    </a:pPr>
                    <a:r>
                      <a:rPr lang="en-US" altLang="zh-CN"/>
                      <a:t>954.28</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5400000" spcFirstLastPara="1" vertOverflow="clip" horzOverflow="clip" vert="horz" wrap="square" lIns="38100" tIns="19050" rIns="38100" bIns="19050" anchor="ctr" anchorCtr="1">
                    <a:spAutoFit/>
                  </a:bodyPr>
                  <a:lstStyle/>
                  <a:p>
                    <a:pPr defTabSz="914400">
                      <a:defRPr lang="zh-CN" sz="800" b="0" i="0" u="none" strike="noStrike" kern="1200" baseline="0">
                        <a:solidFill>
                          <a:schemeClr val="tx1">
                            <a:lumMod val="50000"/>
                            <a:lumOff val="50000"/>
                          </a:schemeClr>
                        </a:solidFill>
                        <a:latin typeface="+mn-lt"/>
                        <a:ea typeface="+mn-ea"/>
                        <a:cs typeface="+mn-cs"/>
                      </a:defRPr>
                    </a:pPr>
                    <a:r>
                      <a:rPr lang="en-US" altLang="zh-CN"/>
                      <a:t>954.28</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spcFirstLastPara="1" vertOverflow="clip" horzOverflow="clip" vert="horz" wrap="square" lIns="38100" tIns="19050" rIns="38100" bIns="19050" anchor="ctr" anchorCtr="1">
                <a:spAutoFit/>
              </a:bodyPr>
              <a:lstStyle/>
              <a:p>
                <a:pPr>
                  <a:defRPr lang="zh-CN" sz="8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tx1">
                          <a:lumMod val="35000"/>
                          <a:lumOff val="65000"/>
                        </a:schemeClr>
                      </a:solidFill>
                    </a:ln>
                    <a:effectLst/>
                  </c:spPr>
                </c15:leaderLines>
              </c:ext>
            </c:extLst>
          </c:dLbls>
          <c:cat>
            <c:strRef>
              <c:f>Sheet1!$A$2:$A$3</c:f>
              <c:strCache>
                <c:ptCount val="2"/>
                <c:pt idx="0">
                  <c:v>收入（万元）</c:v>
                </c:pt>
                <c:pt idx="1">
                  <c:v>支出（万元）</c:v>
                </c:pt>
              </c:strCache>
            </c:strRef>
          </c:cat>
          <c:val>
            <c:numRef>
              <c:f>Sheet1!$C$2:$C$3</c:f>
              <c:numCache>
                <c:formatCode>#,##0.00</c:formatCode>
                <c:ptCount val="2"/>
                <c:pt idx="0">
                  <c:v>1058.91</c:v>
                </c:pt>
                <c:pt idx="1">
                  <c:v>1058.91</c:v>
                </c:pt>
              </c:numCache>
            </c:numRef>
          </c:val>
        </c:ser>
        <c:ser>
          <c:idx val="2"/>
          <c:order val="2"/>
          <c:tx>
            <c:strRef>
              <c:f>Sheet1!#REF!</c:f>
              <c:strCache>
                <c:ptCount val="1"/>
                <c:pt idx="0">
                  <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zh-CN" sz="8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tx1">
                          <a:lumMod val="35000"/>
                          <a:lumOff val="65000"/>
                        </a:schemeClr>
                      </a:solidFill>
                    </a:ln>
                    <a:effectLst/>
                  </c:spPr>
                </c15:leaderLines>
              </c:ext>
            </c:extLst>
          </c:dLbls>
          <c:cat>
            <c:strRef>
              <c:f>Sheet1!$A$2:$A$3</c:f>
              <c:strCache>
                <c:ptCount val="2"/>
                <c:pt idx="0">
                  <c:v>收入（万元）</c:v>
                </c:pt>
                <c:pt idx="1">
                  <c:v>支出（万元）</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444"/>
        <c:overlap val="-90"/>
        <c:axId val="82467414"/>
        <c:axId val="76181017"/>
      </c:barChart>
      <c:catAx>
        <c:axId val="8246741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800" b="0" i="0" u="none" strike="noStrike" kern="1200" cap="all" spc="120" normalizeH="0" baseline="0">
                <a:solidFill>
                  <a:schemeClr val="tx1">
                    <a:lumMod val="65000"/>
                    <a:lumOff val="35000"/>
                  </a:schemeClr>
                </a:solidFill>
                <a:latin typeface="+mn-lt"/>
                <a:ea typeface="+mn-ea"/>
                <a:cs typeface="+mn-cs"/>
              </a:defRPr>
            </a:pPr>
          </a:p>
        </c:txPr>
        <c:crossAx val="76181017"/>
        <c:crosses val="autoZero"/>
        <c:auto val="1"/>
        <c:lblAlgn val="ctr"/>
        <c:lblOffset val="100"/>
        <c:noMultiLvlLbl val="0"/>
      </c:catAx>
      <c:valAx>
        <c:axId val="76181017"/>
        <c:scaling>
          <c:orientation val="minMax"/>
        </c:scaling>
        <c:delete val="1"/>
        <c:axPos val="l"/>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467414"/>
        <c:crosses val="autoZero"/>
        <c:crossBetween val="between"/>
      </c:valAx>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1" i="0" u="none" strike="noStrike" kern="1200" spc="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r>
              <a:t>收入合计</a:t>
            </a:r>
          </a:p>
        </c:rich>
      </c:tx>
      <c:layout/>
      <c:overlay val="0"/>
      <c:spPr>
        <a:noFill/>
        <a:ln>
          <a:noFill/>
        </a:ln>
        <a:effectLst/>
      </c:spPr>
    </c:title>
    <c:autoTitleDeleted val="0"/>
    <c:plotArea>
      <c:layout/>
      <c:pieChart>
        <c:varyColors val="1"/>
        <c:ser>
          <c:idx val="0"/>
          <c:order val="0"/>
          <c:tx>
            <c:strRef>
              <c:f>Sheet1!$B$1</c:f>
              <c:strCache>
                <c:ptCount val="1"/>
                <c:pt idx="0">
                  <c:v>系列 1</c:v>
                </c:pt>
              </c:strCache>
            </c:strRef>
          </c:tx>
          <c:spPr>
            <a:ln w="6350">
              <a:solidFill>
                <a:schemeClr val="bg1"/>
              </a:solidFill>
            </a:ln>
            <a:effectLst>
              <a:outerShdw blurRad="50800" dist="50800" dir="1200000" algn="ctr" rotWithShape="0">
                <a:schemeClr val="bg1">
                  <a:lumMod val="75000"/>
                  <a:alpha val="43000"/>
                </a:schemeClr>
              </a:outerShdw>
            </a:effectLst>
          </c:spPr>
          <c:explosion val="0"/>
          <c:dPt>
            <c:idx val="0"/>
            <c:bubble3D val="0"/>
            <c:spPr>
              <a:solidFill>
                <a:srgbClr val="EA6062"/>
              </a:solidFill>
              <a:ln w="6350">
                <a:solidFill>
                  <a:schemeClr val="bg1"/>
                </a:solidFill>
              </a:ln>
              <a:effectLst>
                <a:outerShdw blurRad="50800" dist="50800" dir="1200000" algn="ctr" rotWithShape="0">
                  <a:schemeClr val="bg1">
                    <a:lumMod val="75000"/>
                    <a:alpha val="43000"/>
                  </a:schemeClr>
                </a:outerShdw>
              </a:effectLst>
            </c:spPr>
          </c:dPt>
          <c:dLbls>
            <c:numFmt formatCode="General" sourceLinked="1"/>
            <c:spPr>
              <a:noFill/>
              <a:ln>
                <a:noFill/>
              </a:ln>
              <a:effectLst/>
            </c:spPr>
            <c:txPr>
              <a:bodyPr rot="0" spcFirstLastPara="0" vertOverflow="ellipsis" vert="horz" wrap="square" lIns="38100" tIns="19050" rIns="38100" bIns="19050" anchor="ctr" anchorCtr="1" forceAA="0"/>
              <a:lstStyle/>
              <a:p>
                <a:pPr>
                  <a:defRPr lang="zh-CN" sz="800" b="0" i="0" u="none" strike="noStrike" kern="1200" baseline="0">
                    <a:solidFill>
                      <a:schemeClr val="bg1">
                        <a:lumMod val="9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财政拨款收入</c:v>
                </c:pt>
              </c:strCache>
            </c:strRef>
          </c:cat>
          <c:val>
            <c:numRef>
              <c:f>Sheet1!$B$2</c:f>
              <c:numCache>
                <c:formatCode>General</c:formatCode>
                <c:ptCount val="1"/>
                <c:pt idx="0">
                  <c:v>4.3</c:v>
                </c:pt>
              </c:numCache>
            </c:numRef>
          </c:val>
        </c:ser>
        <c:ser>
          <c:idx val="1"/>
          <c:order val="1"/>
          <c:tx>
            <c:strRef>
              <c:f>Sheet1!#REF!</c:f>
              <c:strCache>
                <c:ptCount val="1"/>
                <c:pt idx="0">
                  <c:v/>
                </c:pt>
              </c:strCache>
            </c:strRef>
          </c:tx>
          <c:spPr>
            <a:ln w="6350">
              <a:solidFill>
                <a:schemeClr val="bg1"/>
              </a:solidFill>
            </a:ln>
            <a:effectLst>
              <a:outerShdw blurRad="50800" dist="50800" dir="1200000" algn="ctr" rotWithShape="0">
                <a:schemeClr val="bg1">
                  <a:lumMod val="75000"/>
                  <a:alpha val="43000"/>
                </a:schemeClr>
              </a:outerShdw>
            </a:effectLst>
          </c:spPr>
          <c:explosion val="0"/>
          <c:dPt>
            <c:idx val="0"/>
            <c:bubble3D val="0"/>
            <c:spPr>
              <a:solidFill>
                <a:srgbClr val="EA6062"/>
              </a:solidFill>
              <a:ln w="6350">
                <a:solidFill>
                  <a:schemeClr val="bg1"/>
                </a:solidFill>
              </a:ln>
              <a:effectLst>
                <a:outerShdw blurRad="50800" dist="50800" dir="1200000" algn="ctr" rotWithShape="0">
                  <a:schemeClr val="bg1">
                    <a:lumMod val="75000"/>
                    <a:alpha val="43000"/>
                  </a:schemeClr>
                </a:outerShdw>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财政拨款收入</c:v>
                </c:pt>
              </c:strCache>
            </c:strRef>
          </c:cat>
          <c:val>
            <c:numRef>
              <c:f>Sheet1!#REF!</c:f>
              <c:numCache>
                <c:formatCode>General</c:formatCode>
                <c:ptCount val="1"/>
                <c:pt idx="0">
                  <c:v>1</c:v>
                </c:pt>
              </c:numCache>
            </c:numRef>
          </c:val>
        </c:ser>
        <c:ser>
          <c:idx val="2"/>
          <c:order val="2"/>
          <c:tx>
            <c:strRef>
              <c:f>Sheet1!#REF!</c:f>
              <c:strCache>
                <c:ptCount val="1"/>
                <c:pt idx="0">
                  <c:v/>
                </c:pt>
              </c:strCache>
            </c:strRef>
          </c:tx>
          <c:spPr>
            <a:ln w="6350">
              <a:solidFill>
                <a:schemeClr val="bg1"/>
              </a:solidFill>
            </a:ln>
            <a:effectLst>
              <a:outerShdw blurRad="50800" dist="50800" dir="1200000" algn="ctr" rotWithShape="0">
                <a:schemeClr val="bg1">
                  <a:lumMod val="75000"/>
                  <a:alpha val="43000"/>
                </a:schemeClr>
              </a:outerShdw>
            </a:effectLst>
          </c:spPr>
          <c:explosion val="0"/>
          <c:dPt>
            <c:idx val="0"/>
            <c:bubble3D val="0"/>
            <c:spPr>
              <a:solidFill>
                <a:srgbClr val="EA6062"/>
              </a:solidFill>
              <a:ln w="6350">
                <a:solidFill>
                  <a:schemeClr val="bg1"/>
                </a:solidFill>
              </a:ln>
              <a:effectLst>
                <a:outerShdw blurRad="50800" dist="50800" dir="1200000" algn="ctr" rotWithShape="0">
                  <a:schemeClr val="bg1">
                    <a:lumMod val="75000"/>
                    <a:alpha val="43000"/>
                  </a:schemeClr>
                </a:outerShdw>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财政拨款收入</c:v>
                </c:pt>
              </c:strCache>
            </c:strRef>
          </c:cat>
          <c:val>
            <c:numRef>
              <c:f>Sheet1!#REF!</c:f>
              <c:numCache>
                <c:formatCode>General</c:formatCode>
                <c:ptCount val="1"/>
                <c:pt idx="0">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legend>
    <c:plotVisOnly val="1"/>
    <c:dispBlanksAs val="gap"/>
    <c:showDLblsOverMax val="0"/>
  </c:chart>
  <c:spPr>
    <a:solidFill>
      <a:schemeClr val="bg1"/>
    </a:solidFill>
    <a:ln w="9525" cap="flat" cmpd="sng" algn="ctr">
      <a:solidFill>
        <a:schemeClr val="bg1">
          <a:lumMod val="85000"/>
        </a:schemeClr>
      </a:solidFill>
      <a:round/>
    </a:ln>
    <a:effectLst>
      <a:outerShdw blurRad="63500" dist="37357" dir="2700000" sx="0" sy="0" rotWithShape="0">
        <a:scrgbClr r="0" g="0" b="0"/>
      </a:outerShdw>
    </a:effectLst>
  </c:spPr>
  <c:txPr>
    <a:bodyPr/>
    <a:lstStyle/>
    <a:p>
      <a:pPr>
        <a:defRPr lang="zh-CN">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1" i="0" u="none" strike="noStrike" kern="1200" spc="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r>
              <a:t>支出合计</a:t>
            </a:r>
          </a:p>
        </c:rich>
      </c:tx>
      <c:layout/>
      <c:overlay val="0"/>
      <c:spPr>
        <a:noFill/>
        <a:ln>
          <a:noFill/>
        </a:ln>
        <a:effectLst/>
      </c:spPr>
    </c:title>
    <c:autoTitleDeleted val="0"/>
    <c:plotArea>
      <c:layout/>
      <c:pieChart>
        <c:varyColors val="1"/>
        <c:ser>
          <c:idx val="0"/>
          <c:order val="0"/>
          <c:tx>
            <c:strRef>
              <c:f>Sheet1!$B$1</c:f>
              <c:strCache>
                <c:ptCount val="1"/>
                <c:pt idx="0">
                  <c:v>系列 1</c:v>
                </c:pt>
              </c:strCache>
            </c:strRef>
          </c:tx>
          <c:spPr>
            <a:ln w="6350">
              <a:solidFill>
                <a:schemeClr val="bg1"/>
              </a:solidFill>
            </a:ln>
            <a:effectLst>
              <a:outerShdw blurRad="50800" dist="50800" dir="1200000" algn="ctr" rotWithShape="0">
                <a:schemeClr val="bg1">
                  <a:lumMod val="75000"/>
                  <a:alpha val="43000"/>
                </a:schemeClr>
              </a:outerShdw>
            </a:effectLst>
          </c:spPr>
          <c:explosion val="0"/>
          <c:dPt>
            <c:idx val="0"/>
            <c:bubble3D val="0"/>
            <c:spPr>
              <a:solidFill>
                <a:srgbClr val="EA6062"/>
              </a:solidFill>
              <a:ln w="6350">
                <a:solidFill>
                  <a:schemeClr val="bg1"/>
                </a:solidFill>
              </a:ln>
              <a:effectLst>
                <a:outerShdw blurRad="50800" dist="50800" dir="1200000" algn="ctr" rotWithShape="0">
                  <a:schemeClr val="bg1">
                    <a:lumMod val="75000"/>
                    <a:alpha val="43000"/>
                  </a:schemeClr>
                </a:outerShdw>
              </a:effectLst>
            </c:spPr>
          </c:dPt>
          <c:dPt>
            <c:idx val="1"/>
            <c:bubble3D val="0"/>
            <c:spPr>
              <a:solidFill>
                <a:schemeClr val="accent2"/>
              </a:solidFill>
              <a:ln w="6350">
                <a:solidFill>
                  <a:schemeClr val="bg1"/>
                </a:solidFill>
              </a:ln>
              <a:effectLst>
                <a:outerShdw blurRad="50800" dist="50800" dir="1200000" algn="ctr" rotWithShape="0">
                  <a:schemeClr val="bg1">
                    <a:lumMod val="75000"/>
                    <a:alpha val="43000"/>
                  </a:schemeClr>
                </a:outerShdw>
              </a:effectLst>
            </c:spPr>
          </c:dPt>
          <c:dLbls>
            <c:dLbl>
              <c:idx val="0"/>
              <c:layout/>
              <c:numFmt formatCode="General" sourceLinked="1"/>
              <c:spPr>
                <a:noFill/>
                <a:ln>
                  <a:noFill/>
                </a:ln>
                <a:effectLst/>
              </c:spPr>
              <c:txPr>
                <a:bodyPr rot="0" spcFirstLastPara="0" vertOverflow="ellipsis" vert="horz" wrap="square" lIns="38100" tIns="19050" rIns="38100" bIns="19050" anchor="ctr" anchorCtr="1" forceAA="0"/>
                <a:lstStyle/>
                <a:p>
                  <a:pPr>
                    <a:defRPr lang="zh-CN" sz="800" b="0" i="0" u="none" strike="noStrike" kern="1200" baseline="0">
                      <a:solidFill>
                        <a:schemeClr val="bg1">
                          <a:lumMod val="9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dLblPos val="inEnd"/>
              <c:showLegendKey val="0"/>
              <c:showVal val="0"/>
              <c:showCatName val="0"/>
              <c:showSerName val="0"/>
              <c:showPercent val="1"/>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0" vertOverflow="ellipsis" vert="horz" wrap="square" lIns="38100" tIns="19050" rIns="38100" bIns="19050" anchor="ctr" anchorCtr="1" forceAA="0"/>
                <a:lstStyle/>
                <a:p>
                  <a:pPr>
                    <a:defRPr lang="zh-CN" sz="800" b="0" i="0" u="none" strike="noStrike" kern="1200" baseline="0">
                      <a:solidFill>
                        <a:schemeClr val="bg1">
                          <a:lumMod val="9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dLblPos val="inEnd"/>
              <c:showLegendKey val="0"/>
              <c:showVal val="0"/>
              <c:showCatName val="0"/>
              <c:showSerName val="0"/>
              <c:showPercent val="1"/>
              <c:showBubbleSize val="0"/>
              <c:extLst>
                <c:ext xmlns:c15="http://schemas.microsoft.com/office/drawing/2012/chart" uri="{CE6537A1-D6FC-4f65-9D91-7224C49458BB}"/>
              </c:extLst>
            </c:dLbl>
            <c:numFmt formatCode="General" sourceLinked="1"/>
            <c:spPr>
              <a:noFill/>
              <a:ln>
                <a:noFill/>
              </a:ln>
              <a:effectLst/>
            </c:spPr>
            <c:txPr>
              <a:bodyPr rot="0" spcFirstLastPara="0" vertOverflow="ellipsis" vert="horz" wrap="square" lIns="38100" tIns="19050" rIns="38100" bIns="19050" anchor="ctr" anchorCtr="1" forceAA="0"/>
              <a:lstStyle/>
              <a:p>
                <a:pPr>
                  <a:defRPr lang="zh-CN" sz="800" b="0" i="0" u="none" strike="noStrike" kern="1200" baseline="0">
                    <a:solidFill>
                      <a:schemeClr val="bg1">
                        <a:lumMod val="9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918.29</c:v>
                </c:pt>
                <c:pt idx="1">
                  <c:v>922.78</c:v>
                </c:pt>
              </c:numCache>
            </c:numRef>
          </c:val>
        </c:ser>
        <c:ser>
          <c:idx val="1"/>
          <c:order val="1"/>
          <c:tx>
            <c:strRef>
              <c:f>Sheet1!#REF!</c:f>
              <c:strCache>
                <c:ptCount val="1"/>
                <c:pt idx="0">
                  <c:v/>
                </c:pt>
              </c:strCache>
            </c:strRef>
          </c:tx>
          <c:spPr>
            <a:ln w="6350">
              <a:solidFill>
                <a:schemeClr val="bg1"/>
              </a:solidFill>
            </a:ln>
            <a:effectLst>
              <a:outerShdw blurRad="50800" dist="50800" dir="1200000" algn="ctr" rotWithShape="0">
                <a:schemeClr val="bg1">
                  <a:lumMod val="75000"/>
                  <a:alpha val="43000"/>
                </a:schemeClr>
              </a:outerShdw>
            </a:effectLst>
          </c:spPr>
          <c:explosion val="0"/>
          <c:dPt>
            <c:idx val="0"/>
            <c:bubble3D val="0"/>
            <c:spPr>
              <a:solidFill>
                <a:srgbClr val="EA6062"/>
              </a:solidFill>
              <a:ln w="6350">
                <a:solidFill>
                  <a:schemeClr val="bg1"/>
                </a:solidFill>
              </a:ln>
              <a:effectLst>
                <a:outerShdw blurRad="50800" dist="50800" dir="1200000" algn="ctr" rotWithShape="0">
                  <a:schemeClr val="bg1">
                    <a:lumMod val="75000"/>
                    <a:alpha val="43000"/>
                  </a:schemeClr>
                </a:outerShdw>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Sheet1!#REF!</c:f>
              <c:numCache>
                <c:formatCode>General</c:formatCode>
                <c:ptCount val="1"/>
                <c:pt idx="0">
                  <c:v>1</c:v>
                </c:pt>
              </c:numCache>
            </c:numRef>
          </c:val>
        </c:ser>
        <c:ser>
          <c:idx val="2"/>
          <c:order val="2"/>
          <c:tx>
            <c:strRef>
              <c:f>Sheet1!#REF!</c:f>
              <c:strCache>
                <c:ptCount val="1"/>
                <c:pt idx="0">
                  <c:v/>
                </c:pt>
              </c:strCache>
            </c:strRef>
          </c:tx>
          <c:spPr>
            <a:ln w="6350">
              <a:solidFill>
                <a:schemeClr val="bg1"/>
              </a:solidFill>
            </a:ln>
            <a:effectLst>
              <a:outerShdw blurRad="50800" dist="50800" dir="1200000" algn="ctr" rotWithShape="0">
                <a:schemeClr val="bg1">
                  <a:lumMod val="75000"/>
                  <a:alpha val="43000"/>
                </a:schemeClr>
              </a:outerShdw>
            </a:effectLst>
          </c:spPr>
          <c:explosion val="0"/>
          <c:dPt>
            <c:idx val="0"/>
            <c:bubble3D val="0"/>
            <c:spPr>
              <a:solidFill>
                <a:srgbClr val="EA6062"/>
              </a:solidFill>
              <a:ln w="6350">
                <a:solidFill>
                  <a:schemeClr val="bg1"/>
                </a:solidFill>
              </a:ln>
              <a:effectLst>
                <a:outerShdw blurRad="50800" dist="50800" dir="1200000" algn="ctr" rotWithShape="0">
                  <a:schemeClr val="bg1">
                    <a:lumMod val="75000"/>
                    <a:alpha val="43000"/>
                  </a:schemeClr>
                </a:outerShdw>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Sheet1!#REF!</c:f>
              <c:numCache>
                <c:formatCode>General</c:formatCode>
                <c:ptCount val="1"/>
                <c:pt idx="0">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legend>
    <c:plotVisOnly val="1"/>
    <c:dispBlanksAs val="gap"/>
    <c:showDLblsOverMax val="0"/>
  </c:chart>
  <c:spPr>
    <a:solidFill>
      <a:schemeClr val="bg1"/>
    </a:solidFill>
    <a:ln w="9525" cap="flat" cmpd="sng" algn="ctr">
      <a:solidFill>
        <a:schemeClr val="bg1">
          <a:lumMod val="85000"/>
        </a:schemeClr>
      </a:solidFill>
      <a:round/>
    </a:ln>
    <a:effectLst>
      <a:outerShdw blurRad="63500" dist="37357" dir="2700000" sx="0" sy="0" rotWithShape="0">
        <a:scrgbClr r="0" g="0" b="0"/>
      </a:outerShdw>
    </a:effectLst>
  </c:spPr>
  <c:txPr>
    <a:bodyPr/>
    <a:lstStyle/>
    <a:p>
      <a:pPr>
        <a:defRPr lang="zh-CN">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财政拨款收入支出情况表 </a:t>
            </a:r>
          </a:p>
        </c:rich>
      </c:tx>
      <c:layout>
        <c:manualLayout>
          <c:xMode val="edge"/>
          <c:yMode val="edge"/>
          <c:x val="0.0783333333333333"/>
          <c:y val="0.03125"/>
        </c:manualLayout>
      </c:layout>
      <c:overlay val="0"/>
      <c:spPr>
        <a:noFill/>
        <a:ln>
          <a:noFill/>
        </a:ln>
        <a:effectLst/>
      </c:spPr>
    </c:title>
    <c:autoTitleDeleted val="0"/>
    <c:plotArea>
      <c:layout>
        <c:manualLayout>
          <c:layoutTarget val="inner"/>
          <c:xMode val="edge"/>
          <c:yMode val="edge"/>
          <c:x val="0.08675"/>
          <c:y val="0.188773148148148"/>
          <c:w val="0.859777777777778"/>
          <c:h val="0.595115740740741"/>
        </c:manualLayout>
      </c:layout>
      <c:barChart>
        <c:barDir val="col"/>
        <c:grouping val="clustered"/>
        <c:varyColors val="0"/>
        <c:ser>
          <c:idx val="0"/>
          <c:order val="0"/>
          <c:tx>
            <c:strRef>
              <c:f>Sheet1!$B$1</c:f>
              <c:strCache>
                <c:ptCount val="1"/>
                <c:pt idx="0">
                  <c:v>财政拨款收入</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dk1">
                          <a:lumMod val="50000"/>
                          <a:lumOff val="50000"/>
                        </a:schemeClr>
                      </a:solidFill>
                    </a:ln>
                    <a:effectLst/>
                  </c:spPr>
                </c15:leaderLines>
              </c:ext>
            </c:extLst>
          </c:dLbls>
          <c:cat>
            <c:strRef>
              <c:f>Sheet1!$A$2:$A$3</c:f>
              <c:strCache>
                <c:ptCount val="2"/>
                <c:pt idx="0">
                  <c:v>2019年</c:v>
                </c:pt>
                <c:pt idx="1">
                  <c:v>2018年</c:v>
                </c:pt>
              </c:strCache>
            </c:strRef>
          </c:cat>
          <c:val>
            <c:numRef>
              <c:f>Sheet1!$B$2:$B$3</c:f>
              <c:numCache>
                <c:formatCode>#,##0.00</c:formatCode>
                <c:ptCount val="2"/>
                <c:pt idx="0">
                  <c:v>1111.15</c:v>
                </c:pt>
                <c:pt idx="1">
                  <c:v>954.28</c:v>
                </c:pt>
              </c:numCache>
            </c:numRef>
          </c:val>
        </c:ser>
        <c:ser>
          <c:idx val="1"/>
          <c:order val="1"/>
          <c:tx>
            <c:strRef>
              <c:f>Sheet1!#REF!</c:f>
              <c:strCache>
                <c:ptCount val="1"/>
                <c:pt idx="0">
                  <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dk1">
                          <a:lumMod val="50000"/>
                          <a:lumOff val="50000"/>
                        </a:schemeClr>
                      </a:solidFill>
                    </a:ln>
                    <a:effectLst/>
                  </c:spPr>
                </c15:leaderLines>
              </c:ext>
            </c:extLst>
          </c:dLbls>
          <c:cat>
            <c:strRef>
              <c:f>Sheet1!$A$2:$A$3</c:f>
              <c:strCache>
                <c:ptCount val="2"/>
                <c:pt idx="0">
                  <c:v>2019年</c:v>
                </c:pt>
                <c:pt idx="1">
                  <c:v>2018年</c:v>
                </c:pt>
              </c:strCache>
            </c:str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dk1">
                          <a:lumMod val="50000"/>
                          <a:lumOff val="50000"/>
                        </a:schemeClr>
                      </a:solidFill>
                    </a:ln>
                    <a:effectLst/>
                  </c:spPr>
                </c15:leaderLines>
              </c:ext>
            </c:extLst>
          </c:dLbls>
          <c:cat>
            <c:strRef>
              <c:f>Sheet1!$A$2:$A$3</c:f>
              <c:strCache>
                <c:ptCount val="2"/>
                <c:pt idx="0">
                  <c:v>2019年</c:v>
                </c:pt>
                <c:pt idx="1">
                  <c:v>2018年</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65"/>
        <c:overlap val="0"/>
        <c:axId val="691318490"/>
        <c:axId val="61687481"/>
      </c:barChart>
      <c:catAx>
        <c:axId val="691318490"/>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0" vertOverflow="ellipsis" vert="horz" wrap="square" anchor="ctr" anchorCtr="1"/>
          <a:lstStyle/>
          <a:p>
            <a:pPr>
              <a:defRPr lang="zh-CN" sz="900" b="0" i="0" u="none" strike="noStrike" kern="1200" cap="all" baseline="0">
                <a:solidFill>
                  <a:schemeClr val="dk1">
                    <a:lumMod val="75000"/>
                    <a:lumOff val="25000"/>
                  </a:schemeClr>
                </a:solidFill>
                <a:latin typeface="+mn-lt"/>
                <a:ea typeface="+mn-ea"/>
                <a:cs typeface="+mn-cs"/>
              </a:defRPr>
            </a:pPr>
          </a:p>
        </c:txPr>
        <c:crossAx val="61687481"/>
        <c:crosses val="autoZero"/>
        <c:auto val="1"/>
        <c:lblAlgn val="ctr"/>
        <c:lblOffset val="100"/>
        <c:noMultiLvlLbl val="0"/>
      </c:catAx>
      <c:valAx>
        <c:axId val="61687481"/>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crossAx val="691318490"/>
        <c:crosses val="autoZero"/>
        <c:crossBetween val="between"/>
      </c:valAx>
      <c:spPr>
        <a:noFill/>
        <a:ln>
          <a:noFill/>
        </a:ln>
        <a:effectLst/>
      </c:spPr>
    </c:plotArea>
    <c:legend>
      <c:legendPos val="b"/>
      <c:legendEntry>
        <c:idx val="1"/>
        <c:delete val="1"/>
      </c:legendEntry>
      <c:legendEntry>
        <c:idx val="2"/>
        <c:delete val="1"/>
      </c:legendEntry>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财政拨款支出情况</a:t>
            </a:r>
          </a:p>
        </c:rich>
      </c:tx>
      <c:layout>
        <c:manualLayout>
          <c:xMode val="edge"/>
          <c:yMode val="edge"/>
          <c:x val="0.0783333333333333"/>
          <c:y val="0.03125"/>
        </c:manualLayout>
      </c:layout>
      <c:overlay val="0"/>
      <c:spPr>
        <a:noFill/>
        <a:ln>
          <a:noFill/>
        </a:ln>
        <a:effectLst/>
      </c:spPr>
    </c:title>
    <c:autoTitleDeleted val="0"/>
    <c:plotArea>
      <c:layout>
        <c:manualLayout>
          <c:layoutTarget val="inner"/>
          <c:xMode val="edge"/>
          <c:yMode val="edge"/>
          <c:x val="0.08675"/>
          <c:y val="0.188773148148148"/>
          <c:w val="0.859777777777778"/>
          <c:h val="0.595115740740741"/>
        </c:manualLayout>
      </c:layout>
      <c:barChart>
        <c:barDir val="col"/>
        <c:grouping val="clustered"/>
        <c:varyColors val="0"/>
        <c:ser>
          <c:idx val="0"/>
          <c:order val="0"/>
          <c:tx>
            <c:strRef>
              <c:f>Sheet1!$B$1</c:f>
              <c:strCache>
                <c:ptCount val="1"/>
                <c:pt idx="0">
                  <c:v>财政拨款支出</c:v>
                </c:pt>
              </c:strCache>
            </c:strRef>
          </c:tx>
          <c:spPr>
            <a:solidFill>
              <a:schemeClr val="accent1">
                <a:alpha val="85000"/>
              </a:schemeClr>
            </a:solidFill>
            <a:ln w="9525" cap="flat" cmpd="sng" algn="ctr">
              <a:solidFill>
                <a:schemeClr val="lt1">
                  <a:alpha val="50000"/>
                </a:schemeClr>
              </a:solidFill>
              <a:round/>
            </a:ln>
            <a:effectLst/>
          </c:spPr>
          <c:invertIfNegative val="0"/>
          <c:dLbls>
            <c:dLbl>
              <c:idx val="0"/>
              <c:layout/>
              <c:tx>
                <c:rich>
                  <a:bodyPr rot="0" spcFirstLastPara="0" vertOverflow="ellipsis" vert="horz" wrap="square" lIns="38100" tIns="19050" rIns="38100" bIns="19050" anchor="ctr" anchorCtr="1"/>
                  <a:lstStyle/>
                  <a:p>
                    <a:pPr defTabSz="914400">
                      <a:defRPr lang="zh-CN" sz="900" b="1" i="0" u="none" strike="noStrike" kern="1200" baseline="0">
                        <a:solidFill>
                          <a:schemeClr val="lt1"/>
                        </a:solidFill>
                        <a:latin typeface="+mn-lt"/>
                        <a:ea typeface="+mn-ea"/>
                        <a:cs typeface="+mn-cs"/>
                      </a:defRPr>
                    </a:pPr>
                    <a:r>
                      <a:rPr lang="en-US" altLang="zh-CN"/>
                      <a:t>111</a:t>
                    </a:r>
                    <a:r>
                      <a:t>1.</a:t>
                    </a:r>
                    <a:r>
                      <a:rPr lang="en-US" altLang="zh-CN"/>
                      <a:t>15</a:t>
                    </a:r>
                    <a:endParaRPr lang="en-US" altLang="zh-CN"/>
                  </a:p>
                </c:rich>
              </c:tx>
              <c:dLblPos val="in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1" i="0" u="none" strike="noStrike" kern="1200" baseline="0">
                        <a:solidFill>
                          <a:schemeClr val="lt1"/>
                        </a:solidFill>
                        <a:latin typeface="+mn-lt"/>
                        <a:ea typeface="+mn-ea"/>
                        <a:cs typeface="+mn-cs"/>
                      </a:defRPr>
                    </a:pPr>
                    <a:r>
                      <a:rPr lang="en-US" altLang="zh-CN"/>
                      <a:t>954</a:t>
                    </a:r>
                    <a:r>
                      <a:t>.</a:t>
                    </a:r>
                    <a:r>
                      <a:rPr lang="en-US" altLang="zh-CN"/>
                      <a:t>28</a:t>
                    </a:r>
                    <a:endParaRPr lang="en-US" altLang="zh-CN"/>
                  </a:p>
                </c:rich>
              </c:tx>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dk1">
                          <a:lumMod val="50000"/>
                          <a:lumOff val="50000"/>
                        </a:schemeClr>
                      </a:solidFill>
                    </a:ln>
                    <a:effectLst/>
                  </c:spPr>
                </c15:leaderLines>
              </c:ext>
            </c:extLst>
          </c:dLbls>
          <c:cat>
            <c:strRef>
              <c:f>Sheet1!$A$2:$A$3</c:f>
              <c:strCache>
                <c:ptCount val="2"/>
                <c:pt idx="0">
                  <c:v>2019年</c:v>
                </c:pt>
                <c:pt idx="1">
                  <c:v>2018年</c:v>
                </c:pt>
              </c:strCache>
            </c:strRef>
          </c:cat>
          <c:val>
            <c:numRef>
              <c:f>Sheet1!$B$2:$B$3</c:f>
              <c:numCache>
                <c:formatCode>#,##0.00</c:formatCode>
                <c:ptCount val="2"/>
                <c:pt idx="0">
                  <c:v>1841.07</c:v>
                </c:pt>
                <c:pt idx="1">
                  <c:v>1058.91</c:v>
                </c:pt>
              </c:numCache>
            </c:numRef>
          </c:val>
        </c:ser>
        <c:ser>
          <c:idx val="1"/>
          <c:order val="1"/>
          <c:tx>
            <c:strRef>
              <c:f>Sheet1!#REF!</c:f>
              <c:strCache>
                <c:ptCount val="1"/>
                <c:pt idx="0">
                  <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dk1">
                          <a:lumMod val="50000"/>
                          <a:lumOff val="50000"/>
                        </a:schemeClr>
                      </a:solidFill>
                    </a:ln>
                    <a:effectLst/>
                  </c:spPr>
                </c15:leaderLines>
              </c:ext>
            </c:extLst>
          </c:dLbls>
          <c:cat>
            <c:strRef>
              <c:f>Sheet1!$A$2:$A$3</c:f>
              <c:strCache>
                <c:ptCount val="2"/>
                <c:pt idx="0">
                  <c:v>2019年</c:v>
                </c:pt>
                <c:pt idx="1">
                  <c:v>2018年</c:v>
                </c:pt>
              </c:strCache>
            </c:str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dk1">
                          <a:lumMod val="50000"/>
                          <a:lumOff val="50000"/>
                        </a:schemeClr>
                      </a:solidFill>
                    </a:ln>
                    <a:effectLst/>
                  </c:spPr>
                </c15:leaderLines>
              </c:ext>
            </c:extLst>
          </c:dLbls>
          <c:cat>
            <c:strRef>
              <c:f>Sheet1!$A$2:$A$3</c:f>
              <c:strCache>
                <c:ptCount val="2"/>
                <c:pt idx="0">
                  <c:v>2019年</c:v>
                </c:pt>
                <c:pt idx="1">
                  <c:v>2018年</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65"/>
        <c:overlap val="0"/>
        <c:axId val="933093936"/>
        <c:axId val="455865656"/>
      </c:barChart>
      <c:catAx>
        <c:axId val="933093936"/>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0" vertOverflow="ellipsis" vert="horz" wrap="square" anchor="ctr" anchorCtr="1"/>
          <a:lstStyle/>
          <a:p>
            <a:pPr>
              <a:defRPr lang="zh-CN" sz="900" b="0" i="0" u="none" strike="noStrike" kern="1200" cap="all" baseline="0">
                <a:solidFill>
                  <a:schemeClr val="dk1">
                    <a:lumMod val="75000"/>
                    <a:lumOff val="25000"/>
                  </a:schemeClr>
                </a:solidFill>
                <a:latin typeface="+mn-lt"/>
                <a:ea typeface="+mn-ea"/>
                <a:cs typeface="+mn-cs"/>
              </a:defRPr>
            </a:pPr>
          </a:p>
        </c:txPr>
        <c:crossAx val="455865656"/>
        <c:crosses val="autoZero"/>
        <c:auto val="1"/>
        <c:lblAlgn val="ctr"/>
        <c:lblOffset val="100"/>
        <c:noMultiLvlLbl val="0"/>
      </c:catAx>
      <c:valAx>
        <c:axId val="45586565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crossAx val="933093936"/>
        <c:crosses val="autoZero"/>
        <c:crossBetween val="between"/>
      </c:valAx>
      <c:spPr>
        <a:noFill/>
        <a:ln>
          <a:noFill/>
        </a:ln>
        <a:effectLst/>
      </c:spPr>
    </c:plotArea>
    <c:legend>
      <c:legendPos val="b"/>
      <c:legendEntry>
        <c:idx val="1"/>
        <c:delete val="1"/>
      </c:legendEntry>
      <c:legendEntry>
        <c:idx val="2"/>
        <c:delete val="1"/>
      </c:legendEntry>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三公经费情况表</a:t>
            </a:r>
          </a:p>
        </c:rich>
      </c:tx>
      <c:layout/>
      <c:overlay val="0"/>
      <c:spPr>
        <a:noFill/>
        <a:ln>
          <a:noFill/>
        </a:ln>
        <a:effectLst/>
      </c:spPr>
    </c:title>
    <c:autoTitleDeleted val="0"/>
    <c:plotArea>
      <c:layout/>
      <c:pieChart>
        <c:varyColors val="1"/>
        <c:ser>
          <c:idx val="0"/>
          <c:order val="0"/>
          <c:tx>
            <c:strRef>
              <c:f>Sheet1!$B$1</c:f>
              <c:strCache>
                <c:ptCount val="1"/>
                <c:pt idx="0">
                  <c:v>系列 1</c:v>
                </c:pt>
              </c:strCache>
            </c:strRef>
          </c:tx>
          <c:spPr>
            <a:solidFill>
              <a:srgbClr val="FFC000"/>
            </a:solidFill>
          </c:spPr>
          <c:explosion val="0"/>
          <c:dPt>
            <c:idx val="0"/>
            <c:bubble3D val="0"/>
            <c:spPr>
              <a:solidFill>
                <a:srgbClr val="FFC000"/>
              </a:solidFill>
              <a:ln w="19050">
                <a:solidFill>
                  <a:schemeClr val="lt1"/>
                </a:solidFill>
              </a:ln>
              <a:effectLst/>
            </c:spPr>
          </c:dPt>
          <c:dPt>
            <c:idx val="1"/>
            <c:bubble3D val="0"/>
            <c:spPr>
              <a:solidFill>
                <a:srgbClr val="FFC000"/>
              </a:solidFill>
              <a:ln w="19050">
                <a:solidFill>
                  <a:schemeClr val="lt1"/>
                </a:solidFill>
              </a:ln>
              <a:effectLst/>
            </c:spPr>
          </c:dPt>
          <c:dPt>
            <c:idx val="2"/>
            <c:bubble3D val="0"/>
            <c:spPr>
              <a:gradFill>
                <a:gsLst>
                  <a:gs pos="0">
                    <a:srgbClr val="007BD3"/>
                  </a:gs>
                  <a:gs pos="100000">
                    <a:srgbClr val="034373"/>
                  </a:gs>
                </a:gsLst>
                <a:lin scaled="0"/>
              </a:gradFill>
              <a:ln w="19050">
                <a:solidFill>
                  <a:schemeClr val="lt1"/>
                </a:solidFill>
              </a:ln>
              <a:effectLst/>
            </c:spPr>
          </c:dPt>
          <c:dPt>
            <c:idx val="3"/>
            <c:bubble3D val="0"/>
            <c:spPr>
              <a:solidFill>
                <a:srgbClr val="00B0F0"/>
              </a:solidFill>
              <a:ln w="19050">
                <a:solidFill>
                  <a:schemeClr val="lt1"/>
                </a:solidFill>
              </a:ln>
              <a:effectLst/>
            </c:spPr>
          </c:dPt>
          <c:dLbls>
            <c:dLbl>
              <c:idx val="0"/>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68.70%</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31.3%</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extLst>
                <c:ext xmlns:c15="http://schemas.microsoft.com/office/drawing/2012/chart" uri="{CE6537A1-D6FC-4f65-9D91-7224C49458BB}"/>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因公出国（境）费</c:v>
                </c:pt>
                <c:pt idx="1">
                  <c:v>公务用车购置费</c:v>
                </c:pt>
                <c:pt idx="2">
                  <c:v>公务用车运行维护费</c:v>
                </c:pt>
                <c:pt idx="3">
                  <c:v>公务接待费</c:v>
                </c:pt>
              </c:strCache>
            </c:strRef>
          </c:cat>
          <c:val>
            <c:numRef>
              <c:f>Sheet1!$B$2:$B$5</c:f>
              <c:numCache>
                <c:formatCode>General</c:formatCode>
                <c:ptCount val="4"/>
                <c:pt idx="0">
                  <c:v>0</c:v>
                </c:pt>
                <c:pt idx="1">
                  <c:v>0</c:v>
                </c:pt>
                <c:pt idx="2">
                  <c:v>2.17</c:v>
                </c:pt>
                <c:pt idx="3">
                  <c:v>0.85</c:v>
                </c:pt>
              </c:numCache>
            </c:numRef>
          </c:val>
        </c:ser>
        <c:ser>
          <c:idx val="1"/>
          <c:order val="1"/>
          <c:tx>
            <c:strRef>
              <c:f>Sheet1!#REF!</c:f>
              <c:strCache>
                <c:ptCount val="1"/>
                <c:pt idx="0">
                  <c:v/>
                </c:pt>
              </c:strCache>
            </c:strRef>
          </c:tx>
          <c:spPr/>
          <c:explosion val="0"/>
          <c:dPt>
            <c:idx val="0"/>
            <c:bubble3D val="0"/>
            <c:spPr>
              <a:solidFill>
                <a:schemeClr val="accent1"/>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因公出国（境）费</c:v>
                </c:pt>
                <c:pt idx="1">
                  <c:v>公务用车购置费</c:v>
                </c:pt>
                <c:pt idx="2">
                  <c:v>公务用车运行维护费</c:v>
                </c:pt>
                <c:pt idx="3">
                  <c:v>公务接待费</c:v>
                </c:pt>
              </c:strCache>
            </c:strRef>
          </c:cat>
          <c:val>
            <c:numRef>
              <c:f>Sheet1!#REF!</c:f>
              <c:numCache>
                <c:formatCode>General</c:formatCode>
                <c:ptCount val="1"/>
                <c:pt idx="0">
                  <c:v>1</c:v>
                </c:pt>
              </c:numCache>
            </c:numRef>
          </c:val>
        </c:ser>
        <c:ser>
          <c:idx val="2"/>
          <c:order val="2"/>
          <c:tx>
            <c:strRef>
              <c:f>Sheet1!#REF!</c:f>
              <c:strCache>
                <c:ptCount val="1"/>
                <c:pt idx="0">
                  <c:v/>
                </c:pt>
              </c:strCache>
            </c:strRef>
          </c:tx>
          <c:spPr/>
          <c:explosion val="0"/>
          <c:dPt>
            <c:idx val="0"/>
            <c:bubble3D val="0"/>
            <c:spPr>
              <a:solidFill>
                <a:schemeClr val="accent1"/>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因公出国（境）费</c:v>
                </c:pt>
                <c:pt idx="1">
                  <c:v>公务用车购置费</c:v>
                </c:pt>
                <c:pt idx="2">
                  <c:v>公务用车运行维护费</c:v>
                </c:pt>
                <c:pt idx="3">
                  <c:v>公务接待费</c:v>
                </c:pt>
              </c:strCache>
            </c:strRef>
          </c:cat>
          <c:val>
            <c:numRef>
              <c:f>Sheet1!#REF!</c:f>
              <c:numCache>
                <c:formatCode>General</c:formatCode>
                <c:ptCount val="1"/>
                <c:pt idx="0">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20</Pages>
  <Words>5191</Words>
  <Characters>5583</Characters>
  <Lines>60</Lines>
  <Paragraphs>16</Paragraphs>
  <TotalTime>8</TotalTime>
  <ScaleCrop>false</ScaleCrop>
  <LinksUpToDate>false</LinksUpToDate>
  <CharactersWithSpaces>6871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2020-08-28T09:53:00Z</dcterms:created>
  <dc:creator>Administrator</dc:creator>
  <cp:lastModifiedBy>莫</cp:lastModifiedBy>
  <cp:lastPrinted>2020-08-31T02:54:00Z</cp:lastPrinted>
  <dcterms:modified xsi:type="dcterms:W3CDTF">2020-11-30T05:45:19Z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