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p>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ind w:firstLine="1446" w:firstLineChars="300"/>
        <w:jc w:val="both"/>
        <w:rPr>
          <w:rFonts w:hint="default"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lang w:val="en-US" w:eastAsia="zh-CN"/>
        </w:rPr>
        <w:t>靖边县杨米涧镇人民政府</w:t>
      </w:r>
    </w:p>
    <w:p>
      <w:pPr>
        <w:spacing w:line="560" w:lineRule="exact"/>
        <w:ind w:firstLine="2409" w:firstLineChars="500"/>
        <w:jc w:val="both"/>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2019年部门决算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color w:val="2E75B6" w:themeColor="accent1" w:themeShade="BF"/>
          <w:sz w:val="32"/>
          <w:szCs w:val="32"/>
          <w:lang w:val="en-US" w:eastAsia="zh-CN"/>
        </w:rPr>
      </w:pPr>
      <w:r>
        <w:rPr>
          <w:rFonts w:hint="eastAsia" w:asciiTheme="majorEastAsia" w:hAnsiTheme="majorEastAsia" w:eastAsiaTheme="majorEastAsia" w:cstheme="majorEastAsia"/>
          <w:b/>
          <w:bCs/>
          <w:color w:val="2E75B6" w:themeColor="accent1" w:themeShade="BF"/>
          <w:sz w:val="32"/>
          <w:szCs w:val="32"/>
        </w:rPr>
        <w:t>保密审查情况：</w:t>
      </w:r>
      <w:r>
        <w:rPr>
          <w:rFonts w:hint="eastAsia" w:asciiTheme="majorEastAsia" w:hAnsiTheme="majorEastAsia" w:eastAsiaTheme="majorEastAsia" w:cstheme="majorEastAsia"/>
          <w:b/>
          <w:bCs/>
          <w:color w:val="2E75B6" w:themeColor="accent1" w:themeShade="BF"/>
          <w:sz w:val="32"/>
          <w:szCs w:val="32"/>
          <w:lang w:val="en-US" w:eastAsia="zh-CN"/>
        </w:rPr>
        <w:t>已审查</w:t>
      </w:r>
    </w:p>
    <w:p>
      <w:pPr>
        <w:spacing w:line="400" w:lineRule="exact"/>
        <w:jc w:val="center"/>
        <w:rPr>
          <w:rFonts w:ascii="宋体" w:hAnsi="宋体" w:cs="宋体"/>
          <w:b/>
          <w:bCs/>
          <w:color w:val="2E75B6" w:themeColor="accent1" w:themeShade="BF"/>
          <w:sz w:val="32"/>
          <w:szCs w:val="32"/>
        </w:rPr>
      </w:pPr>
    </w:p>
    <w:p>
      <w:pPr>
        <w:spacing w:line="400" w:lineRule="exact"/>
        <w:ind w:firstLine="2088" w:firstLineChars="650"/>
        <w:rPr>
          <w:rFonts w:hint="eastAsia" w:ascii="宋体" w:hAnsi="宋体" w:eastAsia="宋体" w:cs="宋体"/>
          <w:b/>
          <w:bCs/>
          <w:color w:val="2E75B6" w:themeColor="accent1" w:themeShade="BF"/>
          <w:sz w:val="32"/>
          <w:szCs w:val="32"/>
          <w:lang w:eastAsia="zh-CN"/>
        </w:rPr>
      </w:pPr>
      <w:r>
        <w:rPr>
          <w:rFonts w:hint="eastAsia" w:ascii="宋体" w:hAnsi="宋体" w:cs="宋体"/>
          <w:b/>
          <w:bCs/>
          <w:color w:val="2E75B6" w:themeColor="accent1" w:themeShade="BF"/>
          <w:sz w:val="32"/>
          <w:szCs w:val="32"/>
        </w:rPr>
        <w:t>部门主要负责人审签情况：</w:t>
      </w:r>
      <w:r>
        <w:rPr>
          <w:rFonts w:hint="eastAsia" w:ascii="宋体" w:hAnsi="宋体" w:cs="宋体"/>
          <w:b/>
          <w:bCs/>
          <w:color w:val="2E75B6" w:themeColor="accent1" w:themeShade="BF"/>
          <w:sz w:val="32"/>
          <w:szCs w:val="32"/>
          <w:lang w:eastAsia="zh-CN"/>
        </w:rPr>
        <w:t>已审签</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pPr>
      <w:r>
        <w:rPr>
          <w:rFonts w:ascii="黑体" w:hAnsi="宋体" w:eastAsia="黑体"/>
          <w:b/>
          <w:color w:val="000000"/>
          <w:kern w:val="0"/>
          <w:sz w:val="56"/>
          <w:szCs w:val="56"/>
          <w:lang w:bidi="ar"/>
        </w:rPr>
        <w:br w:type="page"/>
      </w: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pPr>
      <w:r>
        <w:rPr>
          <w:rFonts w:hint="eastAsia" w:ascii="黑体" w:hAnsi="宋体" w:eastAsia="黑体"/>
          <w:color w:val="000000"/>
          <w:kern w:val="0"/>
          <w:sz w:val="32"/>
          <w:szCs w:val="32"/>
          <w:lang w:bidi="ar"/>
        </w:rPr>
        <w:t xml:space="preserve">第一部分 </w:t>
      </w:r>
      <w:r>
        <w:rPr>
          <w:rFonts w:ascii="黑体" w:hAnsi="宋体" w:eastAsia="黑体"/>
          <w:color w:val="000000"/>
          <w:kern w:val="0"/>
          <w:sz w:val="32"/>
          <w:szCs w:val="32"/>
          <w:lang w:bidi="ar"/>
        </w:rPr>
        <w:t xml:space="preserve"> </w:t>
      </w:r>
      <w:r>
        <w:rPr>
          <w:rFonts w:hint="eastAsia" w:ascii="黑体" w:hAnsi="宋体" w:eastAsia="黑体"/>
          <w:color w:val="000000"/>
          <w:kern w:val="0"/>
          <w:sz w:val="32"/>
          <w:szCs w:val="32"/>
          <w:lang w:bidi="ar"/>
        </w:rPr>
        <w:t>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pPr>
      <w:r>
        <w:rPr>
          <w:rFonts w:hint="eastAsia" w:ascii="黑体" w:hAnsi="宋体" w:eastAsia="黑体"/>
          <w:color w:val="000000"/>
          <w:kern w:val="0"/>
          <w:sz w:val="32"/>
          <w:szCs w:val="32"/>
          <w:lang w:bidi="ar"/>
        </w:rPr>
        <w:t>第二部分  2019年部门决算表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center"/>
      </w:pPr>
      <w:r>
        <w:rPr>
          <w:rFonts w:hint="eastAsia" w:ascii="黑体" w:hAnsi="宋体" w:eastAsia="黑体"/>
          <w:color w:val="000000"/>
          <w:kern w:val="0"/>
          <w:sz w:val="32"/>
          <w:szCs w:val="32"/>
          <w:lang w:bidi="ar"/>
        </w:rPr>
        <w:t xml:space="preserve">第三部分 </w:t>
      </w:r>
      <w:r>
        <w:rPr>
          <w:rFonts w:ascii="黑体" w:hAnsi="宋体" w:eastAsia="黑体"/>
          <w:color w:val="000000"/>
          <w:kern w:val="0"/>
          <w:sz w:val="32"/>
          <w:szCs w:val="32"/>
          <w:lang w:bidi="ar"/>
        </w:rPr>
        <w:t xml:space="preserve"> </w:t>
      </w:r>
      <w:r>
        <w:rPr>
          <w:rFonts w:hint="eastAsia" w:ascii="黑体" w:hAnsi="宋体" w:eastAsia="黑体"/>
          <w:color w:val="000000"/>
          <w:kern w:val="0"/>
          <w:sz w:val="32"/>
          <w:szCs w:val="32"/>
          <w:lang w:bidi="ar"/>
        </w:rPr>
        <w:t>2019年部门决算情况说明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三、支出决算情况说明    </w:t>
      </w:r>
    </w:p>
    <w:p>
      <w:pPr>
        <w:widowControl/>
        <w:jc w:val="left"/>
        <w:rPr>
          <w:rFonts w:ascii="楷体" w:hAnsi="楷体" w:eastAsia="楷体" w:cs="楷体"/>
        </w:rPr>
      </w:pPr>
      <w:r>
        <w:rPr>
          <w:rFonts w:hint="eastAsia" w:ascii="仿宋" w:hAnsi="仿宋" w:eastAsia="仿宋" w:cs="楷体"/>
          <w:color w:val="000000"/>
          <w:kern w:val="0"/>
          <w:sz w:val="32"/>
          <w:szCs w:val="32"/>
          <w:lang w:bidi="ar"/>
        </w:rPr>
        <w:t xml:space="preserve">四、财政拨款收入支出决算总体情况说明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（一）财政拨款支出决算总体情况说明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（二）财政拨款支出决算具体情况说明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（一）“三公”经费财政拨款支出决算总体情况说明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（二）“三公”经费财政拨款支出决算具体情况说明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（三）培训费支出情况说明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（四）会议费支出情况说明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八、政府性基金预算财政拨款收入支出情况说明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九、预算绩效情况说明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（一）预算绩效管理工作开展情况说明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（二）部门决算中项目绩效自评结果</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十、其他重要事项说明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（一）机关运行经费支出情况说明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（二）政府采购支出情况说明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（三）国有资产占用及购置情况说明 </w:t>
      </w:r>
    </w:p>
    <w:p>
      <w:pPr>
        <w:jc w:val="center"/>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第四部分 专业名词解释</w:t>
      </w:r>
    </w:p>
    <w:p>
      <w:pPr>
        <w:jc w:val="center"/>
        <w:rPr>
          <w:rFonts w:ascii="宋体" w:hAnsi="宋体" w:cs="宋体"/>
          <w:b/>
          <w:bCs/>
          <w:sz w:val="44"/>
          <w:szCs w:val="44"/>
        </w:rPr>
      </w:pPr>
    </w:p>
    <w:p>
      <w:pPr>
        <w:jc w:val="center"/>
        <w:rPr>
          <w:rFonts w:ascii="黑体" w:hAnsi="宋体" w:eastAsia="黑体"/>
          <w:color w:val="000000"/>
          <w:kern w:val="0"/>
          <w:sz w:val="44"/>
          <w:szCs w:val="44"/>
          <w:lang w:bidi="ar"/>
        </w:rPr>
      </w:pPr>
      <w:r>
        <w:rPr>
          <w:rFonts w:hint="eastAsia" w:ascii="黑体" w:hAnsi="宋体" w:eastAsia="黑体"/>
          <w:color w:val="000000"/>
          <w:kern w:val="0"/>
          <w:sz w:val="44"/>
          <w:szCs w:val="44"/>
          <w:lang w:bidi="ar"/>
        </w:rPr>
        <w:t>第一部分 部门</w:t>
      </w:r>
      <w:r>
        <w:rPr>
          <w:rFonts w:ascii="黑体" w:hAnsi="宋体" w:eastAsia="黑体"/>
          <w:color w:val="000000"/>
          <w:kern w:val="0"/>
          <w:sz w:val="44"/>
          <w:szCs w:val="44"/>
          <w:lang w:bidi="ar"/>
        </w:rPr>
        <w:t>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（一）主要职责</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1.贯彻落实党的路线、方针和政策，执行国家法律、法规及上级机关的决定和命令，制订并组织实施辖区内有关管理规定，加强党的建设和基层政权建设。</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2.切实履行人大职能，做好纪检、监察、组织、宣传、统战工作，指导协调工会、共青团、妇联等群团组织工作，推进精神文明建设、法治建设和依法行政。</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3.负责编制辖区内经济社会和建设发展规划，组织实施产业发展、基础设施和各项公益事业建设。</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4.坚持科学发展，积极转变经济发展方式，推动产业结构调整。结合实际制定发展规划，维护市场秩序、营造良好的经济发展环境，培育特色优势产业和特色经济，扶持壮大龙头企业，促进农村经济繁荣发展。</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稳定和完善农村基本经营制度，支持农民专业合作经济组织发展，健全农村市场和农业服务体系。大力推广先进科学技术，强化劳动力技能培训，做好农村劳务输转，促进农民增产增收，不断提高人民生活水平。</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6.加强安全生产、市场监管、动植物疫病防控和农产品质量监控等社会管理，健全农民权益保障机制，维护农村社会公平正义。</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辖区内农村医疗、养老、社会救助、扶残助残等社会保障工作，建立健全应急保障体系，及时处置和上报重大社情、疫情、险情，加强突发事件预警和管理，做好防灾减灾工作。积极做好拥军优属、征兵和民兵预备役部队建设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8.负责市容、市貌、绿化、环卫等镇区管理工作，积极推进新农村建设，不断完善公益设施和基础设施。</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9.加强教育、科技、卫生和精神文明建设，繁荣发展农村文化，提高农村人口素质。加强生态建设和环境保护，努力改善农村人居环境，不断提高农民生活质量。</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10.推进基层民主法制建设，指导村民委员会工作，推进政务公开;加强社会治安综合治理，强化信访和矛盾纠纷调解工作，化解各种社会矛盾，维护农村公共秩序和社会稳定。</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11.行使法律法规赋予的其他职责，承办县委、县政府交办的其他事项。</w:t>
      </w:r>
    </w:p>
    <w:p>
      <w:pPr>
        <w:widowControl/>
        <w:ind w:firstLine="643" w:firstLineChars="200"/>
        <w:jc w:val="left"/>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（二）内设机构</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根据上述职责，杨米涧镇设置6个党政机构，3个事业单位，其机构名称及主要职责如下∶</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（一）党政机构</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1.党政办公室（挂财政所牌子），主要承担党委、政府日常事务;负责组织、统战和群团等工作; 负责党务、政务公开工作;负责镇财政财务工作。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2.人大主席团办公室，主要承担镇人大日常事务和代表联络工作。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济发展（市场监管）办公室，主要承担制定并实施区域经济社会发展规划和镇村公共基础设施建设规划;负责产业发展、公共基础设施建设、农业综合开发、扶贫开发、商贸流通、动植物防疫、气象公共服务、人工影响天气、灾害防御、环境保护、食品药品安全、安全生产监管等工作;协调经济社会发展相关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4.社会事务管理办公室（挂民政工作站牌子），主要承担民政、社会保障等综合性事务; 负责社会救助、防汛抗旱和防灾减灾、社区建设、拥军优抚、民族宗教、老龄、残疾人等工作;协调社会事务相关工作。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5.维护稳定办公室（挂司法所牌子及社会治安综合治理委员会办公室牌子），主要承担社会治安综合治理、信访维稳、国防动员教育、民兵预备役等工作;负责调解和处理民事纠纷，负责社区矫正等工作。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6.宣传科教文卫办公室，主要承担精神文明建设工作;负责宣传、科技、教育、文化、体育、卫生、计生等工作; 负责公共教育文化服务体系建设。</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（二）事业单位</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1.经济综合服务站，副科级建制。承担生产经营、集体资产管理、土地流转、科技推广、就业创业等具体服务工作。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2.社会保障服务站，副科级建制。承担就业培训、社会保险、救助、福利等具体服务工作。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3.公用事业服务站，副科级建制。承担乡镇道路管护、环境卫生、供水供电等公共事业服务。</w:t>
      </w:r>
    </w:p>
    <w:p>
      <w:pPr>
        <w:widowControl/>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（注∶可根据实际工作需要及编制数量，具体划分设置岗位，同时细化岗位职责，可以实行一人多职、一人多岗、一岗多人。）</w:t>
      </w:r>
    </w:p>
    <w:p>
      <w:pPr>
        <w:widowControl/>
        <w:ind w:firstLine="640" w:firstLineChars="200"/>
        <w:jc w:val="left"/>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纳入2019年本部门决算编制范围的单位共</w:t>
      </w:r>
      <w:r>
        <w:rPr>
          <w:rFonts w:hint="eastAsia" w:ascii="仿宋_GB2312" w:hAnsi="仿宋_GB2312" w:eastAsia="仿宋_GB2312" w:cs="仿宋_GB2312"/>
          <w:color w:val="2E75B6" w:themeColor="accent1" w:themeShade="BF"/>
          <w:sz w:val="32"/>
          <w:szCs w:val="32"/>
          <w:lang w:val="en-US" w:eastAsia="zh-CN"/>
        </w:rPr>
        <w:t>6</w:t>
      </w:r>
      <w:r>
        <w:rPr>
          <w:rFonts w:hint="eastAsia" w:ascii="仿宋_GB2312" w:hAnsi="仿宋_GB2312" w:eastAsia="仿宋_GB2312" w:cs="仿宋_GB2312"/>
          <w:sz w:val="32"/>
          <w:szCs w:val="32"/>
        </w:rPr>
        <w:t>个，包括本级及所属</w:t>
      </w:r>
      <w:r>
        <w:rPr>
          <w:rFonts w:hint="eastAsia" w:ascii="仿宋_GB2312" w:hAnsi="仿宋_GB2312" w:eastAsia="仿宋_GB2312" w:cs="仿宋_GB2312"/>
          <w:color w:val="2E75B6" w:themeColor="accent1" w:themeShade="BF"/>
          <w:sz w:val="32"/>
          <w:szCs w:val="32"/>
          <w:lang w:val="en-US" w:eastAsia="zh-CN"/>
        </w:rPr>
        <w:t>5</w:t>
      </w:r>
      <w:r>
        <w:rPr>
          <w:rFonts w:hint="eastAsia" w:ascii="仿宋_GB2312" w:hAnsi="仿宋_GB2312" w:eastAsia="仿宋_GB2312" w:cs="仿宋_GB2312"/>
          <w:sz w:val="32"/>
          <w:szCs w:val="32"/>
        </w:rPr>
        <w:t>个</w:t>
      </w:r>
      <w:r>
        <w:rPr>
          <w:rFonts w:ascii="仿宋_GB2312" w:hAnsi="仿宋_GB2312" w:eastAsia="仿宋_GB2312" w:cs="仿宋_GB2312"/>
          <w:color w:val="000000"/>
          <w:kern w:val="0"/>
          <w:sz w:val="31"/>
          <w:szCs w:val="31"/>
          <w:lang w:bidi="ar"/>
        </w:rPr>
        <w:t>二级预算</w:t>
      </w:r>
      <w:r>
        <w:rPr>
          <w:rFonts w:hint="eastAsia" w:ascii="仿宋_GB2312" w:hAnsi="仿宋_GB2312" w:eastAsia="仿宋_GB2312" w:cs="仿宋_GB2312"/>
          <w:sz w:val="32"/>
          <w:szCs w:val="32"/>
        </w:rPr>
        <w:t>单位：</w:t>
      </w:r>
    </w:p>
    <w:tbl>
      <w:tblPr>
        <w:tblStyle w:val="8"/>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靖边县杨米涧镇党政综合办公室（本级）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1"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靖边县杨米涧镇财政所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1"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靖边县杨米涧镇人民政府农业技术综合服务站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1"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靖边县大路沟乡党政综合办公室（本级）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1"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7278"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靖边县大路沟乡财政所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1"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7278"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靖边县大路沟乡人民政府农业技术综合服务站</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截止2019年底，本部门人员编制</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人，其中行政</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人、事业</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人。本单位管理的离退休人员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4881880" cy="2957830"/>
            <wp:effectExtent l="4445" t="4445" r="1587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rFonts w:ascii="黑体" w:hAnsi="宋体" w:eastAsia="黑体"/>
          <w:color w:val="000000"/>
          <w:kern w:val="0"/>
          <w:sz w:val="44"/>
          <w:szCs w:val="44"/>
          <w:lang w:bidi="ar"/>
        </w:rPr>
      </w:pPr>
    </w:p>
    <w:p>
      <w:pPr>
        <w:widowControl/>
        <w:jc w:val="center"/>
        <w:rPr>
          <w:sz w:val="44"/>
          <w:szCs w:val="44"/>
        </w:rPr>
      </w:pPr>
      <w:r>
        <w:rPr>
          <w:rFonts w:ascii="黑体" w:hAnsi="宋体" w:eastAsia="黑体"/>
          <w:color w:val="000000"/>
          <w:kern w:val="0"/>
          <w:sz w:val="44"/>
          <w:szCs w:val="44"/>
          <w:lang w:bidi="ar"/>
        </w:rPr>
        <w:t>第二部分 2019年度部门决算表</w:t>
      </w:r>
    </w:p>
    <w:tbl>
      <w:tblPr>
        <w:tblStyle w:val="7"/>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我单位无基金预算支出</w:t>
            </w:r>
          </w:p>
        </w:tc>
      </w:tr>
    </w:tbl>
    <w:p>
      <w:pPr>
        <w:widowControl/>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color w:val="000000"/>
          <w:kern w:val="0"/>
          <w:sz w:val="40"/>
          <w:szCs w:val="40"/>
          <w:lang w:bidi="ar"/>
        </w:rPr>
      </w:pPr>
      <w:r>
        <w:rPr>
          <w:rFonts w:hint="eastAsia" w:ascii="宋体" w:hAnsi="宋体" w:cs="宋体"/>
          <w:b/>
          <w:color w:val="000000"/>
          <w:kern w:val="0"/>
          <w:sz w:val="40"/>
          <w:szCs w:val="40"/>
          <w:lang w:bidi="ar"/>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color w:val="2E75B6" w:themeColor="accent1" w:themeShade="BF"/>
          <w:szCs w:val="21"/>
        </w:rPr>
        <w:t>编制部门：</w:t>
      </w:r>
      <w:r>
        <w:rPr>
          <w:rFonts w:hint="eastAsia" w:ascii="宋体" w:hAnsi="宋体" w:cs="宋体"/>
          <w:b/>
          <w:bCs/>
          <w:szCs w:val="21"/>
        </w:rPr>
        <w:t xml:space="preserve"> </w:t>
      </w:r>
      <w:r>
        <w:rPr>
          <w:rFonts w:hint="eastAsia" w:ascii="宋体" w:hAnsi="宋体" w:cs="宋体"/>
          <w:b/>
          <w:bCs/>
          <w:color w:val="2E75B6" w:themeColor="accent1" w:themeShade="BF"/>
          <w:szCs w:val="21"/>
          <w:lang w:val="en-US" w:eastAsia="zh-CN"/>
        </w:rPr>
        <w:t>靖边县杨米涧镇人民政府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7"/>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2041</w:t>
            </w:r>
            <w:r>
              <w:rPr>
                <w:rFonts w:hint="eastAsia" w:ascii="宋体" w:hAnsi="宋体" w:cs="宋体"/>
                <w:color w:val="000000"/>
                <w:szCs w:val="21"/>
                <w:lang w:eastAsia="zh-CN"/>
              </w:rPr>
              <w:t>.</w:t>
            </w:r>
            <w:r>
              <w:rPr>
                <w:rFonts w:hint="eastAsia" w:ascii="宋体" w:hAnsi="宋体" w:cs="宋体"/>
                <w:color w:val="000000"/>
                <w:szCs w:val="21"/>
              </w:rPr>
              <w:t>21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1116</w:t>
            </w:r>
            <w:r>
              <w:rPr>
                <w:rFonts w:hint="eastAsia" w:ascii="宋体" w:hAnsi="宋体" w:cs="宋体"/>
                <w:color w:val="000000"/>
                <w:szCs w:val="21"/>
                <w:lang w:eastAsia="zh-CN"/>
              </w:rPr>
              <w:t>.</w:t>
            </w:r>
            <w:r>
              <w:rPr>
                <w:rFonts w:hint="eastAsia" w:ascii="宋体" w:hAnsi="宋体" w:cs="宋体"/>
                <w:color w:val="000000"/>
                <w:szCs w:val="21"/>
              </w:rPr>
              <w:t>77</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4、公共安全支出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5、教育支出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6、经营收入</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6、科学技术支出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7、文化旅游体育与传媒支出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r>
              <w:rPr>
                <w:rFonts w:hint="eastAsia" w:ascii="宋体" w:hAnsi="宋体" w:cs="宋体"/>
                <w:color w:val="000000"/>
                <w:szCs w:val="21"/>
              </w:rPr>
              <w:t>68</w:t>
            </w:r>
            <w:r>
              <w:rPr>
                <w:rFonts w:hint="eastAsia" w:ascii="宋体" w:hAnsi="宋体" w:cs="宋体"/>
                <w:color w:val="000000"/>
                <w:szCs w:val="21"/>
                <w:lang w:eastAsia="zh-CN"/>
              </w:rPr>
              <w:t>.</w:t>
            </w:r>
            <w:r>
              <w:rPr>
                <w:rFonts w:hint="eastAsia" w:ascii="宋体" w:hAnsi="宋体" w:cs="宋体"/>
                <w:color w:val="000000"/>
                <w:szCs w:val="21"/>
              </w:rPr>
              <w:t>1</w:t>
            </w:r>
            <w:r>
              <w:rPr>
                <w:rFonts w:hint="eastAsia" w:ascii="宋体" w:hAnsi="宋体" w:cs="宋体"/>
                <w:color w:val="000000"/>
                <w:szCs w:val="21"/>
                <w:lang w:val="en-US" w:eastAsia="zh-CN"/>
              </w:rPr>
              <w:t>3</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8、社会保障和就业支出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173</w:t>
            </w:r>
            <w:r>
              <w:rPr>
                <w:rFonts w:hint="eastAsia" w:ascii="宋体" w:hAnsi="宋体" w:cs="宋体"/>
                <w:color w:val="000000"/>
                <w:szCs w:val="21"/>
                <w:lang w:eastAsia="zh-CN"/>
              </w:rPr>
              <w:t>.</w:t>
            </w:r>
            <w:r>
              <w:rPr>
                <w:rFonts w:hint="eastAsia" w:ascii="宋体" w:hAnsi="宋体" w:cs="宋体"/>
                <w:color w:val="000000"/>
                <w:szCs w:val="21"/>
              </w:rPr>
              <w:t>45</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9、卫生健康支出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160</w:t>
            </w:r>
            <w:r>
              <w:rPr>
                <w:rFonts w:hint="eastAsia" w:ascii="宋体" w:hAnsi="宋体" w:cs="宋体"/>
                <w:color w:val="000000"/>
                <w:szCs w:val="21"/>
                <w:lang w:eastAsia="zh-CN"/>
              </w:rPr>
              <w:t>.</w:t>
            </w:r>
            <w:r>
              <w:rPr>
                <w:rFonts w:hint="eastAsia" w:ascii="宋体" w:hAnsi="宋体" w:cs="宋体"/>
                <w:color w:val="000000"/>
                <w:szCs w:val="21"/>
              </w:rPr>
              <w:t>77</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10、节能环保支出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11、城乡社区支出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12、农林水支出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r>
              <w:rPr>
                <w:rFonts w:hint="eastAsia" w:ascii="宋体" w:hAnsi="宋体" w:cs="宋体"/>
                <w:color w:val="000000"/>
                <w:szCs w:val="21"/>
              </w:rPr>
              <w:t>445</w:t>
            </w:r>
            <w:r>
              <w:rPr>
                <w:rFonts w:hint="eastAsia" w:ascii="宋体" w:hAnsi="宋体" w:cs="宋体"/>
                <w:color w:val="000000"/>
                <w:szCs w:val="21"/>
                <w:lang w:eastAsia="zh-CN"/>
              </w:rPr>
              <w:t>.</w:t>
            </w:r>
            <w:r>
              <w:rPr>
                <w:rFonts w:hint="eastAsia" w:ascii="宋体" w:hAnsi="宋体" w:cs="宋体"/>
                <w:color w:val="000000"/>
                <w:szCs w:val="21"/>
              </w:rPr>
              <w:t>2</w:t>
            </w:r>
            <w:r>
              <w:rPr>
                <w:rFonts w:hint="eastAsia" w:ascii="宋体" w:hAnsi="宋体" w:cs="宋体"/>
                <w:color w:val="000000"/>
                <w:szCs w:val="21"/>
                <w:lang w:val="en-US" w:eastAsia="zh-CN"/>
              </w:rPr>
              <w:t>1</w:t>
            </w: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13、交通运输支出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14、资源勘探信息等支出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15、商业服务业等支出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16、金融支出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17、援助其他地区支出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18、自然资源海洋气象等支出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19、住房保障支出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76</w:t>
            </w:r>
            <w:r>
              <w:rPr>
                <w:rFonts w:hint="eastAsia" w:ascii="宋体" w:hAnsi="宋体" w:cs="宋体"/>
                <w:color w:val="000000"/>
                <w:szCs w:val="21"/>
                <w:lang w:eastAsia="zh-CN"/>
              </w:rPr>
              <w:t>.</w:t>
            </w:r>
            <w:r>
              <w:rPr>
                <w:rFonts w:hint="eastAsia" w:ascii="宋体" w:hAnsi="宋体" w:cs="宋体"/>
                <w:color w:val="000000"/>
                <w:szCs w:val="21"/>
              </w:rPr>
              <w:t>88</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22、其他支出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2041</w:t>
            </w:r>
            <w:r>
              <w:rPr>
                <w:rFonts w:hint="eastAsia" w:ascii="宋体" w:hAnsi="宋体" w:cs="宋体"/>
                <w:color w:val="000000"/>
                <w:szCs w:val="21"/>
                <w:lang w:eastAsia="zh-CN"/>
              </w:rPr>
              <w:t>.</w:t>
            </w:r>
            <w:r>
              <w:rPr>
                <w:rFonts w:hint="eastAsia" w:ascii="宋体" w:hAnsi="宋体" w:cs="宋体"/>
                <w:color w:val="000000"/>
                <w:szCs w:val="21"/>
              </w:rPr>
              <w:t>21</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ind w:firstLine="210" w:firstLineChars="100"/>
              <w:jc w:val="center"/>
              <w:rPr>
                <w:rFonts w:ascii="宋体" w:hAnsi="宋体" w:cs="宋体"/>
                <w:b/>
                <w:color w:val="000000"/>
                <w:szCs w:val="21"/>
              </w:rPr>
            </w:pPr>
            <w:r>
              <w:rPr>
                <w:rFonts w:hint="eastAsia" w:ascii="宋体" w:hAnsi="宋体" w:cs="宋体"/>
                <w:color w:val="000000"/>
                <w:szCs w:val="21"/>
              </w:rPr>
              <w:t>2041</w:t>
            </w:r>
            <w:r>
              <w:rPr>
                <w:rFonts w:hint="eastAsia" w:ascii="宋体" w:hAnsi="宋体" w:cs="宋体"/>
                <w:color w:val="000000"/>
                <w:szCs w:val="21"/>
                <w:lang w:eastAsia="zh-CN"/>
              </w:rPr>
              <w:t>.</w:t>
            </w:r>
            <w:r>
              <w:rPr>
                <w:rFonts w:hint="eastAsia" w:ascii="宋体" w:hAnsi="宋体" w:cs="宋体"/>
                <w:color w:val="000000"/>
                <w:szCs w:val="21"/>
              </w:rPr>
              <w:t>21</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用事业基金弥补收支差额</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结余分配</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2041</w:t>
            </w:r>
            <w:r>
              <w:rPr>
                <w:rFonts w:hint="eastAsia" w:ascii="宋体" w:hAnsi="宋体" w:cs="宋体"/>
                <w:color w:val="000000"/>
                <w:szCs w:val="21"/>
                <w:lang w:eastAsia="zh-CN"/>
              </w:rPr>
              <w:t>.</w:t>
            </w:r>
            <w:r>
              <w:rPr>
                <w:rFonts w:hint="eastAsia" w:ascii="宋体" w:hAnsi="宋体" w:cs="宋体"/>
                <w:color w:val="000000"/>
                <w:szCs w:val="21"/>
              </w:rPr>
              <w:t>21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center"/>
              <w:rPr>
                <w:rFonts w:ascii="宋体" w:hAnsi="宋体" w:cs="宋体"/>
                <w:b/>
                <w:color w:val="000000"/>
                <w:szCs w:val="21"/>
              </w:rPr>
            </w:pPr>
            <w:r>
              <w:rPr>
                <w:rFonts w:hint="eastAsia" w:ascii="宋体" w:hAnsi="宋体" w:cs="宋体"/>
                <w:color w:val="000000"/>
                <w:szCs w:val="21"/>
              </w:rPr>
              <w:t>2041</w:t>
            </w:r>
            <w:r>
              <w:rPr>
                <w:rFonts w:hint="eastAsia" w:ascii="宋体" w:hAnsi="宋体" w:cs="宋体"/>
                <w:color w:val="000000"/>
                <w:szCs w:val="21"/>
                <w:lang w:eastAsia="zh-CN"/>
              </w:rPr>
              <w:t>.</w:t>
            </w:r>
            <w:r>
              <w:rPr>
                <w:rFonts w:hint="eastAsia" w:ascii="宋体" w:hAnsi="宋体" w:cs="宋体"/>
                <w:color w:val="000000"/>
                <w:szCs w:val="21"/>
              </w:rPr>
              <w:t>21</w:t>
            </w:r>
          </w:p>
        </w:tc>
      </w:tr>
    </w:tbl>
    <w:p>
      <w:pPr>
        <w:widowControl/>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注：本表反映部门本年度的总收支和年末结转结余情况。本表金额转换为万元时，因四舍五入可能存在尾差。</w:t>
      </w:r>
    </w:p>
    <w:p>
      <w:pPr>
        <w:jc w:val="center"/>
        <w:rPr>
          <w:rFonts w:ascii="宋体" w:hAnsi="宋体" w:cs="宋体"/>
          <w:b/>
          <w:bCs/>
          <w:sz w:val="32"/>
          <w:szCs w:val="32"/>
        </w:rPr>
      </w:pPr>
    </w:p>
    <w:p>
      <w:pPr>
        <w:jc w:val="center"/>
        <w:rPr>
          <w:rFonts w:hint="eastAsia" w:ascii="宋体" w:hAnsi="宋体" w:cs="宋体"/>
          <w:b/>
          <w:bCs/>
          <w:sz w:val="32"/>
          <w:szCs w:val="32"/>
        </w:rPr>
        <w:sectPr>
          <w:footerReference r:id="rId3" w:type="default"/>
          <w:pgSz w:w="11906" w:h="16838"/>
          <w:pgMar w:top="1985" w:right="1474" w:bottom="1985" w:left="1588" w:header="851" w:footer="992" w:gutter="0"/>
          <w:cols w:space="0" w:num="1"/>
          <w:titlePg/>
          <w:docGrid w:type="lines" w:linePitch="315" w:charSpace="0"/>
        </w:sectPr>
      </w:pP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color w:val="2E75B6" w:themeColor="accent1" w:themeShade="BF"/>
          <w:szCs w:val="21"/>
        </w:rPr>
        <w:t>编制部门：</w:t>
      </w:r>
      <w:r>
        <w:rPr>
          <w:rFonts w:hint="eastAsia" w:ascii="宋体" w:hAnsi="宋体" w:cs="宋体"/>
          <w:b/>
          <w:bCs/>
          <w:color w:val="2E75B6" w:themeColor="accent1" w:themeShade="BF"/>
          <w:szCs w:val="21"/>
          <w:lang w:val="en-US" w:eastAsia="zh-CN"/>
        </w:rPr>
        <w:t>靖边县杨米涧镇人民政府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金额单位：万元</w:t>
      </w:r>
    </w:p>
    <w:tbl>
      <w:tblPr>
        <w:tblStyle w:val="7"/>
        <w:tblW w:w="9155" w:type="dxa"/>
        <w:tblInd w:w="0" w:type="dxa"/>
        <w:tblLayout w:type="fixed"/>
        <w:tblCellMar>
          <w:top w:w="15" w:type="dxa"/>
          <w:left w:w="15" w:type="dxa"/>
          <w:bottom w:w="15" w:type="dxa"/>
          <w:right w:w="15" w:type="dxa"/>
        </w:tblCellMar>
      </w:tblPr>
      <w:tblGrid>
        <w:gridCol w:w="927"/>
        <w:gridCol w:w="1859"/>
        <w:gridCol w:w="1038"/>
        <w:gridCol w:w="1015"/>
        <w:gridCol w:w="854"/>
        <w:gridCol w:w="670"/>
        <w:gridCol w:w="726"/>
        <w:gridCol w:w="681"/>
        <w:gridCol w:w="646"/>
        <w:gridCol w:w="739"/>
      </w:tblGrid>
      <w:tr>
        <w:tblPrEx>
          <w:tblCellMar>
            <w:top w:w="15" w:type="dxa"/>
            <w:left w:w="15" w:type="dxa"/>
            <w:bottom w:w="15" w:type="dxa"/>
            <w:right w:w="15" w:type="dxa"/>
          </w:tblCellMar>
        </w:tblPrEx>
        <w:trPr>
          <w:trHeight w:val="439" w:hRule="atLeast"/>
        </w:trPr>
        <w:tc>
          <w:tcPr>
            <w:tcW w:w="27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10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1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3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事业收入</w:t>
            </w:r>
          </w:p>
        </w:tc>
        <w:tc>
          <w:tcPr>
            <w:tcW w:w="6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6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7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9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859"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小计</w:t>
            </w:r>
          </w:p>
        </w:tc>
        <w:tc>
          <w:tcPr>
            <w:tcW w:w="7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其中：教育 收费</w:t>
            </w:r>
          </w:p>
        </w:tc>
        <w:tc>
          <w:tcPr>
            <w:tcW w:w="6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283" w:hRule="atLeast"/>
        </w:trPr>
        <w:tc>
          <w:tcPr>
            <w:tcW w:w="27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2041</w:t>
            </w:r>
            <w:r>
              <w:rPr>
                <w:rFonts w:hint="eastAsia" w:ascii="宋体" w:hAnsi="宋体" w:cs="宋体"/>
                <w:color w:val="000000"/>
                <w:szCs w:val="21"/>
                <w:lang w:eastAsia="zh-CN"/>
              </w:rPr>
              <w:t>.</w:t>
            </w:r>
            <w:r>
              <w:rPr>
                <w:rFonts w:hint="eastAsia" w:ascii="宋体" w:hAnsi="宋体" w:cs="宋体"/>
                <w:color w:val="000000"/>
                <w:szCs w:val="21"/>
              </w:rPr>
              <w:t>21</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2041</w:t>
            </w:r>
            <w:r>
              <w:rPr>
                <w:rFonts w:hint="eastAsia" w:ascii="宋体" w:hAnsi="宋体" w:cs="宋体"/>
                <w:color w:val="000000"/>
                <w:szCs w:val="21"/>
                <w:lang w:eastAsia="zh-CN"/>
              </w:rPr>
              <w:t>.</w:t>
            </w:r>
            <w:r>
              <w:rPr>
                <w:rFonts w:hint="eastAsia" w:ascii="宋体" w:hAnsi="宋体" w:cs="宋体"/>
                <w:color w:val="000000"/>
                <w:szCs w:val="21"/>
              </w:rPr>
              <w:t>21</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一般公共服务支出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1116.77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1116.77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人大事务</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19.51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19.51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2010101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行政运行</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19.51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19.51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20103</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政府办公厅（室）及相关机构事务</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946.87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946.87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2010301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行政运行</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535.45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535.45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2010399</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其他政府办公厅（室）及相关机构事务支出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411.42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411.42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20106</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财政事务</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105.42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105.42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2010603</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机关服务</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105.42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105.42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20131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党委办公厅（室）及相关机构事务</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44.98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44.98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2013101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行政运行</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19.98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19.98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2013199</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其他党委办公厅（室）及相关机构事务支出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25.00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25.00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207</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文化旅游体育与传媒支出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68.13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68.13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20701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文化和旅游</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68.13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68.13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2070109</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群众文化</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13.63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13.63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2070199</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其他文化和旅游支出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54.50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54.50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社会保障和就业支出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173.45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173.45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20801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人力资源和社会保障管理事务</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66.79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66.79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2080101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行政运行</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6.79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6.79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2080199</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其他人力资源和社会保障管理事务支出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60.00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60.00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行政事业单位离退休</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106.66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106.66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机关事业单位基本养老保险缴费支出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106.66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106.66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卫生健康支出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160.77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160.77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21007</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计划生育事务</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102.41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102.41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2100717</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计划生育服务</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34.54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34.54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2100799</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其他计划生育事务支出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67.87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67.87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行政事业单位医疗</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58.36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58.36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2101101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行政单位医疗</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12.31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12.31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事业单位医疗</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46.05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46.05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213</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农林水支出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445.21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445.21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21301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农业</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247.44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247.44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2130104</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事业运行</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247.44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247.44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21307</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农村综合改革</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197.77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197.77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2130705</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对村民委员会和村党支部的补助</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197.77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197.77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住房保障支出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76.88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76.88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22102</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住房改革支出</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76.88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76.88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2210201</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住房公积金</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76.88 </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1"/>
                <w:szCs w:val="21"/>
                <w:u w:val="none"/>
                <w:lang w:val="en-US" w:eastAsia="zh-CN" w:bidi="ar"/>
              </w:rPr>
              <w:t xml:space="preserve">76.88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rPr>
          <w:rFonts w:hint="eastAsia" w:ascii="宋体" w:hAnsi="宋体" w:cs="宋体"/>
          <w:color w:val="000000"/>
          <w:kern w:val="0"/>
          <w:szCs w:val="21"/>
        </w:rPr>
      </w:pPr>
      <w:r>
        <w:rPr>
          <w:rFonts w:hint="eastAsia" w:ascii="宋体" w:hAnsi="宋体" w:cs="宋体"/>
          <w:szCs w:val="21"/>
        </w:rPr>
        <w:t>注：本表反映部门本年度取得的各项收入情况。</w:t>
      </w:r>
      <w:r>
        <w:rPr>
          <w:rFonts w:hint="eastAsia" w:ascii="宋体" w:hAnsi="宋体" w:cs="宋体"/>
          <w:color w:val="000000"/>
          <w:kern w:val="0"/>
          <w:szCs w:val="21"/>
        </w:rPr>
        <w:t>本表金额转换为万元时，因四舍五入可能存在尾差</w:t>
      </w:r>
    </w:p>
    <w:p>
      <w:pPr>
        <w:bidi w:val="0"/>
        <w:rPr>
          <w:rFonts w:hint="eastAsia" w:ascii="Calibri" w:hAnsi="Calibri" w:eastAsia="宋体" w:cs="黑体"/>
          <w:kern w:val="2"/>
          <w:sz w:val="21"/>
          <w:szCs w:val="24"/>
          <w:lang w:val="en-US" w:eastAsia="zh-CN" w:bidi="ar-SA"/>
        </w:rPr>
      </w:pPr>
    </w:p>
    <w:p>
      <w:pPr>
        <w:tabs>
          <w:tab w:val="left" w:pos="10054"/>
        </w:tabs>
        <w:bidi w:val="0"/>
        <w:jc w:val="left"/>
        <w:rPr>
          <w:rFonts w:hint="eastAsia"/>
          <w:lang w:val="en-US" w:eastAsia="zh-CN"/>
        </w:rPr>
        <w:sectPr>
          <w:pgSz w:w="11906" w:h="16838"/>
          <w:pgMar w:top="1985" w:right="1474" w:bottom="1985" w:left="1588" w:header="851" w:footer="992" w:gutter="0"/>
          <w:cols w:space="0" w:num="1"/>
          <w:titlePg/>
          <w:docGrid w:type="lines" w:linePitch="315" w:charSpace="0"/>
        </w:sectPr>
      </w:pPr>
      <w:r>
        <w:rPr>
          <w:rFonts w:hint="eastAsia"/>
          <w:lang w:val="en-US" w:eastAsia="zh-CN"/>
        </w:rPr>
        <w:tab/>
      </w:r>
    </w:p>
    <w:p>
      <w:pPr>
        <w:jc w:val="center"/>
        <w:rPr>
          <w:rFonts w:ascii="宋体" w:hAnsi="宋体" w:cs="宋体"/>
          <w:b/>
          <w:bCs/>
          <w:sz w:val="32"/>
          <w:szCs w:val="32"/>
        </w:rPr>
      </w:pPr>
      <w:r>
        <w:rPr>
          <w:rFonts w:hint="eastAsia" w:ascii="宋体" w:hAnsi="宋体" w:cs="宋体"/>
          <w:b/>
          <w:bCs/>
          <w:sz w:val="32"/>
          <w:szCs w:val="32"/>
        </w:rPr>
        <w:t>支出决算表</w:t>
      </w:r>
    </w:p>
    <w:p>
      <w:pPr>
        <w:ind w:left="7951" w:hanging="7951" w:hangingChars="3300"/>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color w:val="2E75B6" w:themeColor="accent1" w:themeShade="BF"/>
          <w:szCs w:val="21"/>
        </w:rPr>
        <w:t>编制部门：</w:t>
      </w:r>
      <w:r>
        <w:rPr>
          <w:rFonts w:hint="eastAsia" w:ascii="宋体" w:hAnsi="宋体" w:cs="宋体"/>
          <w:b/>
          <w:bCs/>
          <w:color w:val="2E75B6" w:themeColor="accent1" w:themeShade="BF"/>
          <w:szCs w:val="21"/>
          <w:lang w:val="en-US" w:eastAsia="zh-CN"/>
        </w:rPr>
        <w:t>靖边县杨米涧镇人民政府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7"/>
        <w:tblW w:w="8840" w:type="dxa"/>
        <w:tblInd w:w="0" w:type="dxa"/>
        <w:tblLayout w:type="fixed"/>
        <w:tblCellMar>
          <w:top w:w="15" w:type="dxa"/>
          <w:left w:w="15" w:type="dxa"/>
          <w:bottom w:w="15" w:type="dxa"/>
          <w:right w:w="15" w:type="dxa"/>
        </w:tblCellMar>
      </w:tblPr>
      <w:tblGrid>
        <w:gridCol w:w="914"/>
        <w:gridCol w:w="1779"/>
        <w:gridCol w:w="1131"/>
        <w:gridCol w:w="1208"/>
        <w:gridCol w:w="1165"/>
        <w:gridCol w:w="831"/>
        <w:gridCol w:w="623"/>
        <w:gridCol w:w="1189"/>
      </w:tblGrid>
      <w:tr>
        <w:tblPrEx>
          <w:tblCellMar>
            <w:top w:w="15" w:type="dxa"/>
            <w:left w:w="15" w:type="dxa"/>
            <w:bottom w:w="15" w:type="dxa"/>
            <w:right w:w="15" w:type="dxa"/>
          </w:tblCellMar>
        </w:tblPrEx>
        <w:trPr>
          <w:trHeight w:val="372" w:hRule="atLeast"/>
        </w:trPr>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1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8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283" w:hRule="atLeast"/>
        </w:trPr>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2041</w:t>
            </w:r>
            <w:r>
              <w:rPr>
                <w:rFonts w:hint="eastAsia" w:ascii="宋体" w:hAnsi="宋体" w:cs="宋体"/>
                <w:color w:val="000000"/>
                <w:szCs w:val="21"/>
                <w:lang w:eastAsia="zh-CN"/>
              </w:rPr>
              <w:t>.</w:t>
            </w:r>
            <w:r>
              <w:rPr>
                <w:rFonts w:hint="eastAsia" w:ascii="宋体" w:hAnsi="宋体" w:cs="宋体"/>
                <w:color w:val="000000"/>
                <w:szCs w:val="21"/>
              </w:rPr>
              <w:t>21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1407.02</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634.19</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一般公共服务支出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1116.77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680.35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436.42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人大事务</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19.51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19.51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2010101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行政运行</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19.51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19.51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20103</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政府办公厅（室）及相关机构事务</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946.87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535.45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411.42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2010301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行政运行</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535.45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535.45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2010399</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其他政府办公厅（室）及相关机构事务支出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411.42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411.42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20106</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财政事务</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105.42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105.42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2010603</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机关服务</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105.42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105.42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20131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党委办公厅（室）及相关机构事务</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44.98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19.98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25.00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2013101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行政运行</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19.98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19.98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2013199</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其他党委办公厅（室）及相关机构事务支出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25.00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25.00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207</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文化旅游体育与传媒支出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68.13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68.13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20701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文化和旅游</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68.13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68.13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2070109</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群众文化</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13.63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13.63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2070199</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其他文化和旅游支出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54.50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54.50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社会保障和就业支出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173.45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173.45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人力资源和社会保障管理事务</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66.79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66.79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2080101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行政运行</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6.79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6.79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2080199</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其他人力资源和社会保障管理事务支出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60.00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60.00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行政事业单位离退休</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106.66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106.66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2080505</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机关事业单位基本养老保险缴费支出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106.66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106.66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卫生健康支出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160.77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160.77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21007</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计划生育事务</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102.41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102.41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2100717</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计划生育服务</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34.54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34.54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2100799</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其他计划生育事务支出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67.87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67.87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21011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行政事业单位医疗</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58.36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58.36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2101101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行政单位医疗</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12.31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12.31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2101102</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事业单位医疗</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46.05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46.05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农林水支出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445.21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247.44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197.77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农业</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247.44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247.44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2130104</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事业运行</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247.44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247.44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21307</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农村综合改革</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197.77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197.77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2130705</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对村民委员会和村党支部的补助</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197.77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197.77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住房保障支出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76.88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76.88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22102</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住房改革支出</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76.88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76.88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2210201</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住房公积金</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76.88 </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76.88 </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0.00 </w:t>
            </w:r>
          </w:p>
        </w:tc>
        <w:tc>
          <w:tcPr>
            <w:tcW w:w="8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注：本表反映部门本年度各项支出情况。</w:t>
      </w:r>
      <w:r>
        <w:rPr>
          <w:rFonts w:hint="eastAsia" w:ascii="宋体" w:hAnsi="宋体" w:cs="宋体"/>
          <w:color w:val="000000"/>
          <w:kern w:val="0"/>
          <w:szCs w:val="21"/>
        </w:rPr>
        <w:t>本表金额转换为万元时，因四舍五入可能存在尾差。</w:t>
      </w:r>
    </w:p>
    <w:p>
      <w:pPr>
        <w:tabs>
          <w:tab w:val="left" w:pos="10054"/>
        </w:tabs>
        <w:bidi w:val="0"/>
        <w:jc w:val="left"/>
        <w:rPr>
          <w:rFonts w:hint="eastAsia"/>
          <w:lang w:val="en-US" w:eastAsia="zh-CN"/>
        </w:rPr>
        <w:sectPr>
          <w:pgSz w:w="11906" w:h="16838"/>
          <w:pgMar w:top="1985" w:right="1474" w:bottom="1985" w:left="1588" w:header="851" w:footer="992" w:gutter="0"/>
          <w:cols w:space="0" w:num="1"/>
          <w:titlePg/>
          <w:docGrid w:type="lines" w:linePitch="315" w:charSpace="0"/>
        </w:sect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color w:val="2E75B6" w:themeColor="accent1" w:themeShade="BF"/>
          <w:szCs w:val="21"/>
        </w:rPr>
        <w:t>编制部门：</w:t>
      </w:r>
      <w:r>
        <w:rPr>
          <w:rFonts w:hint="eastAsia" w:ascii="宋体" w:hAnsi="宋体" w:cs="宋体"/>
          <w:b/>
          <w:bCs/>
          <w:color w:val="2E75B6" w:themeColor="accent1" w:themeShade="BF"/>
          <w:szCs w:val="21"/>
          <w:lang w:val="en-US" w:eastAsia="zh-CN"/>
        </w:rPr>
        <w:t>靖边县杨米涧镇人民政府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7"/>
        <w:tblW w:w="8647" w:type="dxa"/>
        <w:tblInd w:w="0" w:type="dxa"/>
        <w:tblLayout w:type="fixed"/>
        <w:tblCellMar>
          <w:top w:w="15" w:type="dxa"/>
          <w:left w:w="15" w:type="dxa"/>
          <w:bottom w:w="15" w:type="dxa"/>
          <w:right w:w="15" w:type="dxa"/>
        </w:tblCellMar>
      </w:tblPr>
      <w:tblGrid>
        <w:gridCol w:w="1966"/>
        <w:gridCol w:w="1039"/>
        <w:gridCol w:w="1777"/>
        <w:gridCol w:w="1142"/>
        <w:gridCol w:w="1339"/>
        <w:gridCol w:w="1384"/>
      </w:tblGrid>
      <w:tr>
        <w:tblPrEx>
          <w:tblCellMar>
            <w:top w:w="15" w:type="dxa"/>
            <w:left w:w="15" w:type="dxa"/>
            <w:bottom w:w="15" w:type="dxa"/>
            <w:right w:w="15" w:type="dxa"/>
          </w:tblCellMar>
        </w:tblPrEx>
        <w:trPr>
          <w:trHeight w:val="183" w:hRule="atLeast"/>
        </w:trPr>
        <w:tc>
          <w:tcPr>
            <w:tcW w:w="30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收入</w:t>
            </w:r>
          </w:p>
        </w:tc>
        <w:tc>
          <w:tcPr>
            <w:tcW w:w="5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支出</w:t>
            </w:r>
          </w:p>
        </w:tc>
      </w:tr>
      <w:tr>
        <w:tblPrEx>
          <w:tblCellMar>
            <w:top w:w="15" w:type="dxa"/>
            <w:left w:w="15" w:type="dxa"/>
            <w:bottom w:w="15" w:type="dxa"/>
            <w:right w:w="15" w:type="dxa"/>
          </w:tblCellMar>
        </w:tblPrEx>
        <w:trPr>
          <w:trHeight w:val="33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项    目</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决算数</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项目</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合计</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一般公共预算财政拨款</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政府性基金预算财政拨款</w:t>
            </w: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1、一般公共预算财政拨款</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2041</w:t>
            </w:r>
            <w:r>
              <w:rPr>
                <w:rFonts w:hint="eastAsia" w:ascii="宋体" w:hAnsi="宋体" w:cs="宋体"/>
                <w:color w:val="000000"/>
                <w:sz w:val="20"/>
                <w:szCs w:val="20"/>
                <w:lang w:eastAsia="zh-CN"/>
              </w:rPr>
              <w:t>.</w:t>
            </w:r>
            <w:r>
              <w:rPr>
                <w:rFonts w:hint="eastAsia" w:ascii="宋体" w:hAnsi="宋体" w:cs="宋体"/>
                <w:color w:val="000000"/>
                <w:sz w:val="20"/>
                <w:szCs w:val="20"/>
              </w:rPr>
              <w:t>21</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1、一般公共服务支出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1116</w:t>
            </w:r>
            <w:r>
              <w:rPr>
                <w:rFonts w:hint="eastAsia" w:ascii="宋体" w:hAnsi="宋体" w:cs="宋体"/>
                <w:color w:val="000000"/>
                <w:szCs w:val="21"/>
                <w:lang w:eastAsia="zh-CN"/>
              </w:rPr>
              <w:t>.</w:t>
            </w:r>
            <w:r>
              <w:rPr>
                <w:rFonts w:hint="eastAsia" w:ascii="宋体" w:hAnsi="宋体" w:cs="宋体"/>
                <w:color w:val="000000"/>
                <w:szCs w:val="21"/>
              </w:rPr>
              <w:t>77</w:t>
            </w: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1116</w:t>
            </w:r>
            <w:r>
              <w:rPr>
                <w:rFonts w:hint="eastAsia" w:ascii="宋体" w:hAnsi="宋体" w:cs="宋体"/>
                <w:color w:val="000000"/>
                <w:szCs w:val="21"/>
                <w:lang w:eastAsia="zh-CN"/>
              </w:rPr>
              <w:t>.</w:t>
            </w:r>
            <w:r>
              <w:rPr>
                <w:rFonts w:hint="eastAsia" w:ascii="宋体" w:hAnsi="宋体" w:cs="宋体"/>
                <w:color w:val="000000"/>
                <w:szCs w:val="21"/>
              </w:rPr>
              <w:t>77</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2、政府性基金预算财政拨款</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2、外交支出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3、国有资本经营预算收入</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3、国防支出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4、公共安全支出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5、教育支出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6、科学技术支出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7、</w:t>
            </w:r>
            <w:r>
              <w:rPr>
                <w:rFonts w:hint="eastAsia" w:ascii="宋体" w:hAnsi="宋体" w:cs="宋体"/>
                <w:color w:val="000000"/>
                <w:spacing w:val="-11"/>
                <w:w w:val="98"/>
                <w:kern w:val="0"/>
                <w:sz w:val="15"/>
                <w:szCs w:val="15"/>
              </w:rPr>
              <w:t>文化旅游体育与传媒支出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68</w:t>
            </w:r>
            <w:r>
              <w:rPr>
                <w:rFonts w:hint="eastAsia" w:ascii="宋体" w:hAnsi="宋体" w:cs="宋体"/>
                <w:color w:val="000000"/>
                <w:szCs w:val="21"/>
                <w:lang w:eastAsia="zh-CN"/>
              </w:rPr>
              <w:t>.</w:t>
            </w:r>
            <w:r>
              <w:rPr>
                <w:rFonts w:hint="eastAsia" w:ascii="宋体" w:hAnsi="宋体" w:cs="宋体"/>
                <w:color w:val="000000"/>
                <w:szCs w:val="21"/>
              </w:rPr>
              <w:t>1</w:t>
            </w:r>
            <w:r>
              <w:rPr>
                <w:rFonts w:hint="eastAsia" w:ascii="宋体" w:hAnsi="宋体" w:cs="宋体"/>
                <w:color w:val="000000"/>
                <w:szCs w:val="21"/>
                <w:lang w:val="en-US" w:eastAsia="zh-CN"/>
              </w:rPr>
              <w:t>3</w:t>
            </w: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68</w:t>
            </w:r>
            <w:r>
              <w:rPr>
                <w:rFonts w:hint="eastAsia" w:ascii="宋体" w:hAnsi="宋体" w:cs="宋体"/>
                <w:color w:val="000000"/>
                <w:szCs w:val="21"/>
                <w:lang w:eastAsia="zh-CN"/>
              </w:rPr>
              <w:t>.</w:t>
            </w:r>
            <w:r>
              <w:rPr>
                <w:rFonts w:hint="eastAsia" w:ascii="宋体" w:hAnsi="宋体" w:cs="宋体"/>
                <w:color w:val="000000"/>
                <w:szCs w:val="21"/>
              </w:rPr>
              <w:t>1</w:t>
            </w:r>
            <w:r>
              <w:rPr>
                <w:rFonts w:hint="eastAsia" w:ascii="宋体" w:hAnsi="宋体" w:cs="宋体"/>
                <w:color w:val="000000"/>
                <w:szCs w:val="21"/>
                <w:lang w:val="en-US" w:eastAsia="zh-CN"/>
              </w:rPr>
              <w:t>3</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8、社会保障和就业支出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173</w:t>
            </w:r>
            <w:r>
              <w:rPr>
                <w:rFonts w:hint="eastAsia" w:ascii="宋体" w:hAnsi="宋体" w:cs="宋体"/>
                <w:color w:val="000000"/>
                <w:szCs w:val="21"/>
                <w:lang w:eastAsia="zh-CN"/>
              </w:rPr>
              <w:t>.</w:t>
            </w:r>
            <w:r>
              <w:rPr>
                <w:rFonts w:hint="eastAsia" w:ascii="宋体" w:hAnsi="宋体" w:cs="宋体"/>
                <w:color w:val="000000"/>
                <w:szCs w:val="21"/>
              </w:rPr>
              <w:t>45</w:t>
            </w: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173</w:t>
            </w:r>
            <w:r>
              <w:rPr>
                <w:rFonts w:hint="eastAsia" w:ascii="宋体" w:hAnsi="宋体" w:cs="宋体"/>
                <w:color w:val="000000"/>
                <w:szCs w:val="21"/>
                <w:lang w:eastAsia="zh-CN"/>
              </w:rPr>
              <w:t>.</w:t>
            </w:r>
            <w:r>
              <w:rPr>
                <w:rFonts w:hint="eastAsia" w:ascii="宋体" w:hAnsi="宋体" w:cs="宋体"/>
                <w:color w:val="000000"/>
                <w:szCs w:val="21"/>
              </w:rPr>
              <w:t>45</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9、卫生健康支出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160</w:t>
            </w:r>
            <w:r>
              <w:rPr>
                <w:rFonts w:hint="eastAsia" w:ascii="宋体" w:hAnsi="宋体" w:cs="宋体"/>
                <w:color w:val="000000"/>
                <w:szCs w:val="21"/>
                <w:lang w:eastAsia="zh-CN"/>
              </w:rPr>
              <w:t>.</w:t>
            </w:r>
            <w:r>
              <w:rPr>
                <w:rFonts w:hint="eastAsia" w:ascii="宋体" w:hAnsi="宋体" w:cs="宋体"/>
                <w:color w:val="000000"/>
                <w:szCs w:val="21"/>
              </w:rPr>
              <w:t>77</w:t>
            </w: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160</w:t>
            </w:r>
            <w:r>
              <w:rPr>
                <w:rFonts w:hint="eastAsia" w:ascii="宋体" w:hAnsi="宋体" w:cs="宋体"/>
                <w:color w:val="000000"/>
                <w:szCs w:val="21"/>
                <w:lang w:eastAsia="zh-CN"/>
              </w:rPr>
              <w:t>.</w:t>
            </w:r>
            <w:r>
              <w:rPr>
                <w:rFonts w:hint="eastAsia" w:ascii="宋体" w:hAnsi="宋体" w:cs="宋体"/>
                <w:color w:val="000000"/>
                <w:szCs w:val="21"/>
              </w:rPr>
              <w:t>77</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10、节能环保支出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11、城乡社区支出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12、农林水支出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445</w:t>
            </w:r>
            <w:r>
              <w:rPr>
                <w:rFonts w:hint="eastAsia" w:ascii="宋体" w:hAnsi="宋体" w:cs="宋体"/>
                <w:color w:val="000000"/>
                <w:szCs w:val="21"/>
                <w:lang w:eastAsia="zh-CN"/>
              </w:rPr>
              <w:t>.</w:t>
            </w:r>
            <w:r>
              <w:rPr>
                <w:rFonts w:hint="eastAsia" w:ascii="宋体" w:hAnsi="宋体" w:cs="宋体"/>
                <w:color w:val="000000"/>
                <w:szCs w:val="21"/>
              </w:rPr>
              <w:t>2</w:t>
            </w:r>
            <w:r>
              <w:rPr>
                <w:rFonts w:hint="eastAsia" w:ascii="宋体" w:hAnsi="宋体" w:cs="宋体"/>
                <w:color w:val="000000"/>
                <w:szCs w:val="21"/>
                <w:lang w:val="en-US" w:eastAsia="zh-CN"/>
              </w:rPr>
              <w:t>1</w:t>
            </w: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445</w:t>
            </w:r>
            <w:r>
              <w:rPr>
                <w:rFonts w:hint="eastAsia" w:ascii="宋体" w:hAnsi="宋体" w:cs="宋体"/>
                <w:color w:val="000000"/>
                <w:szCs w:val="21"/>
                <w:lang w:eastAsia="zh-CN"/>
              </w:rPr>
              <w:t>.</w:t>
            </w:r>
            <w:r>
              <w:rPr>
                <w:rFonts w:hint="eastAsia" w:ascii="宋体" w:hAnsi="宋体" w:cs="宋体"/>
                <w:color w:val="000000"/>
                <w:szCs w:val="21"/>
              </w:rPr>
              <w:t>2</w:t>
            </w:r>
            <w:r>
              <w:rPr>
                <w:rFonts w:hint="eastAsia" w:ascii="宋体" w:hAnsi="宋体" w:cs="宋体"/>
                <w:color w:val="000000"/>
                <w:szCs w:val="21"/>
                <w:lang w:val="en-US" w:eastAsia="zh-CN"/>
              </w:rPr>
              <w:t>1</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13、交通运输支出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14、资源勘探信息等支出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15、商业服务业等支出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16、金融支出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17、援助其他地区支出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18、</w:t>
            </w:r>
            <w:r>
              <w:rPr>
                <w:rFonts w:hint="eastAsia" w:ascii="宋体" w:hAnsi="宋体" w:cs="宋体"/>
                <w:color w:val="000000"/>
                <w:spacing w:val="-11"/>
                <w:w w:val="98"/>
                <w:kern w:val="0"/>
                <w:sz w:val="15"/>
                <w:szCs w:val="15"/>
              </w:rPr>
              <w:t>自然资源海洋气象等支出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11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19、住房保障支出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76</w:t>
            </w:r>
            <w:r>
              <w:rPr>
                <w:rFonts w:hint="eastAsia" w:ascii="宋体" w:hAnsi="宋体" w:cs="宋体"/>
                <w:color w:val="000000"/>
                <w:szCs w:val="21"/>
                <w:lang w:eastAsia="zh-CN"/>
              </w:rPr>
              <w:t>.</w:t>
            </w:r>
            <w:r>
              <w:rPr>
                <w:rFonts w:hint="eastAsia" w:ascii="宋体" w:hAnsi="宋体" w:cs="宋体"/>
                <w:color w:val="000000"/>
                <w:szCs w:val="21"/>
              </w:rPr>
              <w:t>88</w:t>
            </w: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76</w:t>
            </w:r>
            <w:r>
              <w:rPr>
                <w:rFonts w:hint="eastAsia" w:ascii="宋体" w:hAnsi="宋体" w:cs="宋体"/>
                <w:color w:val="000000"/>
                <w:szCs w:val="21"/>
                <w:lang w:eastAsia="zh-CN"/>
              </w:rPr>
              <w:t>.</w:t>
            </w:r>
            <w:r>
              <w:rPr>
                <w:rFonts w:hint="eastAsia" w:ascii="宋体" w:hAnsi="宋体" w:cs="宋体"/>
                <w:color w:val="000000"/>
                <w:szCs w:val="21"/>
              </w:rPr>
              <w:t>88</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11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5"/>
                <w:szCs w:val="15"/>
              </w:rPr>
            </w:pPr>
            <w:r>
              <w:rPr>
                <w:rFonts w:hint="eastAsia" w:ascii="宋体" w:hAnsi="宋体" w:cs="宋体"/>
                <w:color w:val="000000"/>
                <w:kern w:val="0"/>
                <w:sz w:val="15"/>
                <w:szCs w:val="15"/>
              </w:rPr>
              <w:t>20、粮油物资储备支出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11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21、灾害防治及应急管理支出</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11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22、其他支出</w:t>
            </w:r>
          </w:p>
        </w:tc>
        <w:tc>
          <w:tcPr>
            <w:tcW w:w="1142" w:type="dxa"/>
            <w:tcBorders>
              <w:top w:val="single" w:color="000000" w:sz="4" w:space="0"/>
              <w:bottom w:val="single" w:color="000000" w:sz="4" w:space="0"/>
              <w:right w:val="single" w:color="000000" w:sz="4" w:space="0"/>
            </w:tcBorders>
            <w:vAlign w:val="center"/>
          </w:tcPr>
          <w:p>
            <w:pPr>
              <w:widowControl/>
              <w:ind w:firstLine="210" w:firstLineChars="100"/>
              <w:jc w:val="right"/>
              <w:textAlignment w:val="center"/>
              <w:rPr>
                <w:rFonts w:ascii="宋体" w:hAnsi="宋体" w:cs="宋体"/>
                <w:color w:val="000000"/>
                <w:kern w:val="0"/>
                <w:szCs w:val="21"/>
              </w:rPr>
            </w:pPr>
          </w:p>
        </w:tc>
        <w:tc>
          <w:tcPr>
            <w:tcW w:w="1339"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p>
        </w:tc>
        <w:tc>
          <w:tcPr>
            <w:tcW w:w="1384"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p>
        </w:tc>
      </w:tr>
      <w:tr>
        <w:tblPrEx>
          <w:tblCellMar>
            <w:top w:w="15" w:type="dxa"/>
            <w:left w:w="15" w:type="dxa"/>
            <w:bottom w:w="15" w:type="dxa"/>
            <w:right w:w="15" w:type="dxa"/>
          </w:tblCellMar>
        </w:tblPrEx>
        <w:trPr>
          <w:trHeight w:val="11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color w:val="000000"/>
                <w:kern w:val="0"/>
                <w:sz w:val="15"/>
                <w:szCs w:val="15"/>
              </w:rPr>
              <w:t>本年收入合计</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b/>
                <w:color w:val="000000"/>
                <w:szCs w:val="21"/>
                <w:lang w:val="en-US" w:eastAsia="zh-CN"/>
              </w:rPr>
              <w:t>2041.21</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本年支出合计</w:t>
            </w:r>
          </w:p>
        </w:tc>
        <w:tc>
          <w:tcPr>
            <w:tcW w:w="1142" w:type="dxa"/>
            <w:tcBorders>
              <w:top w:val="single" w:color="000000" w:sz="4" w:space="0"/>
              <w:bottom w:val="single" w:color="000000" w:sz="4" w:space="0"/>
              <w:right w:val="single" w:color="000000" w:sz="4" w:space="0"/>
            </w:tcBorders>
            <w:vAlign w:val="center"/>
          </w:tcPr>
          <w:p>
            <w:pPr>
              <w:jc w:val="right"/>
              <w:rPr>
                <w:rFonts w:hint="eastAsia" w:ascii="宋体" w:hAnsi="宋体" w:cs="宋体"/>
                <w:b/>
                <w:color w:val="000000"/>
                <w:szCs w:val="21"/>
                <w:lang w:val="en-US" w:eastAsia="zh-CN"/>
              </w:rPr>
            </w:pPr>
            <w:r>
              <w:rPr>
                <w:rFonts w:hint="eastAsia" w:ascii="宋体" w:hAnsi="宋体" w:cs="宋体"/>
                <w:b/>
                <w:color w:val="000000"/>
                <w:szCs w:val="21"/>
                <w:lang w:val="en-US" w:eastAsia="zh-CN"/>
              </w:rPr>
              <w:t>2041.21</w:t>
            </w:r>
          </w:p>
        </w:tc>
        <w:tc>
          <w:tcPr>
            <w:tcW w:w="1339" w:type="dxa"/>
            <w:tcBorders>
              <w:top w:val="single" w:color="000000" w:sz="4" w:space="0"/>
              <w:bottom w:val="single" w:color="000000" w:sz="4" w:space="0"/>
              <w:right w:val="single" w:color="000000" w:sz="4" w:space="0"/>
            </w:tcBorders>
            <w:vAlign w:val="center"/>
          </w:tcPr>
          <w:p>
            <w:pPr>
              <w:jc w:val="right"/>
              <w:rPr>
                <w:rFonts w:hint="eastAsia" w:ascii="宋体" w:hAnsi="宋体" w:cs="宋体"/>
                <w:b/>
                <w:color w:val="000000"/>
                <w:szCs w:val="21"/>
                <w:lang w:val="en-US" w:eastAsia="zh-CN"/>
              </w:rPr>
            </w:pPr>
            <w:r>
              <w:rPr>
                <w:rFonts w:hint="eastAsia" w:ascii="宋体" w:hAnsi="宋体" w:cs="宋体"/>
                <w:b/>
                <w:color w:val="000000"/>
                <w:szCs w:val="21"/>
                <w:lang w:val="en-US" w:eastAsia="zh-CN"/>
              </w:rPr>
              <w:t>2041.21</w:t>
            </w:r>
          </w:p>
        </w:tc>
        <w:tc>
          <w:tcPr>
            <w:tcW w:w="1384"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r>
        <w:tblPrEx>
          <w:tblCellMar>
            <w:top w:w="15" w:type="dxa"/>
            <w:left w:w="15" w:type="dxa"/>
            <w:bottom w:w="15" w:type="dxa"/>
            <w:right w:w="15" w:type="dxa"/>
          </w:tblCellMar>
        </w:tblPrEx>
        <w:trPr>
          <w:trHeight w:val="11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color w:val="000000"/>
                <w:kern w:val="0"/>
                <w:sz w:val="15"/>
                <w:szCs w:val="15"/>
              </w:rPr>
              <w:t>年初财政拨款结转和结余</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5"/>
                <w:szCs w:val="15"/>
              </w:rPr>
            </w:pPr>
            <w:r>
              <w:rPr>
                <w:rFonts w:hint="eastAsia" w:ascii="宋体" w:hAnsi="宋体" w:cs="宋体"/>
                <w:color w:val="000000"/>
                <w:kern w:val="0"/>
                <w:sz w:val="15"/>
                <w:szCs w:val="15"/>
              </w:rPr>
              <w:t>年末财政拨款结转和结余</w:t>
            </w:r>
          </w:p>
        </w:tc>
        <w:tc>
          <w:tcPr>
            <w:tcW w:w="1142" w:type="dxa"/>
            <w:tcBorders>
              <w:top w:val="single" w:color="000000" w:sz="4" w:space="0"/>
              <w:bottom w:val="single" w:color="000000" w:sz="4" w:space="0"/>
              <w:right w:val="single" w:color="000000" w:sz="4" w:space="0"/>
            </w:tcBorders>
            <w:vAlign w:val="center"/>
          </w:tcPr>
          <w:p>
            <w:pPr>
              <w:widowControl/>
              <w:ind w:firstLine="210" w:firstLineChars="100"/>
              <w:jc w:val="right"/>
              <w:textAlignment w:val="center"/>
              <w:rPr>
                <w:rFonts w:ascii="宋体" w:hAnsi="宋体" w:cs="宋体"/>
                <w:color w:val="000000"/>
                <w:kern w:val="0"/>
                <w:szCs w:val="21"/>
              </w:rPr>
            </w:pPr>
          </w:p>
        </w:tc>
        <w:tc>
          <w:tcPr>
            <w:tcW w:w="1339"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p>
        </w:tc>
        <w:tc>
          <w:tcPr>
            <w:tcW w:w="1384"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p>
        </w:tc>
      </w:tr>
      <w:tr>
        <w:tblPrEx>
          <w:tblCellMar>
            <w:top w:w="15" w:type="dxa"/>
            <w:left w:w="15" w:type="dxa"/>
            <w:bottom w:w="15" w:type="dxa"/>
            <w:right w:w="15" w:type="dxa"/>
          </w:tblCellMar>
        </w:tblPrEx>
        <w:trPr>
          <w:trHeight w:val="11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color w:val="000000"/>
                <w:kern w:val="0"/>
                <w:sz w:val="15"/>
                <w:szCs w:val="15"/>
              </w:rPr>
              <w:t>1、一般公共预算财政拨款</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5"/>
                <w:szCs w:val="15"/>
              </w:rPr>
            </w:pPr>
          </w:p>
        </w:tc>
        <w:tc>
          <w:tcPr>
            <w:tcW w:w="1142" w:type="dxa"/>
            <w:tcBorders>
              <w:top w:val="single" w:color="000000" w:sz="4" w:space="0"/>
              <w:bottom w:val="single" w:color="000000" w:sz="4" w:space="0"/>
              <w:right w:val="single" w:color="000000" w:sz="4" w:space="0"/>
            </w:tcBorders>
            <w:vAlign w:val="center"/>
          </w:tcPr>
          <w:p>
            <w:pPr>
              <w:widowControl/>
              <w:ind w:firstLine="210" w:firstLineChars="100"/>
              <w:jc w:val="right"/>
              <w:textAlignment w:val="center"/>
              <w:rPr>
                <w:rFonts w:ascii="宋体" w:hAnsi="宋体" w:cs="宋体"/>
                <w:color w:val="000000"/>
                <w:kern w:val="0"/>
                <w:szCs w:val="21"/>
              </w:rPr>
            </w:pPr>
          </w:p>
        </w:tc>
        <w:tc>
          <w:tcPr>
            <w:tcW w:w="1339"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p>
        </w:tc>
        <w:tc>
          <w:tcPr>
            <w:tcW w:w="1384"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p>
        </w:tc>
      </w:tr>
      <w:tr>
        <w:tblPrEx>
          <w:tblCellMar>
            <w:top w:w="15" w:type="dxa"/>
            <w:left w:w="15" w:type="dxa"/>
            <w:bottom w:w="15" w:type="dxa"/>
            <w:right w:w="15" w:type="dxa"/>
          </w:tblCellMar>
        </w:tblPrEx>
        <w:trPr>
          <w:trHeight w:val="11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color w:val="000000"/>
                <w:kern w:val="0"/>
                <w:sz w:val="15"/>
                <w:szCs w:val="15"/>
              </w:rPr>
              <w:t>2、政府性基金预算财政拨款</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5"/>
                <w:szCs w:val="15"/>
              </w:rPr>
            </w:pPr>
          </w:p>
        </w:tc>
        <w:tc>
          <w:tcPr>
            <w:tcW w:w="1142" w:type="dxa"/>
            <w:tcBorders>
              <w:top w:val="single" w:color="000000" w:sz="4" w:space="0"/>
              <w:bottom w:val="single" w:color="000000" w:sz="4" w:space="0"/>
              <w:right w:val="single" w:color="000000" w:sz="4" w:space="0"/>
            </w:tcBorders>
            <w:vAlign w:val="center"/>
          </w:tcPr>
          <w:p>
            <w:pPr>
              <w:widowControl/>
              <w:ind w:firstLine="210" w:firstLineChars="100"/>
              <w:jc w:val="right"/>
              <w:textAlignment w:val="center"/>
              <w:rPr>
                <w:rFonts w:ascii="宋体" w:hAnsi="宋体" w:cs="宋体"/>
                <w:color w:val="000000"/>
                <w:kern w:val="0"/>
                <w:szCs w:val="21"/>
              </w:rPr>
            </w:pPr>
          </w:p>
        </w:tc>
        <w:tc>
          <w:tcPr>
            <w:tcW w:w="1339"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p>
        </w:tc>
        <w:tc>
          <w:tcPr>
            <w:tcW w:w="1384"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p>
        </w:tc>
      </w:tr>
      <w:tr>
        <w:tblPrEx>
          <w:tblCellMar>
            <w:top w:w="15" w:type="dxa"/>
            <w:left w:w="15" w:type="dxa"/>
            <w:bottom w:w="15" w:type="dxa"/>
            <w:right w:w="15" w:type="dxa"/>
          </w:tblCellMar>
        </w:tblPrEx>
        <w:trPr>
          <w:trHeight w:val="11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color w:val="000000"/>
                <w:kern w:val="0"/>
                <w:sz w:val="15"/>
                <w:szCs w:val="15"/>
              </w:rPr>
              <w:t>收入总计</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20"/>
                <w:szCs w:val="20"/>
              </w:rPr>
            </w:pPr>
            <w:r>
              <w:rPr>
                <w:rFonts w:hint="eastAsia" w:ascii="宋体" w:hAnsi="宋体" w:cs="宋体"/>
                <w:b/>
                <w:color w:val="000000"/>
                <w:szCs w:val="21"/>
                <w:lang w:val="en-US" w:eastAsia="zh-CN"/>
              </w:rPr>
              <w:t>2041.21</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支出总计</w:t>
            </w:r>
          </w:p>
        </w:tc>
        <w:tc>
          <w:tcPr>
            <w:tcW w:w="1142" w:type="dxa"/>
            <w:tcBorders>
              <w:top w:val="single" w:color="000000" w:sz="4" w:space="0"/>
              <w:bottom w:val="single" w:color="000000" w:sz="4" w:space="0"/>
              <w:right w:val="single" w:color="000000" w:sz="4" w:space="0"/>
            </w:tcBorders>
            <w:vAlign w:val="center"/>
          </w:tcPr>
          <w:p>
            <w:pPr>
              <w:jc w:val="right"/>
              <w:rPr>
                <w:rFonts w:ascii="宋体" w:hAnsi="宋体" w:cs="宋体"/>
                <w:color w:val="000000"/>
                <w:kern w:val="0"/>
                <w:szCs w:val="21"/>
              </w:rPr>
            </w:pPr>
            <w:r>
              <w:rPr>
                <w:rFonts w:hint="eastAsia" w:ascii="宋体" w:hAnsi="宋体" w:cs="宋体"/>
                <w:b/>
                <w:color w:val="000000"/>
                <w:szCs w:val="21"/>
                <w:lang w:val="en-US" w:eastAsia="zh-CN"/>
              </w:rPr>
              <w:t>2041.21</w:t>
            </w:r>
          </w:p>
        </w:tc>
        <w:tc>
          <w:tcPr>
            <w:tcW w:w="1339"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r>
              <w:rPr>
                <w:rFonts w:hint="eastAsia" w:ascii="宋体" w:hAnsi="宋体" w:cs="宋体"/>
                <w:b/>
                <w:color w:val="000000"/>
                <w:szCs w:val="21"/>
                <w:lang w:val="en-US" w:eastAsia="zh-CN"/>
              </w:rPr>
              <w:t>2041.21</w:t>
            </w:r>
          </w:p>
        </w:tc>
        <w:tc>
          <w:tcPr>
            <w:tcW w:w="1384"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bl>
    <w:p>
      <w:pPr>
        <w:jc w:val="left"/>
        <w:rPr>
          <w:rFonts w:ascii="宋体" w:hAnsi="宋体" w:cs="宋体"/>
          <w:bCs/>
          <w:szCs w:val="21"/>
        </w:rPr>
      </w:pPr>
      <w:r>
        <w:rPr>
          <w:rFonts w:hint="eastAsia" w:ascii="宋体" w:hAnsi="宋体" w:cs="宋体"/>
          <w:bCs/>
          <w:szCs w:val="21"/>
        </w:rPr>
        <w:t>注：本表反映部门本年度一般公共预算财政拨款和政府性基金预算财政拨款的总收支和年末结转结余情况。本表金额转换为万元时，因四舍五入可能存在尾差。</w:t>
      </w:r>
    </w:p>
    <w:p>
      <w:pPr>
        <w:tabs>
          <w:tab w:val="left" w:pos="10054"/>
        </w:tabs>
        <w:bidi w:val="0"/>
        <w:jc w:val="left"/>
        <w:rPr>
          <w:rFonts w:hint="eastAsia"/>
          <w:lang w:val="en-US" w:eastAsia="zh-CN"/>
        </w:rPr>
        <w:sectPr>
          <w:pgSz w:w="11906" w:h="16838"/>
          <w:pgMar w:top="1985" w:right="1474" w:bottom="1985" w:left="1588" w:header="851" w:footer="992" w:gutter="0"/>
          <w:cols w:space="0" w:num="1"/>
          <w:titlePg/>
          <w:docGrid w:type="lines" w:linePitch="315" w:charSpace="0"/>
        </w:sect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color w:val="2E75B6" w:themeColor="accent1" w:themeShade="BF"/>
          <w:szCs w:val="21"/>
        </w:rPr>
        <w:t>编制部门：</w:t>
      </w:r>
      <w:r>
        <w:rPr>
          <w:rFonts w:hint="eastAsia" w:ascii="宋体" w:hAnsi="宋体" w:cs="宋体"/>
          <w:b/>
          <w:bCs/>
          <w:color w:val="2E75B6" w:themeColor="accent1" w:themeShade="BF"/>
          <w:szCs w:val="21"/>
          <w:lang w:val="en-US" w:eastAsia="zh-CN"/>
        </w:rPr>
        <w:t>靖边县杨米涧镇人民政府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7"/>
        <w:tblW w:w="8886" w:type="dxa"/>
        <w:tblInd w:w="0" w:type="dxa"/>
        <w:tblLayout w:type="fixed"/>
        <w:tblCellMar>
          <w:top w:w="15" w:type="dxa"/>
          <w:left w:w="15" w:type="dxa"/>
          <w:bottom w:w="15" w:type="dxa"/>
          <w:right w:w="15" w:type="dxa"/>
        </w:tblCellMar>
      </w:tblPr>
      <w:tblGrid>
        <w:gridCol w:w="1170"/>
        <w:gridCol w:w="1477"/>
        <w:gridCol w:w="920"/>
        <w:gridCol w:w="961"/>
        <w:gridCol w:w="981"/>
        <w:gridCol w:w="1200"/>
        <w:gridCol w:w="1185"/>
        <w:gridCol w:w="992"/>
      </w:tblGrid>
      <w:tr>
        <w:tblPrEx>
          <w:tblCellMar>
            <w:top w:w="15" w:type="dxa"/>
            <w:left w:w="15" w:type="dxa"/>
            <w:bottom w:w="15" w:type="dxa"/>
            <w:right w:w="15" w:type="dxa"/>
          </w:tblCellMar>
        </w:tblPrEx>
        <w:trPr>
          <w:trHeight w:val="414" w:hRule="atLeast"/>
        </w:trPr>
        <w:tc>
          <w:tcPr>
            <w:tcW w:w="2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9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3142"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9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2041.21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1407.02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1187.00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220.02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634.19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一般公共服务支出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1116.77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680.35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460.33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220.02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436.42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人大事务</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19.51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19.51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17.95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1.56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2010101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行政运行</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19.51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19.51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17.95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1.56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20103</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政府办公厅（室）及相关机构事务</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946.87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535.45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335.81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199.64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411.42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2010301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行政运行</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535.45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535.45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335.81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199.64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2010399</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其他政府办公厅（室）及相关机构事务支出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411.42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411.42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20106</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财政事务</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105.42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105.42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88.10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17.32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2010603</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机关服务</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105.42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105.42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88.10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17.32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20131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党委办公厅（室）及相关机构事务</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44.98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19.98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18.48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1.50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25.00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2013101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行政运行</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19.98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19.98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18.48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1.50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2013199</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其他党委办公厅（室）及相关机构事务支出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25.00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25.00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207</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文化旅游体育与传媒支出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68.13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68.13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68.13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20701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文化和旅游</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68.13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68.13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68.13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2070109</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群众文化</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13.63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13.63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13.63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2070199</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其他文化和旅游支出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54.50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54.50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54.50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208</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社会保障和就业支出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173.45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173.45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173.45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20801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人力资源和社会保障管理事务</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66.79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66.79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66.79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2080101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行政运行</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6.79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6.79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6.79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2080199</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其他人力资源和社会保障管理事务支出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60.00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60.00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60.00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20805</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行政事业单位离退休</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106.66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106.66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106.66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2080505</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机关事业单位基本养老保险缴费支出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106.66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106.66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106.66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210</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卫生健康支出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160.77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160.77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160.77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21007</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计划生育事务</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102.41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102.41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102.41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2100717</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计划生育服务</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34.54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34.54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34.54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2100799</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其他计划生育事务支出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67.87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67.87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67.87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21011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行政事业单位医疗</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58.36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58.36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58.36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2101101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行政单位医疗</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12.31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12.31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12.31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2101102</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事业单位医疗</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46.05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46.05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46.05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213</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农林水支出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445.21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247.44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247.44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197.77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21301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农业</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247.44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247.44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247.44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2130104</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事业运行</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247.44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247.44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247.44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bookmarkStart w:id="0" w:name="_GoBack"/>
            <w:bookmarkEnd w:id="0"/>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21307</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农村综合改革</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197.77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197.77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2130705</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对村民委员会和村党支部的补助</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197.77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197.77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221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住房保障支出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76.88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76.88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76.88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22102</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住房改革支出</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76.88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76.88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76.88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227"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2210201</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住房公积金</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76.88 </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76.88 </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76.88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0.00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bl>
    <w:p>
      <w:pPr>
        <w:widowControl/>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rPr>
        <w:t>本表金额转换为万元时，因四舍五入可能存在尾差。</w:t>
      </w:r>
    </w:p>
    <w:p>
      <w:pPr>
        <w:tabs>
          <w:tab w:val="left" w:pos="10054"/>
        </w:tabs>
        <w:bidi w:val="0"/>
        <w:jc w:val="left"/>
        <w:rPr>
          <w:rFonts w:hint="eastAsia"/>
          <w:lang w:val="en-US" w:eastAsia="zh-CN"/>
        </w:rPr>
        <w:sectPr>
          <w:pgSz w:w="11906" w:h="16838"/>
          <w:pgMar w:top="1985" w:right="1474" w:bottom="1985" w:left="1588" w:header="851" w:footer="992" w:gutter="0"/>
          <w:cols w:space="0" w:num="1"/>
          <w:titlePg/>
          <w:docGrid w:type="lines" w:linePitch="315" w:charSpace="0"/>
        </w:sectPr>
      </w:pPr>
    </w:p>
    <w:p>
      <w:pP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b/>
          <w:bCs/>
          <w:szCs w:val="21"/>
        </w:rPr>
        <w:t>公开06表</w:t>
      </w:r>
    </w:p>
    <w:p>
      <w:pPr>
        <w:rPr>
          <w:rFonts w:ascii="宋体" w:hAnsi="宋体" w:cs="宋体"/>
          <w:b/>
          <w:bCs/>
          <w:szCs w:val="21"/>
        </w:rPr>
      </w:pPr>
      <w:r>
        <w:rPr>
          <w:rFonts w:hint="eastAsia" w:ascii="宋体" w:hAnsi="宋体" w:cs="宋体"/>
          <w:b/>
          <w:bCs/>
          <w:color w:val="2E75B6" w:themeColor="accent1" w:themeShade="BF"/>
          <w:szCs w:val="21"/>
        </w:rPr>
        <w:t>编制部门：</w:t>
      </w:r>
      <w:r>
        <w:rPr>
          <w:rFonts w:hint="eastAsia" w:ascii="宋体" w:hAnsi="宋体" w:cs="宋体"/>
          <w:b/>
          <w:bCs/>
          <w:color w:val="2E75B6" w:themeColor="accent1" w:themeShade="BF"/>
          <w:szCs w:val="21"/>
          <w:lang w:val="en-US" w:eastAsia="zh-CN"/>
        </w:rPr>
        <w:t>靖边县杨米涧镇人民政府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金额单位：万元</w:t>
      </w:r>
    </w:p>
    <w:tbl>
      <w:tblPr>
        <w:tblStyle w:val="7"/>
        <w:tblW w:w="8736" w:type="dxa"/>
        <w:tblInd w:w="0" w:type="dxa"/>
        <w:tblLayout w:type="fixed"/>
        <w:tblCellMar>
          <w:top w:w="15" w:type="dxa"/>
          <w:left w:w="15" w:type="dxa"/>
          <w:bottom w:w="15" w:type="dxa"/>
          <w:right w:w="15" w:type="dxa"/>
        </w:tblCellMar>
      </w:tblPr>
      <w:tblGrid>
        <w:gridCol w:w="1157"/>
        <w:gridCol w:w="2467"/>
        <w:gridCol w:w="1604"/>
        <w:gridCol w:w="1223"/>
        <w:gridCol w:w="1131"/>
        <w:gridCol w:w="1154"/>
      </w:tblGrid>
      <w:tr>
        <w:tblPrEx>
          <w:tblCellMar>
            <w:top w:w="15" w:type="dxa"/>
            <w:left w:w="15" w:type="dxa"/>
            <w:bottom w:w="15" w:type="dxa"/>
            <w:right w:w="15" w:type="dxa"/>
          </w:tblCellMar>
        </w:tblPrEx>
        <w:trPr>
          <w:trHeight w:val="434" w:hRule="atLeast"/>
        </w:trPr>
        <w:tc>
          <w:tcPr>
            <w:tcW w:w="3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2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经济分类科目编码</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170" w:hRule="atLeast"/>
        </w:trPr>
        <w:tc>
          <w:tcPr>
            <w:tcW w:w="3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1604"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1407.02</w:t>
            </w:r>
          </w:p>
        </w:tc>
        <w:tc>
          <w:tcPr>
            <w:tcW w:w="122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1187</w:t>
            </w:r>
          </w:p>
        </w:tc>
        <w:tc>
          <w:tcPr>
            <w:tcW w:w="113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220.02</w:t>
            </w:r>
          </w:p>
        </w:tc>
        <w:tc>
          <w:tcPr>
            <w:tcW w:w="1154" w:type="dxa"/>
            <w:tcBorders>
              <w:left w:val="single" w:color="000000" w:sz="4" w:space="0"/>
              <w:bottom w:val="single" w:color="000000" w:sz="4" w:space="0"/>
              <w:right w:val="single" w:color="000000" w:sz="4" w:space="0"/>
            </w:tcBorders>
            <w:vAlign w:val="center"/>
          </w:tcPr>
          <w:p>
            <w:pPr>
              <w:jc w:val="both"/>
              <w:rPr>
                <w:rFonts w:ascii="宋体" w:hAnsi="宋体" w:cs="宋体"/>
                <w:b/>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工资福利支出</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1183.01</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1183.01</w:t>
            </w:r>
            <w:r>
              <w:rPr>
                <w:rFonts w:hint="eastAsia" w:ascii="宋体" w:hAnsi="宋体" w:eastAsia="宋体" w:cs="宋体"/>
                <w:i w:val="0"/>
                <w:color w:val="000000"/>
                <w:kern w:val="0"/>
                <w:sz w:val="22"/>
                <w:szCs w:val="22"/>
                <w:u w:val="none"/>
                <w:lang w:val="en-US" w:eastAsia="zh-CN" w:bidi="ar"/>
              </w:rPr>
              <w:t xml:space="preserve">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30101</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基本工资</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478.57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478.57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30102</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津贴补贴</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297.28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297.28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30103</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奖金</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36.06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36.06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30106</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伙食补助费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30107</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绩效工资</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129.20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129.20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30108</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机关事业单位基本养老保险缴费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106.66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106.66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30109</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职业年金缴费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30110</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职工基本医疗保险缴费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58.36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58.36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30111</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公务员医疗补助缴费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30112</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其他社会保障缴费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9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30113</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住房公积金</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76.88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76.88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30114</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医疗费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b/>
            </w: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30199</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其他工资福利支出</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302</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商品和服务支出</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220.02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220.02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30201</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办公费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27.85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27.85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30202</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印刷费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11.42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11.42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30203</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咨询费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30204</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手续费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0.22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0.22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30205</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水费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0.60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0.60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30206</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电费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0.10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0.10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30207</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邮电费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1.15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1.15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30208</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取暖费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1.40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1.40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30209</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物业管理费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30211</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差旅费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0.15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0.15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30212</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因公出国（境）费用</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30213</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维修（护）费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15.76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15.76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30214</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租赁费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30215</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会议费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6.40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6.40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30216</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培训费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30217</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公务接待费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2.48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2.48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30218</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专用材料费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1.14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1.14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30224</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被装购置费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30225</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专用燃料费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30226</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劳务费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49.56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49.56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30227</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委托业务费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11.79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11.79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30228</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工会经费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30229</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福利费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30231</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公务用车运行维护费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13.95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13.95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30239</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其他交通费用</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21.30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21.30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30240</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税金及附加费用</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30299</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其他商品和服务支出</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54.76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54.76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3.99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3.99 </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30301</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离休费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30302</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退休费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30303</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退职（役）费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30304</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抚恤金</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30305</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生活补助</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2.00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2.00 </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30306</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救济费</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0.00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0.00 </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30307</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医疗费补助</w:t>
            </w:r>
          </w:p>
        </w:tc>
        <w:tc>
          <w:tcPr>
            <w:tcW w:w="1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1.99 </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1.99 </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30308</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助学金</w:t>
            </w:r>
          </w:p>
        </w:tc>
        <w:tc>
          <w:tcPr>
            <w:tcW w:w="16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2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30309</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奖励金</w:t>
            </w:r>
          </w:p>
        </w:tc>
        <w:tc>
          <w:tcPr>
            <w:tcW w:w="16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2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30310</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个人农业生产补贴</w:t>
            </w:r>
          </w:p>
        </w:tc>
        <w:tc>
          <w:tcPr>
            <w:tcW w:w="16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2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r>
        <w:tblPrEx>
          <w:tblCellMar>
            <w:top w:w="15" w:type="dxa"/>
            <w:left w:w="15" w:type="dxa"/>
            <w:bottom w:w="15" w:type="dxa"/>
            <w:right w:w="15" w:type="dxa"/>
          </w:tblCellMar>
        </w:tblPrEx>
        <w:trPr>
          <w:trHeight w:val="1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30399</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其他对个人和家庭的补助</w:t>
            </w:r>
          </w:p>
        </w:tc>
        <w:tc>
          <w:tcPr>
            <w:tcW w:w="16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2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 w:val="18"/>
                <w:szCs w:val="18"/>
              </w:rPr>
            </w:pPr>
          </w:p>
        </w:tc>
      </w:tr>
    </w:tbl>
    <w:p>
      <w:pPr>
        <w:widowControl/>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rPr>
        <w:t>本表金额转换为万元时，因四舍五入可能存在尾差。</w:t>
      </w:r>
    </w:p>
    <w:p>
      <w:pPr>
        <w:tabs>
          <w:tab w:val="left" w:pos="10054"/>
        </w:tabs>
        <w:bidi w:val="0"/>
        <w:jc w:val="left"/>
        <w:rPr>
          <w:rFonts w:hint="eastAsia"/>
          <w:lang w:val="en-US" w:eastAsia="zh-CN"/>
        </w:rPr>
        <w:sectPr>
          <w:pgSz w:w="11906" w:h="16838"/>
          <w:pgMar w:top="1985" w:right="1474" w:bottom="1985" w:left="1588" w:header="851" w:footer="992" w:gutter="0"/>
          <w:cols w:space="0" w:num="1"/>
          <w:titlePg/>
          <w:docGrid w:type="lines" w:linePitch="315" w:charSpace="0"/>
        </w:sectPr>
      </w:pPr>
    </w:p>
    <w:p>
      <w:pPr>
        <w:jc w:val="center"/>
        <w:rPr>
          <w:rFonts w:ascii="宋体" w:hAnsi="宋体" w:cs="宋体"/>
          <w:b/>
          <w:bCs/>
          <w:sz w:val="32"/>
          <w:szCs w:val="32"/>
        </w:rPr>
      </w:pP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color w:val="2E75B6" w:themeColor="accent1" w:themeShade="BF"/>
          <w:szCs w:val="21"/>
        </w:rPr>
        <w:t>编制部门：</w:t>
      </w:r>
      <w:r>
        <w:rPr>
          <w:rFonts w:hint="eastAsia" w:ascii="宋体" w:hAnsi="宋体" w:cs="宋体"/>
          <w:b/>
          <w:bCs/>
          <w:color w:val="2E75B6" w:themeColor="accent1" w:themeShade="BF"/>
          <w:szCs w:val="21"/>
          <w:lang w:val="en-US" w:eastAsia="zh-CN"/>
        </w:rPr>
        <w:t>靖边县杨米涧镇人民政府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7"/>
        <w:tblW w:w="8840" w:type="dxa"/>
        <w:tblInd w:w="0" w:type="dxa"/>
        <w:tblLayout w:type="fixed"/>
        <w:tblCellMar>
          <w:top w:w="15" w:type="dxa"/>
          <w:left w:w="15" w:type="dxa"/>
          <w:bottom w:w="15" w:type="dxa"/>
          <w:right w:w="15" w:type="dxa"/>
        </w:tblCellMar>
      </w:tblPr>
      <w:tblGrid>
        <w:gridCol w:w="755"/>
        <w:gridCol w:w="738"/>
        <w:gridCol w:w="877"/>
        <w:gridCol w:w="712"/>
        <w:gridCol w:w="923"/>
        <w:gridCol w:w="1212"/>
        <w:gridCol w:w="1015"/>
        <w:gridCol w:w="1269"/>
        <w:gridCol w:w="1339"/>
      </w:tblGrid>
      <w:tr>
        <w:tblPrEx>
          <w:tblCellMar>
            <w:top w:w="15" w:type="dxa"/>
            <w:left w:w="15" w:type="dxa"/>
            <w:bottom w:w="15" w:type="dxa"/>
            <w:right w:w="15" w:type="dxa"/>
          </w:tblCellMar>
        </w:tblPrEx>
        <w:trPr>
          <w:trHeight w:val="726" w:hRule="atLeast"/>
        </w:trPr>
        <w:tc>
          <w:tcPr>
            <w:tcW w:w="7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547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8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公务接待费</w:t>
            </w:r>
          </w:p>
        </w:tc>
        <w:tc>
          <w:tcPr>
            <w:tcW w:w="31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7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16.5</w:t>
            </w:r>
          </w:p>
        </w:tc>
        <w:tc>
          <w:tcPr>
            <w:tcW w:w="8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0.00</w:t>
            </w:r>
          </w:p>
        </w:tc>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2.50</w:t>
            </w:r>
          </w:p>
        </w:tc>
        <w:tc>
          <w:tcPr>
            <w:tcW w:w="92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kern w:val="2"/>
                <w:sz w:val="21"/>
                <w:szCs w:val="21"/>
                <w:lang w:val="en-US" w:eastAsia="zh-CN" w:bidi="ar-SA"/>
              </w:rPr>
            </w:pPr>
            <w:r>
              <w:rPr>
                <w:rFonts w:hint="eastAsia" w:ascii="宋体" w:hAnsi="宋体" w:cs="宋体"/>
                <w:b/>
                <w:color w:val="000000"/>
                <w:szCs w:val="21"/>
                <w:lang w:val="en-US" w:eastAsia="zh-CN"/>
              </w:rPr>
              <w:t>14.00</w:t>
            </w:r>
          </w:p>
        </w:tc>
        <w:tc>
          <w:tcPr>
            <w:tcW w:w="12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lang w:val="en-US" w:eastAsia="zh-CN"/>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14.00</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6.40</w:t>
            </w:r>
          </w:p>
        </w:tc>
        <w:tc>
          <w:tcPr>
            <w:tcW w:w="13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kern w:val="2"/>
                <w:sz w:val="21"/>
                <w:szCs w:val="21"/>
                <w:lang w:val="en-US" w:eastAsia="zh-CN" w:bidi="ar-SA"/>
              </w:rPr>
            </w:pPr>
            <w:r>
              <w:rPr>
                <w:rFonts w:hint="eastAsia" w:ascii="宋体" w:hAnsi="宋体" w:cs="宋体"/>
                <w:b/>
                <w:color w:val="000000"/>
                <w:szCs w:val="21"/>
                <w:lang w:val="en-US" w:eastAsia="zh-CN"/>
              </w:rPr>
              <w:t>0.00</w:t>
            </w:r>
          </w:p>
        </w:tc>
      </w:tr>
      <w:tr>
        <w:tblPrEx>
          <w:tblCellMar>
            <w:top w:w="15" w:type="dxa"/>
            <w:left w:w="15" w:type="dxa"/>
            <w:bottom w:w="15" w:type="dxa"/>
            <w:right w:w="15" w:type="dxa"/>
          </w:tblCellMar>
        </w:tblPrEx>
        <w:trPr>
          <w:trHeight w:val="738" w:hRule="atLeast"/>
        </w:trPr>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16.43</w:t>
            </w:r>
          </w:p>
        </w:tc>
        <w:tc>
          <w:tcPr>
            <w:tcW w:w="8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lang w:val="en-US" w:eastAsia="zh-CN"/>
              </w:rPr>
              <w:t>0.00</w:t>
            </w:r>
          </w:p>
        </w:tc>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2.48</w:t>
            </w:r>
          </w:p>
        </w:tc>
        <w:tc>
          <w:tcPr>
            <w:tcW w:w="92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kern w:val="2"/>
                <w:sz w:val="21"/>
                <w:szCs w:val="21"/>
                <w:lang w:val="en-US" w:eastAsia="zh-CN" w:bidi="ar-SA"/>
              </w:rPr>
            </w:pPr>
            <w:r>
              <w:rPr>
                <w:rFonts w:hint="eastAsia" w:ascii="宋体" w:hAnsi="宋体" w:cs="宋体"/>
                <w:b/>
                <w:color w:val="000000"/>
                <w:szCs w:val="21"/>
                <w:lang w:val="en-US" w:eastAsia="zh-CN"/>
              </w:rPr>
              <w:t>13.95</w:t>
            </w:r>
          </w:p>
        </w:tc>
        <w:tc>
          <w:tcPr>
            <w:tcW w:w="121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13.95</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lang w:val="en-US" w:eastAsia="zh-CN"/>
              </w:rPr>
              <w:t>6.40</w:t>
            </w:r>
          </w:p>
        </w:tc>
        <w:tc>
          <w:tcPr>
            <w:tcW w:w="133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kern w:val="2"/>
                <w:sz w:val="21"/>
                <w:szCs w:val="21"/>
                <w:lang w:val="en-US" w:eastAsia="zh-CN" w:bidi="ar-SA"/>
              </w:rPr>
            </w:pPr>
            <w:r>
              <w:rPr>
                <w:rFonts w:hint="eastAsia" w:ascii="宋体" w:hAnsi="宋体" w:cs="宋体"/>
                <w:b/>
                <w:color w:val="000000"/>
                <w:szCs w:val="21"/>
                <w:lang w:val="en-US" w:eastAsia="zh-CN"/>
              </w:rPr>
              <w:t>0.00</w:t>
            </w:r>
          </w:p>
        </w:tc>
      </w:tr>
    </w:tbl>
    <w:p>
      <w:pPr>
        <w:widowControl/>
        <w:jc w:val="left"/>
      </w:pPr>
      <w:r>
        <w:rPr>
          <w:rFonts w:hint="eastAsia" w:ascii="宋体" w:hAnsi="宋体" w:cs="宋体"/>
          <w:szCs w:val="21"/>
        </w:rPr>
        <w:t>注：本表反映部门本年度一般公共预算财政拨款“三公”经费、会议费、培训费的预算数和实际支出。预算数为调整预算数。</w:t>
      </w:r>
      <w:r>
        <w:rPr>
          <w:rFonts w:hint="eastAsia" w:ascii="宋体" w:hAnsi="宋体" w:cs="宋体"/>
          <w:color w:val="000000"/>
          <w:kern w:val="0"/>
          <w:szCs w:val="21"/>
        </w:rPr>
        <w:t>本表金额转换为万元时，因四舍五入可能存在尾差。</w:t>
      </w:r>
    </w:p>
    <w:p>
      <w:pPr>
        <w:tabs>
          <w:tab w:val="left" w:pos="10054"/>
        </w:tabs>
        <w:bidi w:val="0"/>
        <w:jc w:val="left"/>
        <w:rPr>
          <w:rFonts w:hint="eastAsia"/>
          <w:lang w:val="en-US" w:eastAsia="zh-CN"/>
        </w:rPr>
        <w:sectPr>
          <w:pgSz w:w="11906" w:h="16838"/>
          <w:pgMar w:top="1985" w:right="1474" w:bottom="1985" w:left="1588" w:header="851" w:footer="992" w:gutter="0"/>
          <w:cols w:space="0" w:num="1"/>
          <w:titlePg/>
          <w:docGrid w:type="lines" w:linePitch="315" w:charSpace="0"/>
        </w:sect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color w:val="2E75B6" w:themeColor="accent1" w:themeShade="BF"/>
          <w:szCs w:val="21"/>
        </w:rPr>
        <w:t>编制部门：</w:t>
      </w:r>
      <w:r>
        <w:rPr>
          <w:rFonts w:hint="eastAsia" w:ascii="宋体" w:hAnsi="宋体" w:cs="宋体"/>
          <w:b/>
          <w:bCs/>
          <w:color w:val="2E75B6" w:themeColor="accent1" w:themeShade="BF"/>
          <w:szCs w:val="21"/>
          <w:lang w:val="en-US" w:eastAsia="zh-CN"/>
        </w:rPr>
        <w:t>靖边县杨米涧镇人民政府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金额单位：万元</w:t>
      </w:r>
    </w:p>
    <w:tbl>
      <w:tblPr>
        <w:tblStyle w:val="7"/>
        <w:tblW w:w="8851" w:type="dxa"/>
        <w:tblInd w:w="0" w:type="dxa"/>
        <w:tblLayout w:type="fixed"/>
        <w:tblCellMar>
          <w:top w:w="15" w:type="dxa"/>
          <w:left w:w="15" w:type="dxa"/>
          <w:bottom w:w="15" w:type="dxa"/>
          <w:right w:w="15" w:type="dxa"/>
        </w:tblCellMar>
      </w:tblPr>
      <w:tblGrid>
        <w:gridCol w:w="1005"/>
        <w:gridCol w:w="992"/>
        <w:gridCol w:w="854"/>
        <w:gridCol w:w="1339"/>
        <w:gridCol w:w="1096"/>
        <w:gridCol w:w="1200"/>
        <w:gridCol w:w="1315"/>
        <w:gridCol w:w="1050"/>
      </w:tblGrid>
      <w:tr>
        <w:tblPrEx>
          <w:tblCellMar>
            <w:top w:w="15" w:type="dxa"/>
            <w:left w:w="15" w:type="dxa"/>
            <w:bottom w:w="15" w:type="dxa"/>
            <w:right w:w="15" w:type="dxa"/>
          </w:tblCellMar>
        </w:tblPrEx>
        <w:trPr>
          <w:trHeight w:val="491" w:hRule="atLeast"/>
        </w:trPr>
        <w:tc>
          <w:tcPr>
            <w:tcW w:w="1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61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年末结转和结余</w:t>
            </w:r>
          </w:p>
        </w:tc>
      </w:tr>
      <w:tr>
        <w:tblPrEx>
          <w:tblCellMar>
            <w:top w:w="15" w:type="dxa"/>
            <w:left w:w="15" w:type="dxa"/>
            <w:bottom w:w="15" w:type="dxa"/>
            <w:right w:w="15" w:type="dxa"/>
          </w:tblCellMar>
        </w:tblPrEx>
        <w:trPr>
          <w:trHeight w:val="889"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854"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rPr>
          <w:rFonts w:hint="eastAsia"/>
          <w:lang w:val="en-US" w:eastAsia="zh-CN"/>
        </w:rPr>
        <w:sectPr>
          <w:pgSz w:w="11906" w:h="16838"/>
          <w:pgMar w:top="1985" w:right="1474" w:bottom="1985" w:left="1588" w:header="851" w:footer="992" w:gutter="0"/>
          <w:cols w:space="0" w:num="1"/>
          <w:titlePg/>
          <w:docGrid w:type="lines" w:linePitch="315" w:charSpace="0"/>
        </w:sectPr>
      </w:pPr>
      <w:r>
        <w:rPr>
          <w:rFonts w:hint="eastAsia" w:ascii="宋体" w:hAnsi="宋体" w:cs="宋体"/>
          <w:szCs w:val="21"/>
        </w:rPr>
        <w:t>注：本表反映部门本年度政府性基金预算财政拨款收入支出及结转和结余情况。</w:t>
      </w:r>
      <w:r>
        <w:rPr>
          <w:rFonts w:hint="eastAsia" w:ascii="宋体" w:hAnsi="宋体" w:cs="宋体"/>
          <w:color w:val="000000"/>
          <w:kern w:val="0"/>
          <w:szCs w:val="21"/>
        </w:rPr>
        <w:t>本表金额转换为万元时，因四舍五入可能存在尾差。</w:t>
      </w:r>
    </w:p>
    <w:p>
      <w:pPr>
        <w:jc w:val="center"/>
        <w:rPr>
          <w:rFonts w:ascii="黑体" w:hAnsi="宋体" w:eastAsia="黑体"/>
          <w:color w:val="000000"/>
          <w:kern w:val="0"/>
          <w:sz w:val="44"/>
          <w:szCs w:val="44"/>
          <w:lang w:bidi="ar"/>
        </w:rPr>
      </w:pPr>
      <w:r>
        <w:rPr>
          <w:rFonts w:hint="eastAsia" w:ascii="黑体" w:hAnsi="宋体" w:eastAsia="黑体"/>
          <w:color w:val="000000"/>
          <w:kern w:val="0"/>
          <w:sz w:val="44"/>
          <w:szCs w:val="44"/>
          <w:lang w:bidi="ar"/>
        </w:rPr>
        <w:t>第三部分 2019 年部门决算情况说明</w:t>
      </w:r>
    </w:p>
    <w:p>
      <w:pPr>
        <w:widowControl/>
        <w:rPr>
          <w:rFonts w:ascii="黑体" w:hAnsi="宋体" w:eastAsia="黑体"/>
          <w:color w:val="000000"/>
          <w:kern w:val="0"/>
          <w:sz w:val="44"/>
          <w:szCs w:val="44"/>
          <w:lang w:bidi="ar"/>
        </w:rPr>
      </w:pP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一、收入支出决算总体情况说明 </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35575" cy="3035935"/>
            <wp:effectExtent l="4445" t="4445" r="5080" b="76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ind w:firstLine="640" w:firstLineChars="200"/>
        <w:jc w:val="left"/>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2019年收入</w:t>
      </w:r>
      <w:r>
        <w:rPr>
          <w:rFonts w:hint="eastAsia" w:ascii="仿宋_GB2312" w:hAnsi="仿宋" w:eastAsia="仿宋_GB2312"/>
          <w:b/>
          <w:bCs/>
          <w:color w:val="auto"/>
          <w:sz w:val="32"/>
          <w:szCs w:val="32"/>
          <w:lang w:val="en-US" w:eastAsia="zh-CN"/>
        </w:rPr>
        <w:t>总计</w:t>
      </w:r>
      <w:r>
        <w:rPr>
          <w:rFonts w:hint="eastAsia" w:ascii="仿宋_GB2312" w:hAnsi="仿宋" w:eastAsia="仿宋_GB2312"/>
          <w:color w:val="auto"/>
          <w:sz w:val="32"/>
          <w:szCs w:val="32"/>
          <w:lang w:val="en-US" w:eastAsia="zh-CN"/>
        </w:rPr>
        <w:t>2041.21万元，与 2018 年收入1387.4万元相比，增加47.12%，主要原因是人员增加及相关社保资金的增加。</w:t>
      </w:r>
    </w:p>
    <w:p>
      <w:pPr>
        <w:widowControl/>
        <w:ind w:firstLine="640" w:firstLineChars="200"/>
        <w:jc w:val="left"/>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2019年支出</w:t>
      </w:r>
      <w:r>
        <w:rPr>
          <w:rFonts w:hint="eastAsia" w:ascii="仿宋_GB2312" w:hAnsi="仿宋" w:eastAsia="仿宋_GB2312"/>
          <w:b/>
          <w:bCs/>
          <w:color w:val="auto"/>
          <w:sz w:val="32"/>
          <w:szCs w:val="32"/>
          <w:lang w:val="en-US" w:eastAsia="zh-CN"/>
        </w:rPr>
        <w:t>总计</w:t>
      </w:r>
      <w:r>
        <w:rPr>
          <w:rFonts w:hint="eastAsia" w:ascii="仿宋_GB2312" w:hAnsi="仿宋" w:eastAsia="仿宋_GB2312"/>
          <w:color w:val="auto"/>
          <w:sz w:val="32"/>
          <w:szCs w:val="32"/>
          <w:lang w:val="en-US" w:eastAsia="zh-CN"/>
        </w:rPr>
        <w:t>2041.21万元，与 2018 年支出1387.4万元相比，增加47.12%，主要原因是人员增加及相关社保资金的增加。</w:t>
      </w:r>
    </w:p>
    <w:p>
      <w:pPr>
        <w:widowControl/>
        <w:ind w:firstLine="640" w:firstLineChars="200"/>
        <w:jc w:val="left"/>
        <w:rPr>
          <w:rFonts w:hint="eastAsia" w:ascii="仿宋_GB2312" w:hAnsi="宋体" w:eastAsia="仿宋_GB2312" w:cs="仿宋_GB2312"/>
          <w:color w:val="auto"/>
          <w:kern w:val="0"/>
          <w:sz w:val="32"/>
          <w:szCs w:val="32"/>
          <w:lang w:bidi="ar"/>
        </w:rPr>
      </w:pPr>
      <w:r>
        <w:rPr>
          <w:rFonts w:hint="eastAsia" w:ascii="黑体" w:hAnsi="黑体" w:eastAsia="黑体"/>
          <w:color w:val="auto"/>
          <w:kern w:val="0"/>
          <w:sz w:val="32"/>
          <w:szCs w:val="32"/>
          <w:lang w:bidi="ar"/>
        </w:rPr>
        <w:t>二、收入决算情况说明</w:t>
      </w:r>
      <w:r>
        <w:rPr>
          <w:rFonts w:hint="eastAsia" w:ascii="仿宋_GB2312" w:hAnsi="宋体" w:eastAsia="仿宋_GB2312" w:cs="仿宋_GB2312"/>
          <w:color w:val="auto"/>
          <w:kern w:val="0"/>
          <w:sz w:val="32"/>
          <w:szCs w:val="32"/>
          <w:lang w:bidi="ar"/>
        </w:rPr>
        <w:t>2019</w:t>
      </w:r>
      <w:r>
        <w:rPr>
          <w:rFonts w:ascii="仿宋_GB2312" w:hAnsi="宋体" w:eastAsia="仿宋_GB2312" w:cs="仿宋_GB2312"/>
          <w:color w:val="auto"/>
          <w:kern w:val="0"/>
          <w:sz w:val="32"/>
          <w:szCs w:val="32"/>
          <w:lang w:bidi="ar"/>
        </w:rPr>
        <w:t>年收入合计</w:t>
      </w:r>
      <w:r>
        <w:rPr>
          <w:rFonts w:hint="eastAsia" w:ascii="仿宋_GB2312" w:hAnsi="仿宋" w:eastAsia="仿宋_GB2312"/>
          <w:color w:val="auto"/>
          <w:sz w:val="32"/>
          <w:szCs w:val="32"/>
          <w:lang w:val="en-US" w:eastAsia="zh-CN"/>
        </w:rPr>
        <w:t>2041.21</w:t>
      </w:r>
      <w:r>
        <w:rPr>
          <w:rFonts w:ascii="仿宋_GB2312" w:hAnsi="宋体" w:eastAsia="仿宋_GB2312" w:cs="仿宋_GB2312"/>
          <w:color w:val="auto"/>
          <w:kern w:val="0"/>
          <w:sz w:val="32"/>
          <w:szCs w:val="32"/>
          <w:lang w:bidi="ar"/>
        </w:rPr>
        <w:t>万元，其中：财政拨款收入</w:t>
      </w:r>
      <w:r>
        <w:rPr>
          <w:rFonts w:hint="eastAsia" w:ascii="仿宋_GB2312" w:hAnsi="仿宋" w:eastAsia="仿宋_GB2312"/>
          <w:color w:val="auto"/>
          <w:sz w:val="32"/>
          <w:szCs w:val="32"/>
          <w:lang w:val="en-US" w:eastAsia="zh-CN"/>
        </w:rPr>
        <w:t>2041.21</w:t>
      </w:r>
      <w:r>
        <w:rPr>
          <w:rFonts w:ascii="仿宋_GB2312" w:hAnsi="宋体" w:eastAsia="仿宋_GB2312" w:cs="仿宋_GB2312"/>
          <w:color w:val="auto"/>
          <w:kern w:val="0"/>
          <w:sz w:val="32"/>
          <w:szCs w:val="32"/>
          <w:lang w:bidi="ar"/>
        </w:rPr>
        <w:t>万元，占收入</w:t>
      </w:r>
      <w:r>
        <w:rPr>
          <w:rFonts w:hint="eastAsia" w:ascii="仿宋_GB2312" w:hAnsi="宋体" w:eastAsia="仿宋_GB2312" w:cs="仿宋_GB2312"/>
          <w:color w:val="auto"/>
          <w:kern w:val="0"/>
          <w:sz w:val="32"/>
          <w:szCs w:val="32"/>
          <w:lang w:val="en-US" w:eastAsia="zh-CN" w:bidi="ar"/>
        </w:rPr>
        <w:t>100</w:t>
      </w:r>
      <w:r>
        <w:rPr>
          <w:rFonts w:ascii="仿宋_GB2312" w:hAnsi="宋体" w:eastAsia="仿宋_GB2312" w:cs="仿宋_GB2312"/>
          <w:color w:val="auto"/>
          <w:kern w:val="0"/>
          <w:sz w:val="32"/>
          <w:szCs w:val="32"/>
          <w:lang w:bidi="ar"/>
        </w:rPr>
        <w:t>%；事业收入</w:t>
      </w:r>
      <w:r>
        <w:rPr>
          <w:rFonts w:hint="eastAsia" w:ascii="仿宋_GB2312" w:hAnsi="宋体" w:eastAsia="仿宋_GB2312" w:cs="仿宋_GB2312"/>
          <w:color w:val="auto"/>
          <w:kern w:val="0"/>
          <w:sz w:val="32"/>
          <w:szCs w:val="32"/>
          <w:lang w:val="en-US" w:eastAsia="zh-CN" w:bidi="ar"/>
        </w:rPr>
        <w:t>0</w:t>
      </w:r>
      <w:r>
        <w:rPr>
          <w:rFonts w:ascii="仿宋_GB2312" w:hAnsi="宋体" w:eastAsia="仿宋_GB2312" w:cs="仿宋_GB2312"/>
          <w:color w:val="auto"/>
          <w:kern w:val="0"/>
          <w:sz w:val="32"/>
          <w:szCs w:val="32"/>
          <w:lang w:bidi="ar"/>
        </w:rPr>
        <w:t>万元，占收入</w:t>
      </w:r>
      <w:r>
        <w:rPr>
          <w:rFonts w:hint="eastAsia" w:ascii="仿宋_GB2312" w:hAnsi="宋体" w:eastAsia="仿宋_GB2312" w:cs="仿宋_GB2312"/>
          <w:color w:val="auto"/>
          <w:kern w:val="0"/>
          <w:sz w:val="32"/>
          <w:szCs w:val="32"/>
          <w:lang w:val="en-US" w:eastAsia="zh-CN" w:bidi="ar"/>
        </w:rPr>
        <w:t>0</w:t>
      </w:r>
      <w:r>
        <w:rPr>
          <w:rFonts w:ascii="仿宋_GB2312" w:hAnsi="宋体" w:eastAsia="仿宋_GB2312" w:cs="仿宋_GB2312"/>
          <w:color w:val="auto"/>
          <w:kern w:val="0"/>
          <w:sz w:val="32"/>
          <w:szCs w:val="32"/>
          <w:lang w:bidi="ar"/>
        </w:rPr>
        <w:t>%；经营收入</w:t>
      </w:r>
      <w:r>
        <w:rPr>
          <w:rFonts w:hint="eastAsia" w:ascii="仿宋_GB2312" w:hAnsi="宋体" w:eastAsia="仿宋_GB2312" w:cs="仿宋_GB2312"/>
          <w:color w:val="auto"/>
          <w:kern w:val="0"/>
          <w:sz w:val="32"/>
          <w:szCs w:val="32"/>
          <w:lang w:val="en-US" w:eastAsia="zh-CN" w:bidi="ar"/>
        </w:rPr>
        <w:t>0</w:t>
      </w:r>
      <w:r>
        <w:rPr>
          <w:rFonts w:ascii="仿宋_GB2312" w:hAnsi="宋体" w:eastAsia="仿宋_GB2312" w:cs="仿宋_GB2312"/>
          <w:color w:val="auto"/>
          <w:kern w:val="0"/>
          <w:sz w:val="32"/>
          <w:szCs w:val="32"/>
          <w:lang w:bidi="ar"/>
        </w:rPr>
        <w:t>万元，占收入</w:t>
      </w:r>
      <w:r>
        <w:rPr>
          <w:rFonts w:hint="eastAsia" w:ascii="仿宋_GB2312" w:hAnsi="宋体" w:eastAsia="仿宋_GB2312" w:cs="仿宋_GB2312"/>
          <w:color w:val="auto"/>
          <w:kern w:val="0"/>
          <w:sz w:val="32"/>
          <w:szCs w:val="32"/>
          <w:lang w:val="en-US" w:eastAsia="zh-CN" w:bidi="ar"/>
        </w:rPr>
        <w:t>0</w:t>
      </w:r>
      <w:r>
        <w:rPr>
          <w:rFonts w:ascii="仿宋_GB2312" w:hAnsi="宋体" w:eastAsia="仿宋_GB2312" w:cs="仿宋_GB2312"/>
          <w:color w:val="auto"/>
          <w:kern w:val="0"/>
          <w:sz w:val="32"/>
          <w:szCs w:val="32"/>
          <w:lang w:bidi="ar"/>
        </w:rPr>
        <w:t>%；其他收入</w:t>
      </w:r>
      <w:r>
        <w:rPr>
          <w:rFonts w:hint="eastAsia" w:ascii="仿宋_GB2312" w:hAnsi="宋体" w:eastAsia="仿宋_GB2312" w:cs="仿宋_GB2312"/>
          <w:color w:val="auto"/>
          <w:kern w:val="0"/>
          <w:sz w:val="32"/>
          <w:szCs w:val="32"/>
          <w:lang w:val="en-US" w:eastAsia="zh-CN" w:bidi="ar"/>
        </w:rPr>
        <w:t>0</w:t>
      </w:r>
      <w:r>
        <w:rPr>
          <w:rFonts w:ascii="仿宋_GB2312" w:hAnsi="宋体" w:eastAsia="仿宋_GB2312" w:cs="仿宋_GB2312"/>
          <w:color w:val="auto"/>
          <w:kern w:val="0"/>
          <w:sz w:val="32"/>
          <w:szCs w:val="32"/>
          <w:lang w:bidi="ar"/>
        </w:rPr>
        <w:t>万元，占收入</w:t>
      </w:r>
      <w:r>
        <w:rPr>
          <w:rFonts w:hint="eastAsia" w:ascii="仿宋_GB2312" w:hAnsi="宋体" w:eastAsia="仿宋_GB2312" w:cs="仿宋_GB2312"/>
          <w:color w:val="auto"/>
          <w:kern w:val="0"/>
          <w:sz w:val="32"/>
          <w:szCs w:val="32"/>
          <w:lang w:val="en-US" w:eastAsia="zh-CN" w:bidi="ar"/>
        </w:rPr>
        <w:t>0</w:t>
      </w:r>
      <w:r>
        <w:rPr>
          <w:rFonts w:ascii="仿宋_GB2312" w:hAnsi="宋体" w:eastAsia="仿宋_GB2312" w:cs="仿宋_GB2312"/>
          <w:color w:val="auto"/>
          <w:kern w:val="0"/>
          <w:sz w:val="32"/>
          <w:szCs w:val="32"/>
          <w:lang w:bidi="ar"/>
        </w:rPr>
        <w:t>%</w:t>
      </w:r>
      <w:r>
        <w:rPr>
          <w:rFonts w:hint="eastAsia" w:ascii="仿宋_GB2312" w:hAnsi="宋体" w:eastAsia="仿宋_GB2312" w:cs="仿宋_GB2312"/>
          <w:color w:val="auto"/>
          <w:kern w:val="0"/>
          <w:sz w:val="32"/>
          <w:szCs w:val="32"/>
          <w:lang w:bidi="ar"/>
        </w:rPr>
        <w:t>。</w:t>
      </w:r>
    </w:p>
    <w:p>
      <w:pPr>
        <w:widowControl/>
        <w:jc w:val="left"/>
        <w:rPr>
          <w:rFonts w:hint="eastAsia" w:ascii="仿宋_GB2312" w:hAnsi="宋体" w:eastAsia="仿宋_GB2312" w:cs="仿宋_GB2312"/>
          <w:color w:val="auto"/>
          <w:kern w:val="0"/>
          <w:sz w:val="32"/>
          <w:szCs w:val="32"/>
          <w:lang w:eastAsia="zh-CN" w:bidi="ar"/>
        </w:rPr>
      </w:pPr>
      <w:r>
        <w:rPr>
          <w:rFonts w:hint="eastAsia" w:ascii="仿宋_GB2312" w:hAnsi="宋体" w:eastAsia="仿宋_GB2312" w:cs="仿宋_GB2312"/>
          <w:color w:val="auto"/>
          <w:kern w:val="0"/>
          <w:sz w:val="32"/>
          <w:szCs w:val="32"/>
          <w:lang w:eastAsia="zh-CN" w:bidi="ar"/>
        </w:rPr>
        <w:drawing>
          <wp:anchor distT="0" distB="0" distL="114300" distR="114300" simplePos="0" relativeHeight="251658240" behindDoc="0" locked="0" layoutInCell="1" allowOverlap="1">
            <wp:simplePos x="0" y="0"/>
            <wp:positionH relativeFrom="column">
              <wp:posOffset>1137285</wp:posOffset>
            </wp:positionH>
            <wp:positionV relativeFrom="paragraph">
              <wp:posOffset>143510</wp:posOffset>
            </wp:positionV>
            <wp:extent cx="3394075" cy="2168525"/>
            <wp:effectExtent l="4445" t="4445" r="5080" b="1143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widowControl/>
        <w:ind w:firstLine="640" w:firstLineChars="200"/>
        <w:jc w:val="left"/>
        <w:rPr>
          <w:rFonts w:ascii="仿宋_GB2312" w:hAnsi="仿宋_GB2312" w:eastAsia="仿宋_GB2312" w:cs="仿宋_GB2312"/>
          <w:sz w:val="32"/>
          <w:szCs w:val="32"/>
        </w:rPr>
      </w:pPr>
      <w:r>
        <w:rPr>
          <w:rFonts w:hint="eastAsia" w:ascii="黑体" w:hAnsi="黑体" w:eastAsia="黑体"/>
          <w:color w:val="000000"/>
          <w:kern w:val="0"/>
          <w:sz w:val="32"/>
          <w:szCs w:val="32"/>
          <w:lang w:bidi="ar"/>
        </w:rPr>
        <w:t xml:space="preserve">三、支出决算情况说明  </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2019</w:t>
      </w:r>
      <w:r>
        <w:rPr>
          <w:rFonts w:ascii="仿宋_GB2312" w:hAnsi="宋体" w:eastAsia="仿宋_GB2312" w:cs="仿宋_GB2312"/>
          <w:color w:val="000000"/>
          <w:kern w:val="0"/>
          <w:sz w:val="32"/>
          <w:szCs w:val="32"/>
          <w:lang w:bidi="ar"/>
        </w:rPr>
        <w:t>年支</w:t>
      </w:r>
      <w:r>
        <w:rPr>
          <w:rFonts w:ascii="仿宋_GB2312" w:hAnsi="宋体" w:eastAsia="仿宋_GB2312" w:cs="仿宋_GB2312"/>
          <w:color w:val="auto"/>
          <w:kern w:val="0"/>
          <w:sz w:val="32"/>
          <w:szCs w:val="32"/>
          <w:lang w:bidi="ar"/>
        </w:rPr>
        <w:t>出合计</w:t>
      </w:r>
      <w:r>
        <w:rPr>
          <w:rFonts w:hint="eastAsia" w:ascii="仿宋_GB2312" w:hAnsi="仿宋" w:eastAsia="仿宋_GB2312"/>
          <w:color w:val="auto"/>
          <w:sz w:val="32"/>
          <w:szCs w:val="32"/>
          <w:lang w:val="en-US" w:eastAsia="zh-CN"/>
        </w:rPr>
        <w:t>2041.21</w:t>
      </w:r>
      <w:r>
        <w:rPr>
          <w:rFonts w:ascii="仿宋_GB2312" w:hAnsi="宋体" w:eastAsia="仿宋_GB2312" w:cs="仿宋_GB2312"/>
          <w:color w:val="000000"/>
          <w:kern w:val="0"/>
          <w:sz w:val="32"/>
          <w:szCs w:val="32"/>
          <w:lang w:bidi="ar"/>
        </w:rPr>
        <w:t>万元，其中：基本支出</w:t>
      </w:r>
      <w:r>
        <w:rPr>
          <w:rFonts w:hint="eastAsia" w:ascii="仿宋_GB2312" w:hAnsi="宋体" w:eastAsia="仿宋_GB2312" w:cs="仿宋_GB2312"/>
          <w:color w:val="000000"/>
          <w:kern w:val="0"/>
          <w:sz w:val="32"/>
          <w:szCs w:val="32"/>
          <w:lang w:val="en-US" w:eastAsia="zh-CN" w:bidi="ar"/>
        </w:rPr>
        <w:t>1407.02</w:t>
      </w:r>
      <w:r>
        <w:rPr>
          <w:rFonts w:ascii="仿宋_GB2312" w:hAnsi="宋体" w:eastAsia="仿宋_GB2312" w:cs="仿宋_GB2312"/>
          <w:color w:val="000000"/>
          <w:kern w:val="0"/>
          <w:sz w:val="32"/>
          <w:szCs w:val="32"/>
          <w:lang w:bidi="ar"/>
        </w:rPr>
        <w:t>万元，占支出</w:t>
      </w:r>
      <w:r>
        <w:rPr>
          <w:rFonts w:hint="eastAsia" w:ascii="仿宋_GB2312" w:hAnsi="宋体" w:eastAsia="仿宋_GB2312" w:cs="仿宋_GB2312"/>
          <w:color w:val="000000"/>
          <w:kern w:val="0"/>
          <w:sz w:val="32"/>
          <w:szCs w:val="32"/>
          <w:lang w:val="en-US" w:eastAsia="zh-CN" w:bidi="ar"/>
        </w:rPr>
        <w:t>68.93</w:t>
      </w:r>
      <w:r>
        <w:rPr>
          <w:rFonts w:ascii="仿宋_GB2312" w:hAnsi="宋体" w:eastAsia="仿宋_GB2312" w:cs="仿宋_GB2312"/>
          <w:color w:val="000000"/>
          <w:kern w:val="0"/>
          <w:sz w:val="32"/>
          <w:szCs w:val="32"/>
          <w:lang w:bidi="ar"/>
        </w:rPr>
        <w:t>%；项目支出</w:t>
      </w:r>
      <w:r>
        <w:rPr>
          <w:rFonts w:hint="eastAsia" w:ascii="仿宋_GB2312" w:hAnsi="宋体" w:eastAsia="仿宋_GB2312" w:cs="仿宋_GB2312"/>
          <w:color w:val="000000"/>
          <w:kern w:val="0"/>
          <w:sz w:val="32"/>
          <w:szCs w:val="32"/>
          <w:lang w:val="en-US" w:eastAsia="zh-CN" w:bidi="ar"/>
        </w:rPr>
        <w:t>634.19</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31.07</w:t>
      </w:r>
      <w:r>
        <w:rPr>
          <w:rFonts w:ascii="仿宋_GB2312" w:hAnsi="宋体" w:eastAsia="仿宋_GB2312" w:cs="仿宋_GB2312"/>
          <w:color w:val="000000"/>
          <w:kern w:val="0"/>
          <w:sz w:val="32"/>
          <w:szCs w:val="32"/>
          <w:lang w:bidi="ar"/>
        </w:rPr>
        <w:t>%；经营支出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p>
    <w:p>
      <w:pPr>
        <w:widowControl/>
        <w:ind w:firstLine="640" w:firstLineChars="200"/>
        <w:jc w:val="left"/>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drawing>
          <wp:anchor distT="0" distB="0" distL="114300" distR="114300" simplePos="0" relativeHeight="251659264" behindDoc="0" locked="0" layoutInCell="1" allowOverlap="1">
            <wp:simplePos x="0" y="0"/>
            <wp:positionH relativeFrom="column">
              <wp:posOffset>1038860</wp:posOffset>
            </wp:positionH>
            <wp:positionV relativeFrom="paragraph">
              <wp:posOffset>62865</wp:posOffset>
            </wp:positionV>
            <wp:extent cx="3790315" cy="2406650"/>
            <wp:effectExtent l="5080" t="4445" r="1460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四、财政拨款收入支出决算总体情况说明  </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177790" cy="2025015"/>
            <wp:effectExtent l="4445" t="4445" r="12065" b="1524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ind w:firstLine="640" w:firstLineChars="200"/>
        <w:jc w:val="left"/>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2019年财政拨款收入</w:t>
      </w:r>
      <w:r>
        <w:rPr>
          <w:rFonts w:hint="eastAsia" w:ascii="仿宋_GB2312" w:hAnsi="仿宋" w:eastAsia="仿宋_GB2312"/>
          <w:b/>
          <w:bCs/>
          <w:color w:val="auto"/>
          <w:sz w:val="32"/>
          <w:szCs w:val="32"/>
          <w:lang w:val="en-US" w:eastAsia="zh-CN"/>
        </w:rPr>
        <w:t>总计</w:t>
      </w:r>
      <w:r>
        <w:rPr>
          <w:rFonts w:hint="eastAsia" w:ascii="仿宋_GB2312" w:hAnsi="仿宋" w:eastAsia="仿宋_GB2312"/>
          <w:color w:val="auto"/>
          <w:sz w:val="32"/>
          <w:szCs w:val="32"/>
          <w:lang w:val="en-US" w:eastAsia="zh-CN"/>
        </w:rPr>
        <w:t>2041.21万元，与2018年财政拨款收入1387.4万元相比，增加47.12%，主要原因是人员增加及相关社保资金的增加。</w:t>
      </w:r>
    </w:p>
    <w:p>
      <w:pPr>
        <w:widowControl/>
        <w:ind w:firstLine="640" w:firstLineChars="200"/>
        <w:jc w:val="left"/>
        <w:rPr>
          <w:rFonts w:hint="eastAsia" w:ascii="仿宋_GB2312" w:hAnsi="仿宋" w:eastAsia="仿宋_GB2312"/>
          <w:sz w:val="32"/>
          <w:szCs w:val="32"/>
        </w:rPr>
      </w:pPr>
      <w:r>
        <w:rPr>
          <w:rFonts w:hint="eastAsia" w:ascii="仿宋_GB2312" w:hAnsi="仿宋" w:eastAsia="仿宋_GB2312"/>
          <w:color w:val="auto"/>
          <w:sz w:val="32"/>
          <w:szCs w:val="32"/>
          <w:lang w:val="en-US" w:eastAsia="zh-CN"/>
        </w:rPr>
        <w:t>2019年财政拨款支出</w:t>
      </w:r>
      <w:r>
        <w:rPr>
          <w:rFonts w:hint="eastAsia" w:ascii="仿宋_GB2312" w:hAnsi="仿宋" w:eastAsia="仿宋_GB2312"/>
          <w:b/>
          <w:bCs/>
          <w:color w:val="auto"/>
          <w:sz w:val="32"/>
          <w:szCs w:val="32"/>
          <w:lang w:val="en-US" w:eastAsia="zh-CN"/>
        </w:rPr>
        <w:t>总计</w:t>
      </w:r>
      <w:r>
        <w:rPr>
          <w:rFonts w:hint="eastAsia" w:ascii="仿宋_GB2312" w:hAnsi="仿宋" w:eastAsia="仿宋_GB2312"/>
          <w:color w:val="auto"/>
          <w:sz w:val="32"/>
          <w:szCs w:val="32"/>
          <w:lang w:val="en-US" w:eastAsia="zh-CN"/>
        </w:rPr>
        <w:t>2041.21万元，与2018年财政拨款支出1387.4万元相比，增加47.12%，主要原因是人员增加及相关社保资金的增加。</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五、一般公共预算财政拨款支出决算情况说明</w:t>
      </w:r>
    </w:p>
    <w:p>
      <w:pPr>
        <w:widowControl/>
        <w:ind w:firstLine="640" w:firstLineChars="200"/>
        <w:jc w:val="left"/>
        <w:rPr>
          <w:rFonts w:ascii="楷体_GB2312" w:hAnsi="宋体" w:eastAsia="楷体_GB2312" w:cs="楷体_GB2312"/>
          <w:b/>
          <w:color w:val="000000"/>
          <w:kern w:val="0"/>
          <w:sz w:val="32"/>
          <w:szCs w:val="32"/>
          <w:lang w:bidi="ar"/>
        </w:rPr>
      </w:pPr>
      <w:r>
        <w:rPr>
          <w:rFonts w:hint="eastAsia" w:ascii="仿宋_GB2312" w:hAnsi="仿宋_GB2312" w:eastAsia="仿宋_GB2312" w:cs="仿宋_GB2312"/>
          <w:sz w:val="32"/>
          <w:szCs w:val="32"/>
          <w:lang w:eastAsia="zh-CN"/>
        </w:rPr>
        <w:drawing>
          <wp:inline distT="0" distB="0" distL="114300" distR="114300">
            <wp:extent cx="5177790" cy="2025015"/>
            <wp:effectExtent l="4445" t="4445" r="12065" b="1524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ind w:firstLine="321" w:firstLineChars="100"/>
        <w:jc w:val="left"/>
        <w:rPr>
          <w:rFonts w:ascii="仿宋_GB2312" w:hAnsi="仿宋_GB2312" w:eastAsia="仿宋_GB2312" w:cs="仿宋_GB2312"/>
          <w:sz w:val="32"/>
          <w:szCs w:val="32"/>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hint="eastAsia" w:ascii="仿宋_GB2312" w:hAnsi="仿宋" w:eastAsia="仿宋_GB2312"/>
          <w:sz w:val="32"/>
          <w:szCs w:val="32"/>
        </w:rPr>
      </w:pPr>
      <w:r>
        <w:rPr>
          <w:rFonts w:ascii="仿宋_GB2312" w:hAnsi="宋体" w:eastAsia="仿宋_GB2312" w:cs="仿宋_GB2312"/>
          <w:color w:val="000000"/>
          <w:kern w:val="0"/>
          <w:sz w:val="32"/>
          <w:szCs w:val="32"/>
          <w:lang w:bidi="ar"/>
        </w:rPr>
        <w:t>2019 年财政拨款支出</w:t>
      </w:r>
      <w:r>
        <w:rPr>
          <w:rFonts w:hint="eastAsia" w:ascii="仿宋_GB2312" w:hAnsi="仿宋" w:eastAsia="仿宋_GB2312"/>
          <w:color w:val="auto"/>
          <w:sz w:val="32"/>
          <w:szCs w:val="32"/>
          <w:lang w:val="en-US" w:eastAsia="zh-CN"/>
        </w:rPr>
        <w:t>2041.21</w:t>
      </w:r>
      <w:r>
        <w:rPr>
          <w:rFonts w:ascii="仿宋_GB2312" w:hAnsi="宋体" w:eastAsia="仿宋_GB2312" w:cs="仿宋_GB2312"/>
          <w:color w:val="000000"/>
          <w:kern w:val="0"/>
          <w:sz w:val="32"/>
          <w:szCs w:val="32"/>
          <w:lang w:bidi="ar"/>
        </w:rPr>
        <w:t>万元，占本年支出合计的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相比，财政拨款支出增加</w:t>
      </w:r>
      <w:r>
        <w:rPr>
          <w:rFonts w:hint="eastAsia" w:ascii="仿宋_GB2312" w:hAnsi="宋体" w:eastAsia="仿宋_GB2312" w:cs="仿宋_GB2312"/>
          <w:color w:val="000000"/>
          <w:kern w:val="0"/>
          <w:sz w:val="32"/>
          <w:szCs w:val="32"/>
          <w:lang w:val="en-US" w:eastAsia="zh-CN" w:bidi="ar"/>
        </w:rPr>
        <w:t>653.81</w:t>
      </w:r>
      <w:r>
        <w:rPr>
          <w:rFonts w:ascii="仿宋_GB2312" w:hAnsi="宋体" w:eastAsia="仿宋_GB2312" w:cs="仿宋_GB2312"/>
          <w:color w:val="000000"/>
          <w:kern w:val="0"/>
          <w:sz w:val="32"/>
          <w:szCs w:val="32"/>
          <w:lang w:bidi="ar"/>
        </w:rPr>
        <w:t>万元，增长</w:t>
      </w:r>
      <w:r>
        <w:rPr>
          <w:rFonts w:hint="eastAsia" w:ascii="仿宋_GB2312" w:hAnsi="仿宋" w:eastAsia="仿宋_GB2312"/>
          <w:color w:val="auto"/>
          <w:sz w:val="32"/>
          <w:szCs w:val="32"/>
          <w:lang w:val="en-US" w:eastAsia="zh-CN"/>
        </w:rPr>
        <w:t>47.12%</w:t>
      </w:r>
      <w:r>
        <w:rPr>
          <w:rFonts w:ascii="仿宋_GB2312" w:hAnsi="宋体" w:eastAsia="仿宋_GB2312" w:cs="仿宋_GB2312"/>
          <w:color w:val="000000"/>
          <w:kern w:val="0"/>
          <w:sz w:val="32"/>
          <w:szCs w:val="32"/>
          <w:lang w:bidi="ar"/>
        </w:rPr>
        <w:t>，</w:t>
      </w:r>
      <w:r>
        <w:rPr>
          <w:rFonts w:hint="eastAsia" w:ascii="仿宋_GB2312" w:hAnsi="仿宋" w:eastAsia="仿宋_GB2312"/>
          <w:color w:val="auto"/>
          <w:sz w:val="32"/>
          <w:szCs w:val="32"/>
          <w:lang w:val="en-US" w:eastAsia="zh-CN"/>
        </w:rPr>
        <w:t>主要原因是人员增加及相关社保资金的增加。</w:t>
      </w:r>
    </w:p>
    <w:p>
      <w:p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hint="eastAsia" w:eastAsia="仿宋_GB2312"/>
          <w:lang w:val="en-US" w:eastAsia="zh-CN"/>
        </w:rPr>
      </w:pPr>
      <w:r>
        <w:rPr>
          <w:rFonts w:ascii="仿宋_GB2312" w:hAnsi="宋体" w:eastAsia="仿宋_GB2312" w:cs="仿宋_GB2312"/>
          <w:color w:val="000000"/>
          <w:kern w:val="0"/>
          <w:sz w:val="32"/>
          <w:szCs w:val="32"/>
          <w:lang w:bidi="ar"/>
        </w:rPr>
        <w:t>2019 年财政拨款支出决算为</w:t>
      </w:r>
      <w:r>
        <w:rPr>
          <w:rFonts w:hint="eastAsia" w:ascii="仿宋_GB2312" w:hAnsi="仿宋" w:eastAsia="仿宋_GB2312"/>
          <w:color w:val="auto"/>
          <w:sz w:val="32"/>
          <w:szCs w:val="32"/>
          <w:lang w:val="en-US" w:eastAsia="zh-CN"/>
        </w:rPr>
        <w:t>2041.21</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其中：一般公共服务支出（类）为</w:t>
      </w:r>
      <w:r>
        <w:rPr>
          <w:rFonts w:hint="eastAsia" w:ascii="仿宋_GB2312" w:hAnsi="宋体" w:eastAsia="仿宋_GB2312" w:cs="仿宋_GB2312"/>
          <w:color w:val="000000"/>
          <w:kern w:val="0"/>
          <w:sz w:val="32"/>
          <w:szCs w:val="32"/>
          <w:lang w:bidi="ar"/>
        </w:rPr>
        <w:t>1116</w:t>
      </w:r>
      <w:r>
        <w:rPr>
          <w:rFonts w:hint="eastAsia"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bidi="ar"/>
        </w:rPr>
        <w:t>77</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文化旅游体育与传媒支出</w:t>
      </w:r>
      <w:r>
        <w:rPr>
          <w:rFonts w:ascii="仿宋_GB2312" w:hAnsi="宋体" w:eastAsia="仿宋_GB2312" w:cs="仿宋_GB2312"/>
          <w:color w:val="000000"/>
          <w:kern w:val="0"/>
          <w:sz w:val="32"/>
          <w:szCs w:val="32"/>
          <w:lang w:bidi="ar"/>
        </w:rPr>
        <w:t>（类）</w:t>
      </w:r>
      <w:r>
        <w:rPr>
          <w:rFonts w:hint="eastAsia" w:ascii="仿宋_GB2312" w:hAnsi="宋体" w:eastAsia="仿宋_GB2312" w:cs="仿宋_GB2312"/>
          <w:color w:val="000000"/>
          <w:kern w:val="0"/>
          <w:sz w:val="32"/>
          <w:szCs w:val="32"/>
          <w:lang w:bidi="ar"/>
        </w:rPr>
        <w:t>68</w:t>
      </w:r>
      <w:r>
        <w:rPr>
          <w:rFonts w:hint="eastAsia"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 xml:space="preserve"> 万元；社会保障和就业支出</w:t>
      </w:r>
      <w:r>
        <w:rPr>
          <w:rFonts w:ascii="仿宋_GB2312" w:hAnsi="宋体" w:eastAsia="仿宋_GB2312" w:cs="仿宋_GB2312"/>
          <w:color w:val="000000"/>
          <w:kern w:val="0"/>
          <w:sz w:val="32"/>
          <w:szCs w:val="32"/>
          <w:lang w:bidi="ar"/>
        </w:rPr>
        <w:t>（类）</w:t>
      </w:r>
      <w:r>
        <w:rPr>
          <w:rFonts w:hint="eastAsia" w:ascii="仿宋_GB2312" w:hAnsi="宋体" w:eastAsia="仿宋_GB2312" w:cs="仿宋_GB2312"/>
          <w:color w:val="000000"/>
          <w:kern w:val="0"/>
          <w:sz w:val="32"/>
          <w:szCs w:val="32"/>
          <w:lang w:bidi="ar"/>
        </w:rPr>
        <w:t>173</w:t>
      </w:r>
      <w:r>
        <w:rPr>
          <w:rFonts w:hint="eastAsia"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bidi="ar"/>
        </w:rPr>
        <w:t>45万元；卫生健康支出</w:t>
      </w:r>
      <w:r>
        <w:rPr>
          <w:rFonts w:ascii="仿宋_GB2312" w:hAnsi="宋体" w:eastAsia="仿宋_GB2312" w:cs="仿宋_GB2312"/>
          <w:color w:val="000000"/>
          <w:kern w:val="0"/>
          <w:sz w:val="32"/>
          <w:szCs w:val="32"/>
          <w:lang w:bidi="ar"/>
        </w:rPr>
        <w:t>（类）为</w:t>
      </w:r>
      <w:r>
        <w:rPr>
          <w:rFonts w:hint="eastAsia" w:ascii="仿宋_GB2312" w:hAnsi="宋体" w:eastAsia="仿宋_GB2312" w:cs="仿宋_GB2312"/>
          <w:color w:val="000000"/>
          <w:kern w:val="0"/>
          <w:sz w:val="32"/>
          <w:szCs w:val="32"/>
          <w:lang w:bidi="ar"/>
        </w:rPr>
        <w:t>160</w:t>
      </w:r>
      <w:r>
        <w:rPr>
          <w:rFonts w:hint="eastAsia"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bidi="ar"/>
        </w:rPr>
        <w:t>77</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,农林水支出</w:t>
      </w:r>
      <w:r>
        <w:rPr>
          <w:rFonts w:ascii="仿宋_GB2312" w:hAnsi="宋体" w:eastAsia="仿宋_GB2312" w:cs="仿宋_GB2312"/>
          <w:color w:val="000000"/>
          <w:kern w:val="0"/>
          <w:sz w:val="32"/>
          <w:szCs w:val="32"/>
          <w:lang w:bidi="ar"/>
        </w:rPr>
        <w:t>（类）为</w:t>
      </w:r>
      <w:r>
        <w:rPr>
          <w:rFonts w:hint="eastAsia" w:ascii="仿宋_GB2312" w:hAnsi="宋体" w:eastAsia="仿宋_GB2312" w:cs="仿宋_GB2312"/>
          <w:color w:val="000000"/>
          <w:kern w:val="0"/>
          <w:sz w:val="32"/>
          <w:szCs w:val="32"/>
          <w:lang w:bidi="ar"/>
        </w:rPr>
        <w:t>445</w:t>
      </w:r>
      <w:r>
        <w:rPr>
          <w:rFonts w:hint="eastAsia"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1</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,住房保障支出</w:t>
      </w:r>
      <w:r>
        <w:rPr>
          <w:rFonts w:ascii="仿宋_GB2312" w:hAnsi="宋体" w:eastAsia="仿宋_GB2312" w:cs="仿宋_GB2312"/>
          <w:color w:val="000000"/>
          <w:kern w:val="0"/>
          <w:sz w:val="32"/>
          <w:szCs w:val="32"/>
          <w:lang w:bidi="ar"/>
        </w:rPr>
        <w:t>（类）为</w:t>
      </w:r>
      <w:r>
        <w:rPr>
          <w:rFonts w:hint="eastAsia" w:ascii="仿宋_GB2312" w:hAnsi="宋体" w:eastAsia="仿宋_GB2312" w:cs="仿宋_GB2312"/>
          <w:color w:val="000000"/>
          <w:kern w:val="0"/>
          <w:sz w:val="32"/>
          <w:szCs w:val="32"/>
          <w:lang w:val="en-US" w:eastAsia="zh-CN" w:bidi="ar"/>
        </w:rPr>
        <w:t>76.88</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p>
    <w:p>
      <w:pPr>
        <w:spacing w:line="360" w:lineRule="auto"/>
        <w:ind w:firstLine="640" w:firstLineChars="200"/>
        <w:rPr>
          <w:rFonts w:ascii="仿宋_GB2312" w:hAnsi="仿宋" w:eastAsia="仿宋_GB2312"/>
          <w:sz w:val="32"/>
          <w:szCs w:val="32"/>
        </w:rPr>
      </w:pPr>
      <w:r>
        <w:rPr>
          <w:rFonts w:hint="eastAsia" w:ascii="黑体" w:hAnsi="黑体" w:eastAsia="黑体"/>
          <w:color w:val="000000"/>
          <w:kern w:val="0"/>
          <w:sz w:val="32"/>
          <w:szCs w:val="32"/>
          <w:lang w:bidi="ar"/>
        </w:rPr>
        <w:t xml:space="preserve">六、一般公共预算财政拨款基本支出决算情况说明 </w:t>
      </w:r>
    </w:p>
    <w:p>
      <w:pPr>
        <w:widowControl/>
        <w:ind w:firstLine="640" w:firstLineChars="200"/>
        <w:jc w:val="left"/>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2019年一般公共预算财政拨款基本支出</w:t>
      </w:r>
      <w:r>
        <w:rPr>
          <w:rFonts w:hint="eastAsia" w:ascii="仿宋_GB2312" w:hAnsi="宋体" w:eastAsia="仿宋_GB2312" w:cs="仿宋_GB2312"/>
          <w:color w:val="000000"/>
          <w:kern w:val="0"/>
          <w:sz w:val="32"/>
          <w:szCs w:val="32"/>
          <w:lang w:val="en-US" w:eastAsia="zh-CN" w:bidi="ar"/>
        </w:rPr>
        <w:t>1407.02</w:t>
      </w:r>
      <w:r>
        <w:rPr>
          <w:rFonts w:hint="eastAsia" w:ascii="仿宋_GB2312" w:hAnsi="宋体" w:eastAsia="仿宋_GB2312" w:cs="仿宋_GB2312"/>
          <w:color w:val="000000"/>
          <w:kern w:val="0"/>
          <w:sz w:val="32"/>
          <w:szCs w:val="32"/>
          <w:lang w:bidi="ar"/>
        </w:rPr>
        <w:t>万元，包括：人员经费支出</w:t>
      </w:r>
      <w:r>
        <w:rPr>
          <w:rFonts w:hint="eastAsia" w:ascii="仿宋_GB2312" w:hAnsi="宋体" w:eastAsia="仿宋_GB2312" w:cs="仿宋_GB2312"/>
          <w:color w:val="000000"/>
          <w:kern w:val="0"/>
          <w:sz w:val="32"/>
          <w:szCs w:val="32"/>
          <w:lang w:val="en-US" w:eastAsia="zh-CN" w:bidi="ar"/>
        </w:rPr>
        <w:t>1187</w:t>
      </w:r>
      <w:r>
        <w:rPr>
          <w:rFonts w:hint="eastAsia" w:ascii="仿宋_GB2312" w:hAnsi="宋体" w:eastAsia="仿宋_GB2312" w:cs="仿宋_GB2312"/>
          <w:color w:val="000000"/>
          <w:kern w:val="0"/>
          <w:sz w:val="32"/>
          <w:szCs w:val="32"/>
          <w:lang w:bidi="ar"/>
        </w:rPr>
        <w:t>万元和公用经费支出</w:t>
      </w:r>
      <w:r>
        <w:rPr>
          <w:rFonts w:hint="eastAsia" w:ascii="仿宋_GB2312" w:hAnsi="宋体" w:eastAsia="仿宋_GB2312" w:cs="仿宋_GB2312"/>
          <w:color w:val="000000"/>
          <w:kern w:val="0"/>
          <w:sz w:val="32"/>
          <w:szCs w:val="32"/>
          <w:lang w:val="en-US" w:eastAsia="zh-CN" w:bidi="ar"/>
        </w:rPr>
        <w:t>220.02</w:t>
      </w:r>
      <w:r>
        <w:rPr>
          <w:rFonts w:hint="eastAsia" w:ascii="仿宋_GB2312" w:hAnsi="宋体" w:eastAsia="仿宋_GB2312" w:cs="仿宋_GB2312"/>
          <w:color w:val="000000"/>
          <w:kern w:val="0"/>
          <w:sz w:val="32"/>
          <w:szCs w:val="32"/>
          <w:lang w:bidi="ar"/>
        </w:rPr>
        <w:t>万元。</w:t>
      </w:r>
    </w:p>
    <w:p>
      <w:pPr>
        <w:widowControl/>
        <w:ind w:firstLine="643"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bidi="ar"/>
        </w:rPr>
        <w:t>人员经费</w:t>
      </w:r>
      <w:r>
        <w:rPr>
          <w:rFonts w:hint="eastAsia" w:ascii="仿宋_GB2312" w:hAnsi="宋体" w:eastAsia="仿宋_GB2312" w:cs="仿宋_GB2312"/>
          <w:color w:val="000000"/>
          <w:kern w:val="0"/>
          <w:sz w:val="32"/>
          <w:szCs w:val="32"/>
          <w:lang w:val="en-US" w:eastAsia="zh-CN" w:bidi="ar"/>
        </w:rPr>
        <w:t>1187</w:t>
      </w:r>
      <w:r>
        <w:rPr>
          <w:rFonts w:hint="eastAsia"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val="en-US" w:eastAsia="zh-CN" w:bidi="ar"/>
        </w:rPr>
        <w:t>:基本工资478.57</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,津贴补贴297.28</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,奖金36.06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,绩效工资129.20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,机关事业单位基本养老保险缴费106.66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,职工基本医疗保险缴费58.36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,住房公积金76.88</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,生活补助2.00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,医疗费补助1.99</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p>
    <w:p>
      <w:pPr>
        <w:widowControl/>
        <w:ind w:firstLine="643" w:firstLineChars="200"/>
        <w:jc w:val="left"/>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color w:val="000000"/>
          <w:kern w:val="0"/>
          <w:sz w:val="32"/>
          <w:szCs w:val="32"/>
          <w:lang w:val="en-US" w:eastAsia="zh-CN" w:bidi="ar"/>
        </w:rPr>
        <w:t>220.02万元，主要包括:办公费27.85</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,印刷费11.42</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,手续费0.22</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,水费0.60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,电费0.10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,邮电费1.15</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,取暖费1.40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,差旅费0.15</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,维修（护）费15.76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,会议费6.40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,公务接待费2.48</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,专用材料费1.14</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,劳务费49.56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,委托业务费11.79</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,公务用车运行维护费13.95</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,其他交通费用21.30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,其他商品和服务支出54.76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p>
    <w:p>
      <w:pPr>
        <w:ind w:firstLine="640" w:firstLineChars="200"/>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七、一般公共预算财政拨款“三公”经费及会议费、培训费支出决算情况说明 </w:t>
      </w:r>
    </w:p>
    <w:p>
      <w:pPr>
        <w:widowControl/>
        <w:ind w:firstLine="643" w:firstLineChars="200"/>
        <w:jc w:val="left"/>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 xml:space="preserve"> </w:t>
      </w:r>
    </w:p>
    <w:p>
      <w:pPr>
        <w:widowControl/>
        <w:ind w:firstLine="640" w:firstLineChars="200"/>
        <w:jc w:val="left"/>
        <w:rPr>
          <w:rFonts w:hint="eastAsia"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2019年“三公”经费财政拨款支出预算为</w:t>
      </w:r>
      <w:r>
        <w:rPr>
          <w:rFonts w:hint="eastAsia" w:ascii="仿宋_GB2312" w:hAnsi="宋体" w:eastAsia="仿宋_GB2312" w:cs="仿宋_GB2312"/>
          <w:color w:val="000000"/>
          <w:kern w:val="0"/>
          <w:sz w:val="32"/>
          <w:szCs w:val="32"/>
          <w:lang w:val="en-US" w:eastAsia="zh-CN" w:bidi="ar"/>
        </w:rPr>
        <w:t>16.5</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16.43</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99.58</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0.07</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逐年减少三公经费支出</w:t>
      </w:r>
      <w:r>
        <w:rPr>
          <w:rFonts w:hint="eastAsia" w:ascii="仿宋_GB2312" w:hAnsi="宋体" w:eastAsia="仿宋_GB2312" w:cs="仿宋_GB2312"/>
          <w:color w:val="000000"/>
          <w:kern w:val="0"/>
          <w:sz w:val="32"/>
          <w:szCs w:val="32"/>
          <w:lang w:bidi="ar"/>
        </w:rPr>
        <w:t>。</w:t>
      </w:r>
    </w:p>
    <w:p>
      <w:p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bidi="ar"/>
        </w:rPr>
        <w:t>说明</w:t>
      </w:r>
    </w:p>
    <w:p>
      <w:pPr>
        <w:widowControl/>
        <w:ind w:firstLine="643" w:firstLineChars="200"/>
        <w:jc w:val="left"/>
      </w:pPr>
      <w:r>
        <w:rPr>
          <w:rFonts w:hint="eastAsia" w:ascii="仿宋_GB2312" w:hAnsi="仿宋" w:eastAsia="仿宋_GB2312"/>
          <w:b/>
          <w:bCs/>
          <w:sz w:val="32"/>
          <w:szCs w:val="32"/>
        </w:rPr>
        <w:drawing>
          <wp:anchor distT="0" distB="0" distL="114300" distR="114300" simplePos="0" relativeHeight="251660288" behindDoc="0" locked="0" layoutInCell="1" allowOverlap="1">
            <wp:simplePos x="0" y="0"/>
            <wp:positionH relativeFrom="column">
              <wp:posOffset>396240</wp:posOffset>
            </wp:positionH>
            <wp:positionV relativeFrom="paragraph">
              <wp:posOffset>1701165</wp:posOffset>
            </wp:positionV>
            <wp:extent cx="4650105" cy="3061970"/>
            <wp:effectExtent l="4445" t="4445" r="6350" b="698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_GB2312" w:hAnsi="宋体" w:eastAsia="仿宋_GB2312" w:cs="仿宋_GB2312"/>
          <w:color w:val="000000"/>
          <w:kern w:val="0"/>
          <w:sz w:val="32"/>
          <w:szCs w:val="32"/>
          <w:lang w:bidi="ar"/>
        </w:rPr>
        <w:t>2019年“三公”经费财政拨款支出决算中，因公出国（境）费支出决算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费支出</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lang w:bidi="ar"/>
        </w:rPr>
        <w:t>费支出决算</w:t>
      </w:r>
      <w:r>
        <w:rPr>
          <w:rFonts w:hint="eastAsia" w:ascii="仿宋_GB2312" w:hAnsi="宋体" w:eastAsia="仿宋_GB2312" w:cs="仿宋_GB2312"/>
          <w:color w:val="000000"/>
          <w:kern w:val="0"/>
          <w:sz w:val="32"/>
          <w:szCs w:val="32"/>
          <w:lang w:val="en-US" w:eastAsia="zh-CN" w:bidi="ar"/>
        </w:rPr>
        <w:t>13.95</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84.91</w:t>
      </w:r>
      <w:r>
        <w:rPr>
          <w:rFonts w:ascii="仿宋_GB2312" w:hAnsi="宋体" w:eastAsia="仿宋_GB2312" w:cs="仿宋_GB2312"/>
          <w:color w:val="000000"/>
          <w:kern w:val="0"/>
          <w:sz w:val="32"/>
          <w:szCs w:val="32"/>
          <w:lang w:bidi="ar"/>
        </w:rPr>
        <w:t>%；公务接待费支出决算</w:t>
      </w:r>
      <w:r>
        <w:rPr>
          <w:rFonts w:hint="eastAsia" w:ascii="仿宋_GB2312" w:hAnsi="宋体" w:eastAsia="仿宋_GB2312" w:cs="仿宋_GB2312"/>
          <w:color w:val="000000"/>
          <w:kern w:val="0"/>
          <w:sz w:val="32"/>
          <w:szCs w:val="32"/>
          <w:lang w:val="en-US" w:eastAsia="zh-CN" w:bidi="ar"/>
        </w:rPr>
        <w:t>2.48</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15.09</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具体情况如下：</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hint="eastAsia" w:eastAsia="仿宋_GB2312"/>
          <w:lang w:eastAsia="zh-CN"/>
        </w:rPr>
      </w:pPr>
      <w:r>
        <w:rPr>
          <w:rFonts w:hint="eastAsia" w:ascii="仿宋_GB2312" w:hAnsi="仿宋" w:eastAsia="仿宋_GB2312"/>
          <w:sz w:val="32"/>
          <w:szCs w:val="32"/>
        </w:rPr>
        <w:t>2019年因公出国（境）团组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pPr>
      <w:r>
        <w:rPr>
          <w:rFonts w:hint="eastAsia" w:ascii="仿宋_GB2312" w:hAnsi="仿宋" w:eastAsia="仿宋_GB2312"/>
          <w:sz w:val="32"/>
          <w:szCs w:val="32"/>
        </w:rPr>
        <w:t>2019年购置车辆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14</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13.95</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99.64</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0.05</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逐年减少三公经费支出</w:t>
      </w:r>
      <w:r>
        <w:rPr>
          <w:rFonts w:hint="eastAsia" w:ascii="仿宋_GB2312" w:hAnsi="宋体" w:eastAsia="仿宋_GB2312" w:cs="仿宋_GB2312"/>
          <w:color w:val="000000"/>
          <w:kern w:val="0"/>
          <w:sz w:val="32"/>
          <w:szCs w:val="32"/>
          <w:lang w:bidi="ar"/>
        </w:rPr>
        <w:t>。</w:t>
      </w:r>
    </w:p>
    <w:p>
      <w:pPr>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2019年公务接待</w:t>
      </w:r>
      <w:r>
        <w:rPr>
          <w:rFonts w:hint="eastAsia" w:ascii="仿宋_GB2312" w:hAnsi="仿宋_GB2312" w:eastAsia="仿宋_GB2312" w:cs="仿宋_GB2312"/>
          <w:sz w:val="32"/>
          <w:szCs w:val="32"/>
          <w:lang w:val="en-US" w:eastAsia="zh-CN"/>
        </w:rPr>
        <w:t>137</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309</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2.5</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2.48</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99.2</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0.02</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逐年减少三公经费支出</w:t>
      </w:r>
      <w:r>
        <w:rPr>
          <w:rFonts w:hint="eastAsia" w:ascii="仿宋_GB2312" w:hAnsi="宋体" w:eastAsia="仿宋_GB2312" w:cs="仿宋_GB2312"/>
          <w:color w:val="000000"/>
          <w:kern w:val="0"/>
          <w:sz w:val="32"/>
          <w:szCs w:val="32"/>
          <w:lang w:bidi="ar"/>
        </w:rPr>
        <w:t>。</w:t>
      </w:r>
    </w:p>
    <w:p>
      <w:pPr>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（三）培训费支出情况说明</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p>
    <w:p>
      <w:pPr>
        <w:numPr>
          <w:ilvl w:val="0"/>
          <w:numId w:val="1"/>
        </w:numPr>
        <w:spacing w:line="360" w:lineRule="auto"/>
        <w:ind w:firstLine="643" w:firstLineChars="200"/>
        <w:rPr>
          <w:rFonts w:hint="eastAsia"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会议费支出情况说明</w:t>
      </w:r>
    </w:p>
    <w:p>
      <w:pPr>
        <w:numPr>
          <w:ilvl w:val="0"/>
          <w:numId w:val="0"/>
        </w:numPr>
        <w:spacing w:line="360" w:lineRule="auto"/>
        <w:ind w:firstLine="640" w:firstLineChars="200"/>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6.5</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6.4</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98.46</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0.1</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逐年减少三公经费支出</w:t>
      </w:r>
      <w:r>
        <w:rPr>
          <w:rFonts w:hint="eastAsia" w:ascii="仿宋_GB2312" w:hAnsi="宋体" w:eastAsia="仿宋_GB2312" w:cs="仿宋_GB2312"/>
          <w:color w:val="000000"/>
          <w:kern w:val="0"/>
          <w:sz w:val="32"/>
          <w:szCs w:val="32"/>
          <w:lang w:bidi="ar"/>
        </w:rPr>
        <w:t>。</w:t>
      </w:r>
    </w:p>
    <w:p>
      <w:pPr>
        <w:ind w:firstLine="640" w:firstLineChars="200"/>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八、政府性基金预算财政拨款收入支出情况说明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九、预算绩效情况说明</w:t>
      </w:r>
    </w:p>
    <w:p>
      <w:pPr>
        <w:widowControl/>
        <w:ind w:left="1281" w:leftChars="304" w:hanging="643" w:hanging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bidi="ar"/>
        </w:rPr>
        <w:t xml:space="preserve">说明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 2019</w:t>
      </w:r>
      <w:r>
        <w:rPr>
          <w:rFonts w:ascii="仿宋_GB2312" w:hAnsi="仿宋_GB2312" w:eastAsia="仿宋_GB2312" w:cs="仿宋_GB2312"/>
          <w:sz w:val="32"/>
          <w:szCs w:val="32"/>
        </w:rPr>
        <w:t>年一般公共预算项目支出全面开展绩效自评，</w:t>
      </w:r>
      <w:r>
        <w:rPr>
          <w:rFonts w:hint="eastAsia" w:ascii="仿宋_GB2312" w:hAnsi="仿宋_GB2312" w:eastAsia="仿宋_GB2312" w:cs="仿宋_GB2312"/>
          <w:sz w:val="32"/>
          <w:szCs w:val="32"/>
        </w:rPr>
        <w:t>共计项目</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个，涉及</w:t>
      </w:r>
      <w:r>
        <w:rPr>
          <w:rFonts w:hint="eastAsia" w:ascii="仿宋_GB2312" w:hAnsi="仿宋_GB2312" w:eastAsia="仿宋_GB2312" w:cs="仿宋_GB2312"/>
          <w:sz w:val="32"/>
          <w:szCs w:val="32"/>
        </w:rPr>
        <w:t>财政</w:t>
      </w:r>
      <w:r>
        <w:rPr>
          <w:rFonts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220</w:t>
      </w:r>
      <w:r>
        <w:rPr>
          <w:rFonts w:ascii="仿宋_GB2312" w:hAnsi="仿宋_GB2312" w:eastAsia="仿宋_GB2312" w:cs="仿宋_GB2312"/>
          <w:sz w:val="32"/>
          <w:szCs w:val="32"/>
        </w:rPr>
        <w:t>万元。</w:t>
      </w:r>
    </w:p>
    <w:p>
      <w:pPr>
        <w:widowControl/>
        <w:ind w:firstLine="643" w:firstLine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widowControl/>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评价结果为优秀的项目</w:t>
      </w:r>
      <w:r>
        <w:rPr>
          <w:rFonts w:hint="eastAsia" w:ascii="仿宋_GB2312" w:hAnsi="仿宋_GB2312" w:eastAsia="仿宋_GB2312" w:cs="仿宋_GB2312"/>
          <w:color w:val="000000"/>
          <w:kern w:val="0"/>
          <w:sz w:val="31"/>
          <w:szCs w:val="31"/>
          <w:lang w:val="en-US" w:eastAsia="zh-CN" w:bidi="ar"/>
        </w:rPr>
        <w:t>2</w:t>
      </w:r>
      <w:r>
        <w:rPr>
          <w:rFonts w:hint="eastAsia" w:ascii="仿宋_GB2312" w:hAnsi="仿宋_GB2312" w:eastAsia="仿宋_GB2312" w:cs="仿宋_GB2312"/>
          <w:color w:val="000000"/>
          <w:kern w:val="0"/>
          <w:sz w:val="31"/>
          <w:szCs w:val="31"/>
          <w:lang w:bidi="ar"/>
        </w:rPr>
        <w:t>个，占全部项目的</w:t>
      </w:r>
      <w:r>
        <w:rPr>
          <w:rFonts w:hint="eastAsia" w:ascii="仿宋_GB2312" w:hAnsi="仿宋_GB2312" w:eastAsia="仿宋_GB2312" w:cs="仿宋_GB2312"/>
          <w:color w:val="000000"/>
          <w:kern w:val="0"/>
          <w:sz w:val="31"/>
          <w:szCs w:val="31"/>
          <w:lang w:val="en-US" w:eastAsia="zh-CN" w:bidi="ar"/>
        </w:rPr>
        <w:t>100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；良好的</w:t>
      </w:r>
      <w:r>
        <w:rPr>
          <w:rFonts w:ascii="仿宋_GB2312" w:hAnsi="仿宋_GB2312" w:eastAsia="仿宋_GB2312" w:cs="仿宋_GB2312"/>
          <w:color w:val="000000"/>
          <w:kern w:val="0"/>
          <w:sz w:val="31"/>
          <w:szCs w:val="31"/>
          <w:lang w:bidi="ar"/>
        </w:rPr>
        <w:t>项目</w:t>
      </w:r>
      <w:r>
        <w:rPr>
          <w:rFonts w:hint="eastAsia" w:ascii="仿宋_GB2312" w:hAnsi="仿宋_GB2312" w:eastAsia="仿宋_GB2312" w:cs="仿宋_GB2312"/>
          <w:color w:val="000000"/>
          <w:kern w:val="0"/>
          <w:sz w:val="31"/>
          <w:szCs w:val="31"/>
          <w:lang w:val="en-US" w:eastAsia="zh-CN" w:bidi="ar"/>
        </w:rPr>
        <w:t>0</w:t>
      </w:r>
      <w:r>
        <w:rPr>
          <w:rFonts w:hint="eastAsia" w:ascii="仿宋_GB2312" w:hAnsi="仿宋_GB2312" w:eastAsia="仿宋_GB2312" w:cs="仿宋_GB2312"/>
          <w:color w:val="000000"/>
          <w:kern w:val="0"/>
          <w:sz w:val="31"/>
          <w:szCs w:val="31"/>
          <w:lang w:bidi="ar"/>
        </w:rPr>
        <w:t>个，占全部项目的</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；一般的</w:t>
      </w:r>
      <w:r>
        <w:rPr>
          <w:rFonts w:ascii="仿宋_GB2312" w:hAnsi="仿宋_GB2312" w:eastAsia="仿宋_GB2312" w:cs="仿宋_GB2312"/>
          <w:color w:val="000000"/>
          <w:kern w:val="0"/>
          <w:sz w:val="31"/>
          <w:szCs w:val="31"/>
          <w:lang w:bidi="ar"/>
        </w:rPr>
        <w:t>项目</w:t>
      </w:r>
      <w:r>
        <w:rPr>
          <w:rFonts w:hint="eastAsia" w:ascii="仿宋_GB2312" w:hAnsi="仿宋_GB2312" w:eastAsia="仿宋_GB2312" w:cs="仿宋_GB2312"/>
          <w:color w:val="000000"/>
          <w:kern w:val="0"/>
          <w:sz w:val="31"/>
          <w:szCs w:val="31"/>
          <w:lang w:val="en-US" w:eastAsia="zh-CN" w:bidi="ar"/>
        </w:rPr>
        <w:t>0</w:t>
      </w:r>
      <w:r>
        <w:rPr>
          <w:rFonts w:hint="eastAsia" w:ascii="仿宋_GB2312" w:hAnsi="仿宋_GB2312" w:eastAsia="仿宋_GB2312" w:cs="仿宋_GB2312"/>
          <w:color w:val="000000"/>
          <w:kern w:val="0"/>
          <w:sz w:val="31"/>
          <w:szCs w:val="31"/>
          <w:lang w:bidi="ar"/>
        </w:rPr>
        <w:t>个，占全部项目的</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通过项目实施</w:t>
      </w:r>
      <w:r>
        <w:rPr>
          <w:rFonts w:hint="eastAsia" w:ascii="仿宋_GB2312" w:hAnsi="仿宋_GB2312" w:eastAsia="仿宋_GB2312" w:cs="仿宋_GB2312"/>
          <w:color w:val="000000"/>
          <w:kern w:val="0"/>
          <w:sz w:val="31"/>
          <w:szCs w:val="31"/>
          <w:lang w:eastAsia="zh-CN" w:bidi="ar"/>
        </w:rPr>
        <w:t>绩效自评工作</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发现的问题及原因：</w:t>
      </w:r>
      <w:r>
        <w:rPr>
          <w:rFonts w:hint="eastAsia" w:ascii="仿宋_GB2312" w:hAnsi="仿宋_GB2312" w:eastAsia="仿宋_GB2312" w:cs="仿宋_GB2312"/>
          <w:color w:val="000000"/>
          <w:kern w:val="0"/>
          <w:sz w:val="31"/>
          <w:szCs w:val="31"/>
          <w:lang w:eastAsia="zh-CN" w:bidi="ar"/>
        </w:rPr>
        <w:t>部分工程不能很好的预计程序实施进度</w:t>
      </w:r>
      <w:r>
        <w:rPr>
          <w:rFonts w:ascii="仿宋_GB2312" w:hAnsi="仿宋_GB2312" w:eastAsia="仿宋_GB2312" w:cs="仿宋_GB2312"/>
          <w:color w:val="000000"/>
          <w:kern w:val="0"/>
          <w:sz w:val="31"/>
          <w:szCs w:val="31"/>
          <w:lang w:bidi="ar"/>
        </w:rPr>
        <w:t>。下一步改进措施：</w:t>
      </w:r>
      <w:r>
        <w:rPr>
          <w:rFonts w:hint="eastAsia" w:ascii="仿宋_GB2312" w:hAnsi="仿宋_GB2312" w:eastAsia="仿宋_GB2312" w:cs="仿宋_GB2312"/>
          <w:color w:val="000000"/>
          <w:kern w:val="0"/>
          <w:sz w:val="31"/>
          <w:szCs w:val="31"/>
          <w:lang w:eastAsia="zh-CN" w:bidi="ar"/>
        </w:rPr>
        <w:t>加强相关人员业务水平，做好工程的实施计划</w:t>
      </w:r>
      <w:r>
        <w:rPr>
          <w:rFonts w:hint="eastAsia" w:ascii="仿宋_GB2312" w:hAnsi="仿宋_GB2312" w:eastAsia="仿宋_GB2312" w:cs="仿宋_GB2312"/>
          <w:color w:val="000000"/>
          <w:kern w:val="0"/>
          <w:sz w:val="31"/>
          <w:szCs w:val="31"/>
          <w:lang w:bidi="ar"/>
        </w:rPr>
        <w:t>。</w:t>
      </w:r>
    </w:p>
    <w:p>
      <w:pPr>
        <w:ind w:firstLine="480" w:firstLineChars="150"/>
        <w:rPr>
          <w:rFonts w:ascii="黑体" w:hAnsi="黑体" w:eastAsia="黑体"/>
          <w:sz w:val="32"/>
          <w:szCs w:val="32"/>
        </w:rPr>
      </w:pPr>
      <w:r>
        <w:rPr>
          <w:rFonts w:hint="eastAsia" w:ascii="黑体" w:hAnsi="黑体" w:eastAsia="黑体"/>
          <w:color w:val="000000"/>
          <w:kern w:val="0"/>
          <w:sz w:val="32"/>
          <w:szCs w:val="32"/>
          <w:lang w:bidi="ar"/>
        </w:rPr>
        <w:t>十、其他重要事项说明</w:t>
      </w:r>
    </w:p>
    <w:p>
      <w:pPr>
        <w:widowControl/>
        <w:ind w:firstLine="472" w:firstLineChars="147"/>
        <w:jc w:val="left"/>
      </w:pPr>
      <w:r>
        <w:rPr>
          <w:rFonts w:ascii="楷体_GB2312" w:hAnsi="宋体" w:eastAsia="楷体_GB2312" w:cs="楷体_GB2312"/>
          <w:b/>
          <w:color w:val="000000"/>
          <w:kern w:val="0"/>
          <w:sz w:val="32"/>
          <w:szCs w:val="32"/>
          <w:lang w:bidi="ar"/>
        </w:rPr>
        <w:t>（一）机关运行经费支出情况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 xml:space="preserve"> </w:t>
      </w:r>
    </w:p>
    <w:p>
      <w:pPr>
        <w:widowControl/>
        <w:ind w:firstLine="620" w:firstLineChars="200"/>
        <w:jc w:val="left"/>
        <w:rPr>
          <w:rFonts w:ascii="仿宋_GB2312" w:hAnsi="宋体" w:eastAsia="仿宋_GB2312" w:cs="仿宋_GB2312"/>
          <w:color w:val="000000"/>
          <w:kern w:val="0"/>
          <w:sz w:val="32"/>
          <w:szCs w:val="32"/>
          <w:lang w:bidi="ar"/>
        </w:rPr>
      </w:pPr>
      <w:r>
        <w:rPr>
          <w:rFonts w:ascii="仿宋_GB2312" w:hAnsi="仿宋_GB2312" w:eastAsia="仿宋_GB2312" w:cs="仿宋_GB2312"/>
          <w:color w:val="000000"/>
          <w:kern w:val="0"/>
          <w:sz w:val="31"/>
          <w:szCs w:val="31"/>
          <w:lang w:bidi="ar"/>
        </w:rPr>
        <w:t>2019年机关运行经费</w:t>
      </w:r>
      <w:r>
        <w:rPr>
          <w:rFonts w:ascii="仿宋_GB2312" w:hAnsi="宋体" w:eastAsia="仿宋_GB2312" w:cs="仿宋_GB2312"/>
          <w:color w:val="auto"/>
          <w:kern w:val="0"/>
          <w:sz w:val="32"/>
          <w:szCs w:val="32"/>
          <w:lang w:bidi="ar"/>
        </w:rPr>
        <w:t>预</w:t>
      </w:r>
      <w:r>
        <w:rPr>
          <w:rFonts w:ascii="仿宋_GB2312" w:hAnsi="宋体" w:eastAsia="仿宋_GB2312" w:cs="仿宋_GB2312"/>
          <w:color w:val="000000"/>
          <w:kern w:val="0"/>
          <w:sz w:val="32"/>
          <w:szCs w:val="32"/>
          <w:lang w:bidi="ar"/>
        </w:rPr>
        <w:t>算为</w:t>
      </w:r>
      <w:r>
        <w:rPr>
          <w:rFonts w:hint="eastAsia" w:ascii="仿宋_GB2312" w:hAnsi="宋体" w:eastAsia="仿宋_GB2312" w:cs="仿宋_GB2312"/>
          <w:color w:val="auto"/>
          <w:kern w:val="0"/>
          <w:sz w:val="32"/>
          <w:szCs w:val="32"/>
          <w:lang w:bidi="ar"/>
        </w:rPr>
        <w:t>220.02</w:t>
      </w:r>
      <w:r>
        <w:rPr>
          <w:rFonts w:ascii="仿宋_GB2312" w:hAnsi="宋体" w:eastAsia="仿宋_GB2312" w:cs="仿宋_GB2312"/>
          <w:color w:val="auto"/>
          <w:kern w:val="0"/>
          <w:sz w:val="32"/>
          <w:szCs w:val="32"/>
          <w:lang w:bidi="ar"/>
        </w:rPr>
        <w:t>万</w:t>
      </w:r>
      <w:r>
        <w:rPr>
          <w:rFonts w:ascii="仿宋_GB2312" w:hAnsi="宋体" w:eastAsia="仿宋_GB2312" w:cs="仿宋_GB2312"/>
          <w:color w:val="000000"/>
          <w:kern w:val="0"/>
          <w:sz w:val="32"/>
          <w:szCs w:val="32"/>
          <w:lang w:bidi="ar"/>
        </w:rPr>
        <w:t>元，支出决算</w:t>
      </w:r>
      <w:r>
        <w:rPr>
          <w:rFonts w:hint="eastAsia" w:ascii="仿宋_GB2312" w:hAnsi="宋体" w:eastAsia="仿宋_GB2312" w:cs="仿宋_GB2312"/>
          <w:color w:val="auto"/>
          <w:kern w:val="0"/>
          <w:sz w:val="32"/>
          <w:szCs w:val="32"/>
          <w:lang w:bidi="ar"/>
        </w:rPr>
        <w:t>220.02</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p>
    <w:p>
      <w:pPr>
        <w:widowControl/>
        <w:numPr>
          <w:ilvl w:val="0"/>
          <w:numId w:val="2"/>
        </w:numPr>
        <w:ind w:firstLine="643" w:firstLineChars="200"/>
        <w:jc w:val="left"/>
        <w:rPr>
          <w:rFonts w:hint="eastAsia"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政府采购支出情况说明</w:t>
      </w:r>
    </w:p>
    <w:p>
      <w:pPr>
        <w:widowControl/>
        <w:numPr>
          <w:ilvl w:val="0"/>
          <w:numId w:val="0"/>
        </w:num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2019年本部门政府采购支出总额共</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万元，其中政府采购货物类支出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万元、政府采购工程类支出</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w:t>
      </w:r>
      <w:r>
        <w:rPr>
          <w:rFonts w:ascii="仿宋_GB2312" w:hAnsi="宋体" w:eastAsia="仿宋_GB2312" w:cs="仿宋_GB2312"/>
          <w:color w:val="000000"/>
          <w:kern w:val="0"/>
          <w:sz w:val="32"/>
          <w:szCs w:val="32"/>
          <w:lang w:bidi="ar"/>
        </w:rPr>
        <w:t>授予中小企业合同金额</w:t>
      </w:r>
      <w:r>
        <w:rPr>
          <w:rFonts w:hint="eastAsia" w:ascii="仿宋_GB2312" w:hAnsi="宋体" w:eastAsia="仿宋_GB2312" w:cs="仿宋_GB2312"/>
          <w:color w:val="000000"/>
          <w:kern w:val="0"/>
          <w:sz w:val="32"/>
          <w:szCs w:val="32"/>
          <w:lang w:val="en-US" w:eastAsia="zh-CN" w:bidi="ar"/>
        </w:rPr>
        <w:t>220</w:t>
      </w:r>
      <w:r>
        <w:rPr>
          <w:rFonts w:ascii="仿宋_GB2312" w:hAnsi="宋体" w:eastAsia="仿宋_GB2312" w:cs="仿宋_GB2312"/>
          <w:color w:val="000000"/>
          <w:kern w:val="0"/>
          <w:sz w:val="32"/>
          <w:szCs w:val="32"/>
          <w:lang w:bidi="ar"/>
        </w:rPr>
        <w:t>万元，占政府采购支出总额的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%，其中：授予小微企业合同金额</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万元，占政府采购支出总额的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（如不涉及，文字说明“本部门201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年无政府采购支出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widowControl/>
        <w:ind w:firstLine="472" w:firstLineChars="147"/>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（三）国有资产占用及购置情况说明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截至2019年末，本部门共有车辆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年当年购置车辆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台（套）；购置单价100万元以上的专用设备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jc w:val="left"/>
        <w:rPr>
          <w:rFonts w:ascii="黑体" w:hAnsi="宋体" w:eastAsia="黑体"/>
          <w:color w:val="000000"/>
          <w:kern w:val="0"/>
          <w:sz w:val="32"/>
          <w:szCs w:val="32"/>
          <w:lang w:bidi="ar"/>
        </w:rPr>
      </w:pPr>
    </w:p>
    <w:p>
      <w:pPr>
        <w:jc w:val="center"/>
        <w:rPr>
          <w:sz w:val="44"/>
          <w:szCs w:val="44"/>
        </w:rPr>
      </w:pPr>
      <w:r>
        <w:rPr>
          <w:rFonts w:hint="eastAsia" w:ascii="黑体" w:hAnsi="宋体" w:eastAsia="黑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5.调整预算数：</w:t>
      </w:r>
      <w:r>
        <w:rPr>
          <w:rFonts w:hint="eastAsia" w:ascii="仿宋_GB2312" w:hAnsi="宋体" w:eastAsia="仿宋_GB2312"/>
          <w:bCs/>
          <w:sz w:val="32"/>
          <w:szCs w:val="32"/>
        </w:rPr>
        <w:t>填列经调整后的全年预算数，包括年初预算数和预算调增调减数</w:t>
      </w:r>
      <w:r>
        <w:rPr>
          <w:rFonts w:hint="eastAsia" w:ascii="仿宋_GB2312" w:eastAsia="仿宋_GB2312"/>
          <w:bCs/>
          <w:sz w:val="32"/>
          <w:szCs w:val="32"/>
        </w:rPr>
        <w:t>，即：调整预算数＝年初预算数＋预算调增数－预算调减数</w:t>
      </w:r>
      <w:r>
        <w:rPr>
          <w:rFonts w:hint="eastAsia" w:ascii="仿宋_GB2312" w:hAnsi="宋体" w:eastAsia="仿宋_GB2312"/>
          <w:bCs/>
          <w:sz w:val="32"/>
          <w:szCs w:val="32"/>
        </w:rPr>
        <w:t>。</w:t>
      </w:r>
    </w:p>
    <w:p>
      <w:pP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rPr>
          <w:rFonts w:ascii="黑体" w:hAnsi="宋体" w:eastAsia="黑体"/>
          <w:color w:val="000000"/>
          <w:kern w:val="0"/>
          <w:sz w:val="44"/>
          <w:szCs w:val="44"/>
          <w:lang w:bidi="ar"/>
        </w:rPr>
      </w:pPr>
    </w:p>
    <w:sectPr>
      <w:pgSz w:w="11906" w:h="16838"/>
      <w:pgMar w:top="1985" w:right="1474" w:bottom="1985" w:left="1588" w:header="851" w:footer="992"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975718"/>
      <w:docPartObj>
        <w:docPartGallery w:val="autotext"/>
      </w:docPartObj>
    </w:sdtPr>
    <w:sdtContent>
      <w:p>
        <w:pPr>
          <w:pStyle w:val="4"/>
          <w:jc w:val="center"/>
        </w:pPr>
        <w:r>
          <w:fldChar w:fldCharType="begin"/>
        </w:r>
        <w:r>
          <w:instrText xml:space="preserve">PAGE   \* MERGEFORMAT</w:instrText>
        </w:r>
        <w:r>
          <w:fldChar w:fldCharType="separate"/>
        </w:r>
        <w:r>
          <w:rPr>
            <w:lang w:val="zh-CN"/>
          </w:rPr>
          <w:t>18</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55AF7A"/>
    <w:multiLevelType w:val="singleLevel"/>
    <w:tmpl w:val="EB55AF7A"/>
    <w:lvl w:ilvl="0" w:tentative="0">
      <w:start w:val="2"/>
      <w:numFmt w:val="chineseCounting"/>
      <w:suff w:val="nothing"/>
      <w:lvlText w:val="（%1）"/>
      <w:lvlJc w:val="left"/>
      <w:rPr>
        <w:rFonts w:hint="eastAsia"/>
      </w:rPr>
    </w:lvl>
  </w:abstractNum>
  <w:abstractNum w:abstractNumId="1">
    <w:nsid w:val="582FCE36"/>
    <w:multiLevelType w:val="singleLevel"/>
    <w:tmpl w:val="582FCE3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A6038"/>
    <w:rsid w:val="00050E89"/>
    <w:rsid w:val="00146787"/>
    <w:rsid w:val="00164001"/>
    <w:rsid w:val="00166E3C"/>
    <w:rsid w:val="001B3406"/>
    <w:rsid w:val="001D7568"/>
    <w:rsid w:val="002424C8"/>
    <w:rsid w:val="00283CB6"/>
    <w:rsid w:val="002A7893"/>
    <w:rsid w:val="003364E9"/>
    <w:rsid w:val="00427EC1"/>
    <w:rsid w:val="00452E2E"/>
    <w:rsid w:val="004B6D6E"/>
    <w:rsid w:val="00504B80"/>
    <w:rsid w:val="005F0D12"/>
    <w:rsid w:val="00637D82"/>
    <w:rsid w:val="007A115D"/>
    <w:rsid w:val="008015FE"/>
    <w:rsid w:val="00813F4A"/>
    <w:rsid w:val="008D481B"/>
    <w:rsid w:val="009C0506"/>
    <w:rsid w:val="00AB4A0E"/>
    <w:rsid w:val="00B37EA8"/>
    <w:rsid w:val="00B80654"/>
    <w:rsid w:val="00C2225D"/>
    <w:rsid w:val="00E8111E"/>
    <w:rsid w:val="00EC0B1D"/>
    <w:rsid w:val="00F61B04"/>
    <w:rsid w:val="013B79AC"/>
    <w:rsid w:val="01FA44DB"/>
    <w:rsid w:val="063362B9"/>
    <w:rsid w:val="0C136D5E"/>
    <w:rsid w:val="0EBB153E"/>
    <w:rsid w:val="125E2600"/>
    <w:rsid w:val="132E46A0"/>
    <w:rsid w:val="14411117"/>
    <w:rsid w:val="1586116E"/>
    <w:rsid w:val="18BB4AD7"/>
    <w:rsid w:val="192124DD"/>
    <w:rsid w:val="19C038A5"/>
    <w:rsid w:val="1AA658F5"/>
    <w:rsid w:val="1B4A3FDA"/>
    <w:rsid w:val="1B524C98"/>
    <w:rsid w:val="1C5E2F73"/>
    <w:rsid w:val="1CC10448"/>
    <w:rsid w:val="1D6E0C0D"/>
    <w:rsid w:val="1F9223C7"/>
    <w:rsid w:val="20D66A81"/>
    <w:rsid w:val="221C15BB"/>
    <w:rsid w:val="232E21CE"/>
    <w:rsid w:val="2383244E"/>
    <w:rsid w:val="29785A6B"/>
    <w:rsid w:val="2D1F3974"/>
    <w:rsid w:val="31AA6038"/>
    <w:rsid w:val="33887EE3"/>
    <w:rsid w:val="34677C61"/>
    <w:rsid w:val="3B121AD1"/>
    <w:rsid w:val="3CFD0D2E"/>
    <w:rsid w:val="41603979"/>
    <w:rsid w:val="4169453B"/>
    <w:rsid w:val="4619368A"/>
    <w:rsid w:val="491F4B4D"/>
    <w:rsid w:val="495A47C9"/>
    <w:rsid w:val="4D6E0FDF"/>
    <w:rsid w:val="4E4243EA"/>
    <w:rsid w:val="4E8A75EF"/>
    <w:rsid w:val="4EE4307A"/>
    <w:rsid w:val="5153143F"/>
    <w:rsid w:val="52E350F4"/>
    <w:rsid w:val="54F12DEE"/>
    <w:rsid w:val="577E18EF"/>
    <w:rsid w:val="5B972B96"/>
    <w:rsid w:val="6C0A6199"/>
    <w:rsid w:val="6EC85A2D"/>
    <w:rsid w:val="72A029BE"/>
    <w:rsid w:val="75C31473"/>
    <w:rsid w:val="76E01057"/>
    <w:rsid w:val="7C2507D0"/>
    <w:rsid w:val="7C3E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character" w:customStyle="1" w:styleId="11">
    <w:name w:val="批注文字 Char"/>
    <w:basedOn w:val="9"/>
    <w:link w:val="2"/>
    <w:qFormat/>
    <w:uiPriority w:val="0"/>
    <w:rPr>
      <w:rFonts w:ascii="Calibri" w:hAnsi="Calibri" w:cs="黑体"/>
      <w:kern w:val="2"/>
      <w:sz w:val="21"/>
      <w:szCs w:val="24"/>
    </w:rPr>
  </w:style>
  <w:style w:type="character" w:customStyle="1" w:styleId="12">
    <w:name w:val="批注主题 Char"/>
    <w:basedOn w:val="11"/>
    <w:link w:val="6"/>
    <w:qFormat/>
    <w:uiPriority w:val="0"/>
    <w:rPr>
      <w:rFonts w:ascii="Calibri" w:hAnsi="Calibri" w:cs="黑体"/>
      <w:b/>
      <w:bCs/>
      <w:kern w:val="2"/>
      <w:sz w:val="21"/>
      <w:szCs w:val="24"/>
    </w:rPr>
  </w:style>
  <w:style w:type="character" w:customStyle="1" w:styleId="13">
    <w:name w:val="批注框文本 Char"/>
    <w:basedOn w:val="9"/>
    <w:link w:val="3"/>
    <w:qFormat/>
    <w:uiPriority w:val="0"/>
    <w:rPr>
      <w:rFonts w:ascii="Calibri" w:hAnsi="Calibri" w:cs="黑体"/>
      <w:kern w:val="2"/>
      <w:sz w:val="18"/>
      <w:szCs w:val="18"/>
    </w:rPr>
  </w:style>
  <w:style w:type="character" w:customStyle="1" w:styleId="14">
    <w:name w:val="页眉 Char"/>
    <w:basedOn w:val="9"/>
    <w:link w:val="5"/>
    <w:qFormat/>
    <w:uiPriority w:val="99"/>
    <w:rPr>
      <w:rFonts w:ascii="Calibri" w:hAnsi="Calibri" w:cs="黑体"/>
      <w:kern w:val="2"/>
      <w:sz w:val="18"/>
      <w:szCs w:val="24"/>
    </w:rPr>
  </w:style>
  <w:style w:type="character" w:customStyle="1" w:styleId="15">
    <w:name w:val="页脚 Char"/>
    <w:basedOn w:val="9"/>
    <w:link w:val="4"/>
    <w:qFormat/>
    <w:uiPriority w:val="99"/>
    <w:rPr>
      <w:rFonts w:ascii="Calibri" w:hAnsi="Calibri" w:cs="黑体"/>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部门人员情况</a:t>
            </a:r>
          </a:p>
        </c:rich>
      </c:tx>
      <c:layout/>
      <c:overlay val="0"/>
      <c:spPr>
        <a:noFill/>
        <a:ln>
          <a:noFill/>
        </a:ln>
        <a:effectLst/>
      </c:spPr>
    </c:title>
    <c:autoTitleDeleted val="0"/>
    <c:plotArea>
      <c:layout>
        <c:manualLayout>
          <c:layoutTarget val="inner"/>
          <c:xMode val="edge"/>
          <c:yMode val="edge"/>
          <c:x val="0.0679093684717982"/>
          <c:y val="0.0370210934136892"/>
          <c:w val="0.927269805560019"/>
          <c:h val="0.716616444253121"/>
        </c:manualLayout>
      </c:layout>
      <c:barChart>
        <c:barDir val="col"/>
        <c:grouping val="clustered"/>
        <c:varyColors val="0"/>
        <c:ser>
          <c:idx val="0"/>
          <c:order val="0"/>
          <c:tx>
            <c:strRef>
              <c:f>Sheet1!$B$1</c:f>
              <c:strCache>
                <c:ptCount val="1"/>
                <c:pt idx="0">
                  <c:v>行政</c:v>
                </c:pt>
              </c:strCache>
            </c:strRef>
          </c:tx>
          <c:spPr>
            <a:solidFill>
              <a:schemeClr val="accent1"/>
            </a:solidFill>
            <a:ln>
              <a:noFill/>
            </a:ln>
            <a:effectLst/>
          </c:spPr>
          <c:invertIfNegative val="0"/>
          <c:dLbls>
            <c:delete val="1"/>
          </c:dLbls>
          <c:cat>
            <c:strRef>
              <c:f>Sheet1!$A$2:$A$3</c:f>
              <c:strCache>
                <c:ptCount val="2"/>
                <c:pt idx="0">
                  <c:v>人员编制</c:v>
                </c:pt>
                <c:pt idx="1">
                  <c:v>实有人员</c:v>
                </c:pt>
              </c:strCache>
            </c:strRef>
          </c:cat>
          <c:val>
            <c:numRef>
              <c:f>Sheet1!$B$2:$B$3</c:f>
              <c:numCache>
                <c:formatCode>General</c:formatCode>
                <c:ptCount val="2"/>
                <c:pt idx="0">
                  <c:v>32</c:v>
                </c:pt>
                <c:pt idx="1">
                  <c:v>33</c:v>
                </c:pt>
              </c:numCache>
            </c:numRef>
          </c:val>
        </c:ser>
        <c:ser>
          <c:idx val="1"/>
          <c:order val="1"/>
          <c:tx>
            <c:strRef>
              <c:f>Sheet1!$C$1</c:f>
              <c:strCache>
                <c:ptCount val="1"/>
                <c:pt idx="0">
                  <c:v>事业</c:v>
                </c:pt>
              </c:strCache>
            </c:strRef>
          </c:tx>
          <c:spPr>
            <a:solidFill>
              <a:schemeClr val="accent2"/>
            </a:solidFill>
            <a:ln>
              <a:noFill/>
            </a:ln>
            <a:effectLst/>
          </c:spPr>
          <c:invertIfNegative val="0"/>
          <c:dLbls>
            <c:delete val="1"/>
          </c:dLbls>
          <c:cat>
            <c:strRef>
              <c:f>Sheet1!$A$2:$A$3</c:f>
              <c:strCache>
                <c:ptCount val="2"/>
                <c:pt idx="0">
                  <c:v>人员编制</c:v>
                </c:pt>
                <c:pt idx="1">
                  <c:v>实有人员</c:v>
                </c:pt>
              </c:strCache>
            </c:strRef>
          </c:cat>
          <c:val>
            <c:numRef>
              <c:f>Sheet1!$C$2:$C$3</c:f>
              <c:numCache>
                <c:formatCode>General</c:formatCode>
                <c:ptCount val="2"/>
                <c:pt idx="0">
                  <c:v>50</c:v>
                </c:pt>
                <c:pt idx="1">
                  <c:v>61</c:v>
                </c:pt>
              </c:numCache>
            </c:numRef>
          </c:val>
        </c:ser>
        <c:ser>
          <c:idx val="2"/>
          <c:order val="2"/>
          <c:tx>
            <c:strRef>
              <c:f>Sheet1!$D$1</c:f>
              <c:strCache>
                <c:ptCount val="1"/>
                <c:pt idx="0">
                  <c:v>合计</c:v>
                </c:pt>
              </c:strCache>
            </c:strRef>
          </c:tx>
          <c:spPr>
            <a:solidFill>
              <a:schemeClr val="accent3"/>
            </a:solidFill>
            <a:ln>
              <a:noFill/>
            </a:ln>
            <a:effectLst/>
          </c:spPr>
          <c:invertIfNegative val="0"/>
          <c:dLbls>
            <c:delete val="1"/>
          </c:dLbls>
          <c:cat>
            <c:strRef>
              <c:f>Sheet1!$A$2:$A$3</c:f>
              <c:strCache>
                <c:ptCount val="2"/>
                <c:pt idx="0">
                  <c:v>人员编制</c:v>
                </c:pt>
                <c:pt idx="1">
                  <c:v>实有人员</c:v>
                </c:pt>
              </c:strCache>
            </c:strRef>
          </c:cat>
          <c:val>
            <c:numRef>
              <c:f>Sheet1!$D$2:$D$3</c:f>
              <c:numCache>
                <c:formatCode>General</c:formatCode>
                <c:ptCount val="2"/>
                <c:pt idx="0">
                  <c:v>82</c:v>
                </c:pt>
                <c:pt idx="1">
                  <c:v>94</c:v>
                </c:pt>
              </c:numCache>
            </c:numRef>
          </c:val>
        </c:ser>
        <c:dLbls>
          <c:showLegendKey val="0"/>
          <c:showVal val="0"/>
          <c:showCatName val="0"/>
          <c:showSerName val="0"/>
          <c:showPercent val="0"/>
          <c:showBubbleSize val="0"/>
        </c:dLbls>
        <c:gapWidth val="219"/>
        <c:overlap val="-27"/>
        <c:axId val="711786065"/>
        <c:axId val="576892400"/>
      </c:barChart>
      <c:catAx>
        <c:axId val="7117860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892400"/>
        <c:crosses val="autoZero"/>
        <c:auto val="1"/>
        <c:lblAlgn val="ctr"/>
        <c:lblOffset val="100"/>
        <c:noMultiLvlLbl val="0"/>
      </c:catAx>
      <c:valAx>
        <c:axId val="57689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17860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收入支出总体情况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f>Sheet1!$A$2:$A$3</c:f>
              <c:strCache>
                <c:ptCount val="2"/>
                <c:pt idx="0">
                  <c:v>收入（万元）</c:v>
                </c:pt>
                <c:pt idx="1">
                  <c:v>支出（万元）</c:v>
                </c:pt>
              </c:strCache>
            </c:strRef>
          </c:cat>
          <c:val>
            <c:numRef>
              <c:f>Sheet1!$B$2:$B$3</c:f>
              <c:numCache>
                <c:formatCode>General</c:formatCode>
                <c:ptCount val="2"/>
                <c:pt idx="0">
                  <c:v>2041.21</c:v>
                </c:pt>
                <c:pt idx="1">
                  <c:v>2041.21</c:v>
                </c:pt>
              </c:numCache>
            </c:numRef>
          </c:val>
        </c:ser>
        <c:ser>
          <c:idx val="1"/>
          <c:order val="1"/>
          <c:tx>
            <c:strRef>
              <c:f>Sheet1!$C$1</c:f>
              <c:strCache>
                <c:ptCount val="1"/>
                <c:pt idx="0">
                  <c:v>2018</c:v>
                </c:pt>
              </c:strCache>
            </c:strRef>
          </c:tx>
          <c:spPr>
            <a:solidFill>
              <a:schemeClr val="accent2"/>
            </a:solidFill>
            <a:ln>
              <a:noFill/>
            </a:ln>
            <a:effectLst/>
          </c:spPr>
          <c:invertIfNegative val="0"/>
          <c:dLbls>
            <c:delete val="1"/>
          </c:dLbls>
          <c:cat>
            <c:strRef>
              <c:f>Sheet1!$A$2:$A$3</c:f>
              <c:strCache>
                <c:ptCount val="2"/>
                <c:pt idx="0">
                  <c:v>收入（万元）</c:v>
                </c:pt>
                <c:pt idx="1">
                  <c:v>支出（万元）</c:v>
                </c:pt>
              </c:strCache>
            </c:strRef>
          </c:cat>
          <c:val>
            <c:numRef>
              <c:f>Sheet1!$C$2:$C$3</c:f>
              <c:numCache>
                <c:formatCode>General</c:formatCode>
                <c:ptCount val="2"/>
                <c:pt idx="0">
                  <c:v>1387.4</c:v>
                </c:pt>
                <c:pt idx="1">
                  <c:v>1387.4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收入（万元）</c:v>
                </c:pt>
                <c:pt idx="1">
                  <c:v>支出（万元）</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570978277"/>
        <c:axId val="233027287"/>
      </c:barChart>
      <c:catAx>
        <c:axId val="57097827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027287"/>
        <c:crosses val="autoZero"/>
        <c:auto val="1"/>
        <c:lblAlgn val="ctr"/>
        <c:lblOffset val="100"/>
        <c:noMultiLvlLbl val="0"/>
      </c:catAx>
      <c:valAx>
        <c:axId val="233027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0978277"/>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45088868101029"/>
          <c:y val="0.0773060029282577"/>
        </c:manualLayout>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2041.21</c:v>
                </c:pt>
                <c:pt idx="1">
                  <c:v>0</c:v>
                </c:pt>
                <c:pt idx="2">
                  <c:v>0</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支出表</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1407.02</c:v>
                </c:pt>
                <c:pt idx="1">
                  <c:v>634.19</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财政拨款收入支出决算总体情况</a:t>
            </a:r>
            <a:endParaRPr lang="en-US" altLang="zh-CN"/>
          </a:p>
        </c:rich>
      </c:tx>
      <c:layout>
        <c:manualLayout>
          <c:xMode val="edge"/>
          <c:yMode val="edge"/>
          <c:x val="0.236067821967336"/>
          <c:y val="0.0367209723299716"/>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2041.21</c:v>
                </c:pt>
                <c:pt idx="1">
                  <c:v>2041.21</c:v>
                </c:pt>
              </c:numCache>
            </c:numRef>
          </c:val>
        </c:ser>
        <c:ser>
          <c:idx val="1"/>
          <c:order val="1"/>
          <c:tx>
            <c:strRef>
              <c:f>Sheet1!$C$1</c:f>
              <c:strCache>
                <c:ptCount val="1"/>
                <c:pt idx="0">
                  <c:v>2018</c:v>
                </c:pt>
              </c:strCache>
            </c:strRef>
          </c:tx>
          <c:spPr>
            <a:solidFill>
              <a:schemeClr val="accent2"/>
            </a:solidFill>
            <a:ln>
              <a:noFill/>
            </a:ln>
            <a:effectLst/>
          </c:spPr>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1387.4</c:v>
                </c:pt>
                <c:pt idx="1">
                  <c:v>1387.4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43775021"/>
        <c:axId val="49238888"/>
      </c:barChart>
      <c:catAx>
        <c:axId val="437750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38888"/>
        <c:crosses val="autoZero"/>
        <c:auto val="1"/>
        <c:lblAlgn val="ctr"/>
        <c:lblOffset val="100"/>
        <c:noMultiLvlLbl val="0"/>
      </c:catAx>
      <c:valAx>
        <c:axId val="49238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750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财政拨款收入支出决算总体情况</a:t>
            </a:r>
            <a:endParaRPr lang="en-US" altLang="zh-CN"/>
          </a:p>
        </c:rich>
      </c:tx>
      <c:layout>
        <c:manualLayout>
          <c:xMode val="edge"/>
          <c:yMode val="edge"/>
          <c:x val="0.236067821967336"/>
          <c:y val="0.0367209723299716"/>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2041.21</c:v>
                </c:pt>
                <c:pt idx="1">
                  <c:v>2041.21</c:v>
                </c:pt>
              </c:numCache>
            </c:numRef>
          </c:val>
        </c:ser>
        <c:ser>
          <c:idx val="1"/>
          <c:order val="1"/>
          <c:tx>
            <c:strRef>
              <c:f>Sheet1!$C$1</c:f>
              <c:strCache>
                <c:ptCount val="1"/>
                <c:pt idx="0">
                  <c:v>2018</c:v>
                </c:pt>
              </c:strCache>
            </c:strRef>
          </c:tx>
          <c:spPr>
            <a:solidFill>
              <a:schemeClr val="accent2"/>
            </a:solidFill>
            <a:ln>
              <a:noFill/>
            </a:ln>
            <a:effectLst/>
          </c:spPr>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1387.4</c:v>
                </c:pt>
                <c:pt idx="1">
                  <c:v>1387.4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43775021"/>
        <c:axId val="49238888"/>
      </c:barChart>
      <c:catAx>
        <c:axId val="437750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38888"/>
        <c:crosses val="autoZero"/>
        <c:auto val="1"/>
        <c:lblAlgn val="ctr"/>
        <c:lblOffset val="100"/>
        <c:noMultiLvlLbl val="0"/>
      </c:catAx>
      <c:valAx>
        <c:axId val="49238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750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c:v>
                </c:pt>
                <c:pt idx="1">
                  <c:v>公务用车购置费</c:v>
                </c:pt>
                <c:pt idx="2">
                  <c:v>公务用车运行维护费</c:v>
                </c:pt>
                <c:pt idx="3">
                  <c:v>公务接待费</c:v>
                </c:pt>
              </c:strCache>
            </c:strRef>
          </c:cat>
          <c:val>
            <c:numRef>
              <c:f>Sheet1!$B$2:$B$5</c:f>
              <c:numCache>
                <c:formatCode>General</c:formatCode>
                <c:ptCount val="4"/>
                <c:pt idx="0">
                  <c:v>0</c:v>
                </c:pt>
                <c:pt idx="1">
                  <c:v>0</c:v>
                </c:pt>
                <c:pt idx="2">
                  <c:v>13.95</c:v>
                </c:pt>
                <c:pt idx="3">
                  <c:v>2.48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5191</Words>
  <Characters>5583</Characters>
  <Lines>60</Lines>
  <Paragraphs>16</Paragraphs>
  <TotalTime>1</TotalTime>
  <ScaleCrop>false</ScaleCrop>
  <LinksUpToDate>false</LinksUpToDate>
  <CharactersWithSpaces>6871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2020-08-28T09:53:00Z</dcterms:created>
  <dc:creator>Administrator</dc:creator>
  <cp:lastModifiedBy>葛秦宇</cp:lastModifiedBy>
  <cp:lastPrinted>2020-08-31T02:54:00Z</cp:lastPrinted>
  <dcterms:modified xsi:type="dcterms:W3CDTF">2020-12-04T07:31:43Z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