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166" w:line="321" w:lineRule="auto"/>
        <w:ind w:left="5690" w:right="4149" w:hanging="1080"/>
        <w:jc w:val="left"/>
        <w:rPr>
          <w:rFonts w:hint="eastAsia" w:ascii="仿宋_GB2312" w:hAnsi="仿宋_GB2312" w:eastAsia="仿宋_GB2312" w:cs="仿宋_GB2312"/>
          <w:b/>
          <w:sz w:val="36"/>
        </w:rPr>
      </w:pPr>
      <w:r>
        <w:rPr>
          <w:rFonts w:hint="eastAsia" w:ascii="仿宋_GB2312" w:hAnsi="仿宋_GB2312" w:eastAsia="仿宋_GB2312" w:cs="仿宋_GB2312"/>
          <w:b/>
          <w:w w:val="95"/>
          <w:sz w:val="36"/>
        </w:rPr>
        <w:t>中国共产党靖边县纪律检查委员会</w:t>
      </w:r>
      <w:r>
        <w:rPr>
          <w:rFonts w:hint="eastAsia" w:ascii="仿宋_GB2312" w:hAnsi="仿宋_GB2312" w:eastAsia="仿宋_GB2312" w:cs="仿宋_GB2312"/>
          <w:b/>
          <w:sz w:val="36"/>
        </w:rPr>
        <w:t>2021年部门综合预算</w:t>
      </w:r>
    </w:p>
    <w:p>
      <w:pPr>
        <w:pStyle w:val="4"/>
        <w:spacing w:before="3"/>
        <w:rPr>
          <w:rFonts w:hint="eastAsia" w:ascii="仿宋_GB2312" w:hAnsi="仿宋_GB2312" w:eastAsia="仿宋_GB2312" w:cs="仿宋_GB2312"/>
          <w:b/>
          <w:sz w:val="21"/>
        </w:rPr>
      </w:pPr>
    </w:p>
    <w:p>
      <w:pPr>
        <w:spacing w:after="0"/>
        <w:rPr>
          <w:rFonts w:hint="eastAsia" w:ascii="仿宋_GB2312" w:hAnsi="仿宋_GB2312" w:eastAsia="仿宋_GB2312" w:cs="仿宋_GB2312"/>
          <w:sz w:val="21"/>
        </w:rPr>
        <w:sectPr>
          <w:type w:val="continuous"/>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rPr>
          <w:rFonts w:hint="eastAsia" w:ascii="仿宋_GB2312" w:hAnsi="仿宋_GB2312" w:eastAsia="仿宋_GB2312" w:cs="仿宋_GB2312"/>
          <w:b/>
        </w:rPr>
      </w:pPr>
    </w:p>
    <w:p>
      <w:pPr>
        <w:pStyle w:val="4"/>
        <w:rPr>
          <w:rFonts w:hint="eastAsia" w:ascii="仿宋_GB2312" w:hAnsi="仿宋_GB2312" w:eastAsia="仿宋_GB2312" w:cs="仿宋_GB2312"/>
          <w:b/>
        </w:rPr>
      </w:pPr>
    </w:p>
    <w:p>
      <w:pPr>
        <w:pStyle w:val="4"/>
        <w:spacing w:before="9"/>
        <w:rPr>
          <w:rFonts w:hint="eastAsia" w:ascii="仿宋_GB2312" w:hAnsi="仿宋_GB2312" w:eastAsia="仿宋_GB2312" w:cs="仿宋_GB2312"/>
          <w:b/>
          <w:sz w:val="25"/>
        </w:rPr>
      </w:pPr>
    </w:p>
    <w:p>
      <w:pPr>
        <w:pStyle w:val="4"/>
        <w:spacing w:before="1" w:line="321" w:lineRule="auto"/>
        <w:ind w:left="580" w:right="38"/>
        <w:jc w:val="both"/>
        <w:rPr>
          <w:rFonts w:hint="eastAsia" w:ascii="仿宋_GB2312" w:hAnsi="仿宋_GB2312" w:eastAsia="仿宋_GB2312" w:cs="仿宋_GB2312"/>
        </w:rPr>
      </w:pPr>
      <w:r>
        <w:rPr>
          <w:rFonts w:hint="eastAsia" w:ascii="仿宋_GB2312" w:hAnsi="仿宋_GB2312" w:eastAsia="仿宋_GB2312" w:cs="仿宋_GB2312"/>
          <w:spacing w:val="-2"/>
        </w:rPr>
        <w:t>一、部门主要职责及机构设置</w:t>
      </w:r>
      <w:r>
        <w:rPr>
          <w:rFonts w:hint="eastAsia" w:ascii="仿宋_GB2312" w:hAnsi="仿宋_GB2312" w:eastAsia="仿宋_GB2312" w:cs="仿宋_GB2312"/>
        </w:rPr>
        <w:t>二、2021</w:t>
      </w:r>
      <w:r>
        <w:rPr>
          <w:rFonts w:hint="eastAsia" w:ascii="仿宋_GB2312" w:hAnsi="仿宋_GB2312" w:eastAsia="仿宋_GB2312" w:cs="仿宋_GB2312"/>
          <w:spacing w:val="-2"/>
        </w:rPr>
        <w:t>年年度部门工作任务</w:t>
      </w:r>
      <w:r>
        <w:rPr>
          <w:rFonts w:hint="eastAsia" w:ascii="仿宋_GB2312" w:hAnsi="仿宋_GB2312" w:eastAsia="仿宋_GB2312" w:cs="仿宋_GB2312"/>
        </w:rPr>
        <w:t>三、部门预算单位构成</w:t>
      </w:r>
    </w:p>
    <w:p>
      <w:pPr>
        <w:pStyle w:val="4"/>
        <w:spacing w:line="404" w:lineRule="exact"/>
        <w:ind w:left="580"/>
        <w:rPr>
          <w:rFonts w:hint="eastAsia" w:ascii="仿宋_GB2312" w:hAnsi="仿宋_GB2312" w:eastAsia="仿宋_GB2312" w:cs="仿宋_GB2312"/>
        </w:rPr>
      </w:pPr>
      <w:r>
        <w:rPr>
          <w:rFonts w:hint="eastAsia" w:ascii="仿宋_GB2312" w:hAnsi="仿宋_GB2312" w:eastAsia="仿宋_GB2312" w:cs="仿宋_GB2312"/>
        </w:rPr>
        <w:t>四、部门人员情况说明</w:t>
      </w:r>
    </w:p>
    <w:p>
      <w:pPr>
        <w:pStyle w:val="4"/>
        <w:rPr>
          <w:rFonts w:hint="eastAsia" w:ascii="仿宋_GB2312" w:hAnsi="仿宋_GB2312" w:eastAsia="仿宋_GB2312" w:cs="仿宋_GB2312"/>
        </w:rPr>
      </w:pPr>
    </w:p>
    <w:p>
      <w:pPr>
        <w:pStyle w:val="4"/>
        <w:spacing w:before="275"/>
        <w:ind w:left="580"/>
        <w:rPr>
          <w:rFonts w:hint="eastAsia" w:ascii="仿宋_GB2312" w:hAnsi="仿宋_GB2312" w:eastAsia="仿宋_GB2312" w:cs="仿宋_GB2312"/>
        </w:rPr>
      </w:pPr>
      <w:r>
        <w:rPr>
          <w:rFonts w:hint="eastAsia" w:ascii="仿宋_GB2312" w:hAnsi="仿宋_GB2312" w:eastAsia="仿宋_GB2312" w:cs="仿宋_GB2312"/>
        </w:rPr>
        <w:t>五、2021年部门预算收支说明</w:t>
      </w:r>
    </w:p>
    <w:p>
      <w:pPr>
        <w:tabs>
          <w:tab w:val="left" w:pos="2179"/>
        </w:tabs>
        <w:spacing w:before="55"/>
        <w:ind w:left="1539" w:right="0" w:firstLine="0"/>
        <w:jc w:val="left"/>
        <w:rPr>
          <w:rFonts w:hint="eastAsia" w:ascii="仿宋_GB2312" w:hAnsi="仿宋_GB2312" w:eastAsia="仿宋_GB2312" w:cs="仿宋_GB2312"/>
          <w:b/>
          <w:sz w:val="32"/>
        </w:rPr>
      </w:pPr>
      <w:r>
        <w:rPr>
          <w:rFonts w:hint="eastAsia" w:ascii="仿宋_GB2312" w:hAnsi="仿宋_GB2312" w:eastAsia="仿宋_GB2312" w:cs="仿宋_GB2312"/>
        </w:rPr>
        <w:br w:type="column"/>
      </w:r>
      <w:r>
        <w:rPr>
          <w:rFonts w:hint="eastAsia" w:ascii="仿宋_GB2312" w:hAnsi="仿宋_GB2312" w:eastAsia="仿宋_GB2312" w:cs="仿宋_GB2312"/>
          <w:b/>
          <w:sz w:val="32"/>
        </w:rPr>
        <w:t>目</w:t>
      </w:r>
      <w:r>
        <w:rPr>
          <w:rFonts w:hint="eastAsia" w:ascii="仿宋_GB2312" w:hAnsi="仿宋_GB2312" w:eastAsia="仿宋_GB2312" w:cs="仿宋_GB2312"/>
          <w:b/>
          <w:sz w:val="32"/>
        </w:rPr>
        <w:tab/>
      </w:r>
      <w:r>
        <w:rPr>
          <w:rFonts w:hint="eastAsia" w:ascii="仿宋_GB2312" w:hAnsi="仿宋_GB2312" w:eastAsia="仿宋_GB2312" w:cs="仿宋_GB2312"/>
          <w:b/>
          <w:sz w:val="32"/>
        </w:rPr>
        <w:t>录</w:t>
      </w:r>
    </w:p>
    <w:p>
      <w:pPr>
        <w:pStyle w:val="3"/>
        <w:tabs>
          <w:tab w:val="left" w:pos="2339"/>
        </w:tabs>
        <w:rPr>
          <w:rFonts w:hint="eastAsia" w:ascii="仿宋_GB2312" w:hAnsi="仿宋_GB2312" w:eastAsia="仿宋_GB2312" w:cs="仿宋_GB2312"/>
        </w:rPr>
      </w:pPr>
      <w:r>
        <w:rPr>
          <w:rFonts w:hint="eastAsia" w:ascii="仿宋_GB2312" w:hAnsi="仿宋_GB2312" w:eastAsia="仿宋_GB2312" w:cs="仿宋_GB2312"/>
        </w:rPr>
        <w:t>第一部分</w:t>
      </w:r>
      <w:r>
        <w:rPr>
          <w:rFonts w:hint="eastAsia" w:ascii="仿宋_GB2312" w:hAnsi="仿宋_GB2312" w:eastAsia="仿宋_GB2312" w:cs="仿宋_GB2312"/>
        </w:rPr>
        <w:tab/>
      </w:r>
      <w:r>
        <w:rPr>
          <w:rFonts w:hint="eastAsia" w:ascii="仿宋_GB2312" w:hAnsi="仿宋_GB2312" w:eastAsia="仿宋_GB2312" w:cs="仿宋_GB2312"/>
          <w:w w:val="95"/>
        </w:rPr>
        <w:t>部门概况</w:t>
      </w:r>
    </w:p>
    <w:p>
      <w:pPr>
        <w:pStyle w:val="4"/>
        <w:rPr>
          <w:rFonts w:hint="eastAsia" w:ascii="仿宋_GB2312" w:hAnsi="仿宋_GB2312" w:eastAsia="仿宋_GB2312" w:cs="仿宋_GB2312"/>
          <w:b/>
        </w:rPr>
      </w:pPr>
    </w:p>
    <w:p>
      <w:pPr>
        <w:pStyle w:val="4"/>
        <w:rPr>
          <w:rFonts w:hint="eastAsia" w:ascii="仿宋_GB2312" w:hAnsi="仿宋_GB2312" w:eastAsia="仿宋_GB2312" w:cs="仿宋_GB2312"/>
          <w:b/>
        </w:rPr>
      </w:pPr>
    </w:p>
    <w:p>
      <w:pPr>
        <w:pStyle w:val="4"/>
        <w:rPr>
          <w:rFonts w:hint="eastAsia" w:ascii="仿宋_GB2312" w:hAnsi="仿宋_GB2312" w:eastAsia="仿宋_GB2312" w:cs="仿宋_GB2312"/>
          <w:b/>
        </w:rPr>
      </w:pPr>
    </w:p>
    <w:p>
      <w:pPr>
        <w:pStyle w:val="4"/>
        <w:rPr>
          <w:rFonts w:hint="eastAsia" w:ascii="仿宋_GB2312" w:hAnsi="仿宋_GB2312" w:eastAsia="仿宋_GB2312" w:cs="仿宋_GB2312"/>
          <w:b/>
        </w:rPr>
      </w:pPr>
    </w:p>
    <w:p>
      <w:pPr>
        <w:pStyle w:val="4"/>
        <w:rPr>
          <w:rFonts w:hint="eastAsia" w:ascii="仿宋_GB2312" w:hAnsi="仿宋_GB2312" w:eastAsia="仿宋_GB2312" w:cs="仿宋_GB2312"/>
          <w:b/>
        </w:rPr>
      </w:pPr>
    </w:p>
    <w:p>
      <w:pPr>
        <w:tabs>
          <w:tab w:val="left" w:pos="2339"/>
        </w:tabs>
        <w:spacing w:before="278"/>
        <w:ind w:left="580"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第二部分</w:t>
      </w:r>
      <w:r>
        <w:rPr>
          <w:rFonts w:hint="eastAsia" w:ascii="仿宋_GB2312" w:hAnsi="仿宋_GB2312" w:eastAsia="仿宋_GB2312" w:cs="仿宋_GB2312"/>
          <w:b/>
          <w:sz w:val="32"/>
        </w:rPr>
        <w:tab/>
      </w:r>
      <w:r>
        <w:rPr>
          <w:rFonts w:hint="eastAsia" w:ascii="仿宋_GB2312" w:hAnsi="仿宋_GB2312" w:eastAsia="仿宋_GB2312" w:cs="仿宋_GB2312"/>
          <w:b/>
          <w:w w:val="95"/>
          <w:sz w:val="32"/>
        </w:rPr>
        <w:t>收支情况</w:t>
      </w:r>
    </w:p>
    <w:p>
      <w:pPr>
        <w:pStyle w:val="4"/>
        <w:rPr>
          <w:rFonts w:hint="eastAsia" w:ascii="仿宋_GB2312" w:hAnsi="仿宋_GB2312" w:eastAsia="仿宋_GB2312" w:cs="仿宋_GB2312"/>
          <w:b/>
        </w:rPr>
      </w:pPr>
    </w:p>
    <w:p>
      <w:pPr>
        <w:tabs>
          <w:tab w:val="left" w:pos="2339"/>
        </w:tabs>
        <w:spacing w:before="275"/>
        <w:ind w:left="580"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第三部分</w:t>
      </w:r>
      <w:r>
        <w:rPr>
          <w:rFonts w:hint="eastAsia" w:ascii="仿宋_GB2312" w:hAnsi="仿宋_GB2312" w:eastAsia="仿宋_GB2312" w:cs="仿宋_GB2312"/>
          <w:b/>
          <w:sz w:val="32"/>
        </w:rPr>
        <w:tab/>
      </w:r>
      <w:r>
        <w:rPr>
          <w:rFonts w:hint="eastAsia" w:ascii="仿宋_GB2312" w:hAnsi="仿宋_GB2312" w:eastAsia="仿宋_GB2312" w:cs="仿宋_GB2312"/>
          <w:b/>
          <w:sz w:val="32"/>
        </w:rPr>
        <w:t>其他说明情况</w:t>
      </w:r>
    </w:p>
    <w:p>
      <w:pPr>
        <w:spacing w:after="0"/>
        <w:jc w:val="left"/>
        <w:rPr>
          <w:rFonts w:hint="eastAsia" w:ascii="仿宋_GB2312" w:hAnsi="仿宋_GB2312" w:eastAsia="仿宋_GB2312" w:cs="仿宋_GB2312"/>
          <w:sz w:val="32"/>
        </w:rPr>
        <w:sectPr>
          <w:type w:val="continuous"/>
          <w:pgSz w:w="16820" w:h="11900" w:orient="landscape"/>
          <w:pgMar w:top="1100" w:right="1320" w:bottom="280" w:left="1340" w:header="720" w:footer="720" w:gutter="0"/>
          <w:pgBorders w:offsetFrom="page">
            <w:top w:val="none" w:sz="0" w:space="0"/>
            <w:left w:val="none" w:sz="0" w:space="0"/>
            <w:bottom w:val="none" w:sz="0" w:space="0"/>
            <w:right w:val="none" w:sz="0" w:space="0"/>
          </w:pgBorders>
          <w:cols w:equalWidth="0" w:num="2">
            <w:col w:w="4781" w:space="509"/>
            <w:col w:w="8870"/>
          </w:cols>
        </w:sectPr>
      </w:pPr>
    </w:p>
    <w:p>
      <w:pPr>
        <w:pStyle w:val="4"/>
        <w:spacing w:before="137"/>
        <w:ind w:left="580"/>
        <w:rPr>
          <w:rFonts w:hint="eastAsia" w:ascii="仿宋_GB2312" w:hAnsi="仿宋_GB2312" w:eastAsia="仿宋_GB2312" w:cs="仿宋_GB2312"/>
        </w:rPr>
      </w:pPr>
      <w:r>
        <w:rPr>
          <w:rFonts w:hint="eastAsia" w:ascii="仿宋_GB2312" w:hAnsi="仿宋_GB2312" w:eastAsia="仿宋_GB2312" w:cs="仿宋_GB2312"/>
        </w:rPr>
        <w:t>六、部门预算“三公”经费等情况说明</w:t>
      </w:r>
    </w:p>
    <w:p>
      <w:pPr>
        <w:pStyle w:val="4"/>
        <w:spacing w:before="138"/>
        <w:ind w:left="580"/>
        <w:rPr>
          <w:rFonts w:hint="eastAsia" w:ascii="仿宋_GB2312" w:hAnsi="仿宋_GB2312" w:eastAsia="仿宋_GB2312" w:cs="仿宋_GB2312"/>
        </w:rPr>
      </w:pPr>
      <w:r>
        <w:rPr>
          <w:rFonts w:hint="eastAsia" w:ascii="仿宋_GB2312" w:hAnsi="仿宋_GB2312" w:eastAsia="仿宋_GB2312" w:cs="仿宋_GB2312"/>
        </w:rPr>
        <w:t>七、部门国有资产占有使用及资产购置情况说明</w:t>
      </w:r>
    </w:p>
    <w:p>
      <w:pPr>
        <w:spacing w:after="0"/>
        <w:rPr>
          <w:rFonts w:hint="eastAsia" w:ascii="仿宋_GB2312" w:hAnsi="仿宋_GB2312" w:eastAsia="仿宋_GB2312" w:cs="仿宋_GB2312"/>
        </w:rPr>
        <w:sectPr>
          <w:type w:val="continuous"/>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rPr>
          <w:rFonts w:hint="eastAsia" w:ascii="仿宋_GB2312" w:hAnsi="仿宋_GB2312" w:eastAsia="仿宋_GB2312" w:cs="仿宋_GB2312"/>
          <w:sz w:val="20"/>
        </w:rPr>
      </w:pPr>
    </w:p>
    <w:p>
      <w:pPr>
        <w:pStyle w:val="4"/>
        <w:rPr>
          <w:rFonts w:hint="eastAsia" w:ascii="仿宋_GB2312" w:hAnsi="仿宋_GB2312" w:eastAsia="仿宋_GB2312" w:cs="仿宋_GB2312"/>
          <w:sz w:val="20"/>
        </w:rPr>
      </w:pPr>
    </w:p>
    <w:p>
      <w:pPr>
        <w:pStyle w:val="4"/>
        <w:spacing w:before="1"/>
        <w:rPr>
          <w:rFonts w:hint="eastAsia" w:ascii="仿宋_GB2312" w:hAnsi="仿宋_GB2312" w:eastAsia="仿宋_GB2312" w:cs="仿宋_GB2312"/>
          <w:sz w:val="28"/>
        </w:rPr>
      </w:pPr>
    </w:p>
    <w:p>
      <w:pPr>
        <w:spacing w:after="0"/>
        <w:rPr>
          <w:rFonts w:hint="eastAsia" w:ascii="仿宋_GB2312" w:hAnsi="仿宋_GB2312" w:eastAsia="仿宋_GB2312" w:cs="仿宋_GB2312"/>
          <w:sz w:val="28"/>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spacing w:before="55" w:line="321" w:lineRule="auto"/>
        <w:ind w:left="580" w:right="38"/>
        <w:jc w:val="both"/>
        <w:rPr>
          <w:rFonts w:hint="eastAsia" w:ascii="仿宋_GB2312" w:hAnsi="仿宋_GB2312" w:eastAsia="仿宋_GB2312" w:cs="仿宋_GB2312"/>
        </w:rPr>
      </w:pPr>
      <w:r>
        <w:rPr>
          <w:rFonts w:hint="eastAsia" w:ascii="仿宋_GB2312" w:hAnsi="仿宋_GB2312" w:eastAsia="仿宋_GB2312" w:cs="仿宋_GB2312"/>
        </w:rPr>
        <w:t>八、部门政府采购情况说明九、部门预算绩效目标说明十、机关运行经费安排说明十一、专业名词解释</w:t>
      </w:r>
    </w:p>
    <w:p>
      <w:pPr>
        <w:pStyle w:val="4"/>
        <w:spacing w:before="2"/>
        <w:rPr>
          <w:rFonts w:hint="eastAsia" w:ascii="仿宋_GB2312" w:hAnsi="仿宋_GB2312" w:eastAsia="仿宋_GB2312" w:cs="仿宋_GB2312"/>
          <w:sz w:val="42"/>
        </w:rPr>
      </w:pPr>
    </w:p>
    <w:p>
      <w:pPr>
        <w:pStyle w:val="4"/>
        <w:ind w:left="580"/>
        <w:rPr>
          <w:rFonts w:hint="eastAsia" w:ascii="仿宋_GB2312" w:hAnsi="仿宋_GB2312" w:eastAsia="仿宋_GB2312" w:cs="仿宋_GB2312"/>
        </w:rPr>
      </w:pPr>
      <w:r>
        <w:rPr>
          <w:rFonts w:hint="eastAsia" w:ascii="仿宋_GB2312" w:hAnsi="仿宋_GB2312" w:eastAsia="仿宋_GB2312" w:cs="仿宋_GB2312"/>
        </w:rPr>
        <w:t>（具体部门预算公开报表）</w:t>
      </w:r>
    </w:p>
    <w:p>
      <w:pPr>
        <w:pStyle w:val="4"/>
        <w:rPr>
          <w:rFonts w:hint="eastAsia" w:ascii="仿宋_GB2312" w:hAnsi="仿宋_GB2312" w:eastAsia="仿宋_GB2312" w:cs="仿宋_GB2312"/>
        </w:rPr>
      </w:pPr>
      <w:r>
        <w:rPr>
          <w:rFonts w:hint="eastAsia" w:ascii="仿宋_GB2312" w:hAnsi="仿宋_GB2312" w:eastAsia="仿宋_GB2312" w:cs="仿宋_GB2312"/>
        </w:rPr>
        <w:br w:type="column"/>
      </w:r>
    </w:p>
    <w:p>
      <w:pPr>
        <w:pStyle w:val="4"/>
        <w:rPr>
          <w:rFonts w:hint="eastAsia" w:ascii="仿宋_GB2312" w:hAnsi="仿宋_GB2312" w:eastAsia="仿宋_GB2312" w:cs="仿宋_GB2312"/>
        </w:rPr>
      </w:pPr>
    </w:p>
    <w:p>
      <w:pPr>
        <w:pStyle w:val="4"/>
        <w:rPr>
          <w:rFonts w:hint="eastAsia" w:ascii="仿宋_GB2312" w:hAnsi="仿宋_GB2312" w:eastAsia="仿宋_GB2312" w:cs="仿宋_GB2312"/>
        </w:rPr>
      </w:pPr>
    </w:p>
    <w:p>
      <w:pPr>
        <w:pStyle w:val="4"/>
        <w:rPr>
          <w:rFonts w:hint="eastAsia" w:ascii="仿宋_GB2312" w:hAnsi="仿宋_GB2312" w:eastAsia="仿宋_GB2312" w:cs="仿宋_GB2312"/>
        </w:rPr>
      </w:pPr>
    </w:p>
    <w:p>
      <w:pPr>
        <w:pStyle w:val="4"/>
        <w:spacing w:before="2"/>
        <w:rPr>
          <w:rFonts w:hint="eastAsia" w:ascii="仿宋_GB2312" w:hAnsi="仿宋_GB2312" w:eastAsia="仿宋_GB2312" w:cs="仿宋_GB2312"/>
          <w:sz w:val="47"/>
        </w:rPr>
      </w:pPr>
    </w:p>
    <w:p>
      <w:pPr>
        <w:pStyle w:val="3"/>
        <w:tabs>
          <w:tab w:val="left" w:pos="2339"/>
        </w:tabs>
        <w:spacing w:before="1"/>
        <w:rPr>
          <w:rFonts w:hint="eastAsia" w:ascii="仿宋_GB2312" w:hAnsi="仿宋_GB2312" w:eastAsia="仿宋_GB2312" w:cs="仿宋_GB2312"/>
        </w:rPr>
      </w:pPr>
      <w:r>
        <w:rPr>
          <w:rFonts w:hint="eastAsia" w:ascii="仿宋_GB2312" w:hAnsi="仿宋_GB2312" w:eastAsia="仿宋_GB2312" w:cs="仿宋_GB2312"/>
        </w:rPr>
        <w:t>第四部分</w:t>
      </w:r>
      <w:r>
        <w:rPr>
          <w:rFonts w:hint="eastAsia" w:ascii="仿宋_GB2312" w:hAnsi="仿宋_GB2312" w:eastAsia="仿宋_GB2312" w:cs="仿宋_GB2312"/>
        </w:rPr>
        <w:tab/>
      </w:r>
      <w:r>
        <w:rPr>
          <w:rFonts w:hint="eastAsia" w:ascii="仿宋_GB2312" w:hAnsi="仿宋_GB2312" w:eastAsia="仿宋_GB2312" w:cs="仿宋_GB2312"/>
        </w:rPr>
        <w:t>公开报表</w:t>
      </w:r>
    </w:p>
    <w:p>
      <w:pPr>
        <w:spacing w:after="0"/>
        <w:rPr>
          <w:rFonts w:hint="eastAsia" w:ascii="仿宋_GB2312" w:hAnsi="仿宋_GB2312" w:eastAsia="仿宋_GB2312" w:cs="仿宋_GB2312"/>
        </w:rPr>
        <w:sectPr>
          <w:type w:val="continuous"/>
          <w:pgSz w:w="16820" w:h="11900" w:orient="landscape"/>
          <w:pgMar w:top="1100" w:right="1320" w:bottom="280" w:left="1340" w:header="720" w:footer="720" w:gutter="0"/>
          <w:pgBorders w:offsetFrom="page">
            <w:top w:val="none" w:sz="0" w:space="0"/>
            <w:left w:val="none" w:sz="0" w:space="0"/>
            <w:bottom w:val="none" w:sz="0" w:space="0"/>
            <w:right w:val="none" w:sz="0" w:space="0"/>
          </w:pgBorders>
          <w:cols w:equalWidth="0" w:num="2">
            <w:col w:w="4461" w:space="749"/>
            <w:col w:w="8950"/>
          </w:cols>
        </w:sectPr>
      </w:pPr>
    </w:p>
    <w:p>
      <w:pPr>
        <w:pStyle w:val="4"/>
        <w:rPr>
          <w:rFonts w:hint="eastAsia" w:ascii="仿宋_GB2312" w:hAnsi="仿宋_GB2312" w:eastAsia="仿宋_GB2312" w:cs="仿宋_GB2312"/>
          <w:b/>
          <w:sz w:val="20"/>
        </w:rPr>
      </w:pPr>
    </w:p>
    <w:p>
      <w:pPr>
        <w:pStyle w:val="4"/>
        <w:rPr>
          <w:rFonts w:hint="eastAsia" w:ascii="仿宋_GB2312" w:hAnsi="仿宋_GB2312" w:eastAsia="仿宋_GB2312" w:cs="仿宋_GB2312"/>
          <w:b/>
          <w:sz w:val="20"/>
        </w:rPr>
      </w:pPr>
    </w:p>
    <w:p>
      <w:pPr>
        <w:pStyle w:val="4"/>
        <w:spacing w:before="1"/>
        <w:rPr>
          <w:rFonts w:hint="eastAsia" w:ascii="仿宋_GB2312" w:hAnsi="仿宋_GB2312" w:eastAsia="仿宋_GB2312" w:cs="仿宋_GB2312"/>
          <w:b/>
          <w:sz w:val="28"/>
        </w:rPr>
      </w:pPr>
    </w:p>
    <w:p>
      <w:pPr>
        <w:spacing w:before="55"/>
        <w:ind w:left="460" w:right="479" w:firstLine="0"/>
        <w:jc w:val="center"/>
        <w:rPr>
          <w:rFonts w:hint="eastAsia" w:ascii="仿宋_GB2312" w:hAnsi="仿宋_GB2312" w:eastAsia="仿宋_GB2312" w:cs="仿宋_GB2312"/>
          <w:b/>
          <w:sz w:val="32"/>
        </w:rPr>
      </w:pPr>
      <w:r>
        <w:rPr>
          <w:rFonts w:hint="eastAsia" w:ascii="仿宋_GB2312" w:hAnsi="仿宋_GB2312" w:eastAsia="仿宋_GB2312" w:cs="仿宋_GB2312"/>
          <w:b/>
          <w:sz w:val="32"/>
        </w:rPr>
        <w:t>第一部分 部门概况</w:t>
      </w:r>
    </w:p>
    <w:p>
      <w:pPr>
        <w:spacing w:before="137"/>
        <w:ind w:left="460" w:right="9299" w:firstLine="0"/>
        <w:jc w:val="center"/>
        <w:rPr>
          <w:rFonts w:hint="eastAsia" w:ascii="仿宋_GB2312" w:hAnsi="仿宋_GB2312" w:eastAsia="仿宋_GB2312" w:cs="仿宋_GB2312"/>
          <w:b/>
          <w:sz w:val="32"/>
        </w:rPr>
      </w:pPr>
      <w:r>
        <w:rPr>
          <w:rFonts w:hint="eastAsia" w:ascii="仿宋_GB2312" w:hAnsi="仿宋_GB2312" w:eastAsia="仿宋_GB2312" w:cs="仿宋_GB2312"/>
          <w:b/>
          <w:sz w:val="32"/>
        </w:rPr>
        <w:t>一、部门主要职责及机构设置</w:t>
      </w:r>
    </w:p>
    <w:p>
      <w:pPr>
        <w:pStyle w:val="4"/>
        <w:spacing w:before="138" w:line="321" w:lineRule="auto"/>
        <w:ind w:left="580" w:right="119"/>
        <w:rPr>
          <w:rFonts w:hint="eastAsia" w:ascii="仿宋_GB2312" w:hAnsi="仿宋_GB2312" w:eastAsia="仿宋_GB2312" w:cs="仿宋_GB2312"/>
        </w:rPr>
      </w:pPr>
      <w:r>
        <w:rPr>
          <w:rFonts w:hint="eastAsia" w:ascii="仿宋_GB2312" w:hAnsi="仿宋_GB2312" w:eastAsia="仿宋_GB2312" w:cs="仿宋_GB2312"/>
        </w:rPr>
        <w:t>一、单位的主要职责：县纪委与县监察委合署办公。县纪委是主管全县党的纪律检查工作的县委工作机构；县监察委是行使国家检察职能的专责机关，对县人民代表大会及其常务委员会负责并</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接受监督。接受市纪委、市监察委和县委的领导并对其负责。</w:t>
      </w:r>
    </w:p>
    <w:p>
      <w:pPr>
        <w:pStyle w:val="4"/>
        <w:numPr>
          <w:ilvl w:val="0"/>
          <w:numId w:val="1"/>
        </w:numPr>
        <w:spacing w:line="406" w:lineRule="exact"/>
        <w:ind w:left="100" w:firstLine="636" w:firstLineChars="200"/>
        <w:rPr>
          <w:rFonts w:hint="eastAsia" w:ascii="仿宋_GB2312" w:hAnsi="仿宋_GB2312" w:eastAsia="仿宋_GB2312" w:cs="仿宋_GB2312"/>
        </w:rPr>
      </w:pPr>
      <w:r>
        <w:rPr>
          <w:rFonts w:hint="eastAsia" w:ascii="仿宋_GB2312" w:hAnsi="仿宋_GB2312" w:eastAsia="仿宋_GB2312" w:cs="仿宋_GB2312"/>
          <w:spacing w:val="-1"/>
        </w:rPr>
        <w:t>主管全县党的纪律检查工作，维护党的章程和其他党内法规，协助县委加强党风建设，检查</w:t>
      </w:r>
      <w:r>
        <w:rPr>
          <w:rFonts w:hint="eastAsia" w:ascii="仿宋_GB2312" w:hAnsi="仿宋_GB2312" w:eastAsia="仿宋_GB2312" w:cs="仿宋_GB2312"/>
        </w:rPr>
        <w:t>党的路线、方针、政策和决议的执行情况。</w:t>
      </w:r>
      <w:r>
        <w:rPr>
          <w:rFonts w:hint="eastAsia" w:ascii="仿宋_GB2312" w:hAnsi="仿宋_GB2312" w:eastAsia="仿宋_GB2312" w:cs="仿宋_GB2312"/>
          <w:spacing w:val="-1"/>
        </w:rPr>
        <w:t>维护宪法和法律法规权威；依法监察公职人员行使公权力情况，调查职务违法和职务犯罪；开展</w:t>
      </w:r>
      <w:r>
        <w:rPr>
          <w:rFonts w:hint="eastAsia" w:ascii="仿宋_GB2312" w:hAnsi="仿宋_GB2312" w:eastAsia="仿宋_GB2312" w:cs="仿宋_GB2312"/>
        </w:rPr>
        <w:t>廉政建设和反腐败工作。</w:t>
      </w:r>
    </w:p>
    <w:p>
      <w:pPr>
        <w:pStyle w:val="4"/>
        <w:numPr>
          <w:numId w:val="0"/>
        </w:numPr>
        <w:spacing w:line="406" w:lineRule="exact"/>
        <w:ind w:right="0" w:rightChars="0" w:firstLine="640" w:firstLineChars="200"/>
        <w:rPr>
          <w:rFonts w:hint="eastAsia" w:ascii="仿宋_GB2312" w:hAnsi="仿宋_GB2312" w:eastAsia="仿宋_GB2312" w:cs="仿宋_GB2312"/>
        </w:rPr>
      </w:pPr>
      <w:r>
        <w:rPr>
          <w:rFonts w:hint="eastAsia" w:ascii="仿宋_GB2312" w:hAnsi="仿宋_GB2312" w:eastAsia="仿宋_GB2312" w:cs="仿宋_GB2312"/>
        </w:rPr>
        <w:t>2、受理党员的控告和申诉。受理对县级国家行政机关及其公务员、县级国家行政机关任命的其他人员和乡镇政府及其领导人员违反行政纪律行为的控告、检举。受理县级国家行政机关及其公务员、县级国家行政机关任命的其他人员和乡镇政府及其领导人员不服主管行政机关给予行政处分决定的申诉，以及法律、行政法规规定的其他由监察机关受理的</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申诉 。</w:t>
      </w:r>
    </w:p>
    <w:p>
      <w:pPr>
        <w:pStyle w:val="4"/>
        <w:spacing w:line="406" w:lineRule="exact"/>
        <w:ind w:left="100" w:firstLine="640" w:firstLineChars="200"/>
        <w:rPr>
          <w:rFonts w:hint="eastAsia" w:ascii="仿宋_GB2312" w:hAnsi="仿宋_GB2312" w:eastAsia="仿宋_GB2312" w:cs="仿宋_GB2312"/>
        </w:rPr>
      </w:pPr>
      <w:r>
        <w:rPr>
          <w:rFonts w:hint="eastAsia" w:ascii="仿宋_GB2312" w:hAnsi="仿宋_GB2312" w:eastAsia="仿宋_GB2312" w:cs="仿宋_GB2312"/>
        </w:rPr>
        <w:t>3、检查和处理县委和县级国家行政机关各部门、各乡镇、各国有企业和各中小学党的组织和县委管理的党员领导干部违反党的章程和其他党内法规的案件，决定或取消对这些案件中党员的处</w:t>
      </w:r>
    </w:p>
    <w:p>
      <w:pPr>
        <w:pStyle w:val="4"/>
        <w:spacing w:line="404" w:lineRule="exact"/>
        <w:ind w:left="100"/>
        <w:rPr>
          <w:rFonts w:hint="eastAsia" w:ascii="仿宋_GB2312" w:hAnsi="仿宋_GB2312" w:eastAsia="仿宋_GB2312" w:cs="仿宋_GB2312"/>
        </w:rPr>
      </w:pPr>
      <w:r>
        <w:rPr>
          <w:rFonts w:hint="eastAsia" w:ascii="仿宋_GB2312" w:hAnsi="仿宋_GB2312" w:eastAsia="仿宋_GB2312" w:cs="仿宋_GB2312"/>
        </w:rPr>
        <w:t>分。</w:t>
      </w:r>
      <w:r>
        <w:rPr>
          <w:rFonts w:hint="eastAsia" w:ascii="仿宋_GB2312" w:hAnsi="仿宋_GB2312" w:eastAsia="仿宋_GB2312" w:cs="仿宋_GB2312"/>
          <w:spacing w:val="-1"/>
        </w:rPr>
        <w:t>调查处理县级国家行政机关及其公务员、县级国家行政机关任命的其他人员和乡镇政府及其领导</w:t>
      </w:r>
      <w:r>
        <w:rPr>
          <w:rFonts w:hint="eastAsia" w:ascii="仿宋_GB2312" w:hAnsi="仿宋_GB2312" w:eastAsia="仿宋_GB2312" w:cs="仿宋_GB2312"/>
        </w:rPr>
        <w:t>人员违反行政纪律的行为。</w:t>
      </w:r>
    </w:p>
    <w:p>
      <w:pPr>
        <w:pStyle w:val="4"/>
        <w:numPr>
          <w:ilvl w:val="0"/>
          <w:numId w:val="2"/>
        </w:numPr>
        <w:spacing w:line="404" w:lineRule="exact"/>
        <w:ind w:left="100" w:firstLine="640" w:firstLineChars="200"/>
        <w:rPr>
          <w:rFonts w:hint="eastAsia" w:ascii="仿宋_GB2312" w:hAnsi="仿宋_GB2312" w:eastAsia="仿宋_GB2312" w:cs="仿宋_GB2312"/>
        </w:rPr>
      </w:pPr>
      <w:r>
        <w:rPr>
          <w:rFonts w:hint="eastAsia" w:ascii="仿宋_GB2312" w:hAnsi="仿宋_GB2312" w:eastAsia="仿宋_GB2312" w:cs="仿宋_GB2312"/>
        </w:rPr>
        <w:t>负责纪检、监察工作理论及有关问题的调查研究工作；作出关于维护党纪的决定。</w:t>
      </w:r>
    </w:p>
    <w:p>
      <w:pPr>
        <w:pStyle w:val="4"/>
        <w:numPr>
          <w:ilvl w:val="0"/>
          <w:numId w:val="2"/>
        </w:numPr>
        <w:spacing w:line="404" w:lineRule="exact"/>
        <w:ind w:left="100" w:leftChars="0" w:right="0" w:rightChars="0" w:firstLine="636" w:firstLineChars="200"/>
        <w:rPr>
          <w:rFonts w:hint="eastAsia" w:ascii="仿宋_GB2312" w:hAnsi="仿宋_GB2312" w:eastAsia="仿宋_GB2312" w:cs="仿宋_GB2312"/>
        </w:rPr>
      </w:pPr>
      <w:r>
        <w:rPr>
          <w:rFonts w:hint="eastAsia" w:ascii="仿宋_GB2312" w:hAnsi="仿宋_GB2312" w:eastAsia="仿宋_GB2312" w:cs="仿宋_GB2312"/>
          <w:spacing w:val="-1"/>
        </w:rPr>
        <w:t>对全县党员和国家行政机关工作人员进行党风廉政和遵守纪律的教育；做好党的纪检，行政</w:t>
      </w:r>
      <w:r>
        <w:rPr>
          <w:rFonts w:hint="eastAsia" w:ascii="仿宋_GB2312" w:hAnsi="仿宋_GB2312" w:eastAsia="仿宋_GB2312" w:cs="仿宋_GB2312"/>
        </w:rPr>
        <w:t xml:space="preserve">监察工作方针、政策和法律法规的宣传工作；组织和指导全县纪检监察系统干部的培训工作。 </w:t>
      </w:r>
    </w:p>
    <w:p>
      <w:pPr>
        <w:pStyle w:val="4"/>
        <w:numPr>
          <w:ilvl w:val="0"/>
          <w:numId w:val="2"/>
        </w:numPr>
        <w:spacing w:line="404" w:lineRule="exact"/>
        <w:ind w:left="100" w:leftChars="0" w:right="0" w:rightChars="0" w:firstLine="640" w:firstLineChars="200"/>
        <w:rPr>
          <w:rFonts w:hint="eastAsia" w:ascii="仿宋_GB2312" w:hAnsi="仿宋_GB2312" w:eastAsia="仿宋_GB2312" w:cs="仿宋_GB2312"/>
        </w:rPr>
      </w:pPr>
      <w:r>
        <w:rPr>
          <w:rFonts w:hint="eastAsia" w:ascii="仿宋_GB2312" w:hAnsi="仿宋_GB2312" w:eastAsia="仿宋_GB2312" w:cs="仿宋_GB2312"/>
        </w:rPr>
        <w:t>负责县纪委向县委、县政府工作部门派出（驻）的纪检、监察机构的管理工作。</w:t>
      </w:r>
    </w:p>
    <w:p>
      <w:pPr>
        <w:pStyle w:val="4"/>
        <w:numPr>
          <w:ilvl w:val="0"/>
          <w:numId w:val="2"/>
        </w:numPr>
        <w:spacing w:line="404" w:lineRule="exact"/>
        <w:ind w:left="100" w:leftChars="0" w:right="0" w:rightChars="0" w:firstLine="640" w:firstLineChars="200"/>
        <w:rPr>
          <w:rFonts w:hint="eastAsia" w:ascii="仿宋_GB2312" w:hAnsi="仿宋_GB2312" w:eastAsia="仿宋_GB2312" w:cs="仿宋_GB2312"/>
        </w:rPr>
      </w:pPr>
      <w:r>
        <w:rPr>
          <w:rFonts w:hint="eastAsia" w:ascii="仿宋_GB2312" w:hAnsi="仿宋_GB2312" w:eastAsia="仿宋_GB2312" w:cs="仿宋_GB2312"/>
        </w:rPr>
        <w:t>按干部管理权限和分工，负责纪检监察干部的管理工作。</w:t>
      </w:r>
    </w:p>
    <w:p>
      <w:pPr>
        <w:pStyle w:val="4"/>
        <w:numPr>
          <w:numId w:val="0"/>
        </w:numPr>
        <w:spacing w:line="404" w:lineRule="exact"/>
        <w:ind w:right="0" w:rightChars="0" w:firstLine="640" w:firstLineChars="200"/>
        <w:rPr>
          <w:rFonts w:hint="eastAsia" w:ascii="仿宋_GB2312" w:hAnsi="仿宋_GB2312" w:eastAsia="仿宋_GB2312" w:cs="仿宋_GB2312"/>
        </w:rPr>
      </w:pPr>
      <w:r>
        <w:rPr>
          <w:rFonts w:hint="eastAsia" w:ascii="仿宋_GB2312" w:hAnsi="仿宋_GB2312" w:eastAsia="仿宋_GB2312" w:cs="仿宋_GB2312"/>
        </w:rPr>
        <w:t>8、承办县委和市纪委、市监察委交办的其他工作。</w:t>
      </w:r>
    </w:p>
    <w:p>
      <w:pPr>
        <w:pStyle w:val="3"/>
        <w:spacing w:before="138"/>
        <w:rPr>
          <w:rFonts w:hint="eastAsia" w:ascii="仿宋_GB2312" w:hAnsi="仿宋_GB2312" w:eastAsia="仿宋_GB2312" w:cs="仿宋_GB2312"/>
        </w:rPr>
      </w:pPr>
      <w:r>
        <w:rPr>
          <w:rFonts w:hint="eastAsia" w:ascii="仿宋_GB2312" w:hAnsi="仿宋_GB2312" w:eastAsia="仿宋_GB2312" w:cs="仿宋_GB2312"/>
        </w:rPr>
        <w:t>二、2021年度部门工作任务</w:t>
      </w:r>
    </w:p>
    <w:p>
      <w:pPr>
        <w:pStyle w:val="4"/>
        <w:spacing w:before="137"/>
        <w:ind w:firstLine="640" w:firstLineChars="200"/>
        <w:rPr>
          <w:rFonts w:hint="eastAsia" w:ascii="仿宋_GB2312" w:hAnsi="仿宋_GB2312" w:eastAsia="仿宋_GB2312" w:cs="仿宋_GB2312"/>
        </w:rPr>
      </w:pPr>
      <w:r>
        <w:rPr>
          <w:rFonts w:hint="eastAsia" w:ascii="仿宋_GB2312" w:hAnsi="仿宋_GB2312" w:eastAsia="仿宋_GB2312" w:cs="仿宋_GB2312"/>
        </w:rPr>
        <w:t>2021年县纪委监察局工作总体思路是：认真贯彻落实党的十九大精神，以习近平新时代中国特色社会主义思想为指导，全面贯彻落实中央和省、市、县纪委全会精神，深入推进纪检监察机关深化改革工作，围绕主责主业再聚焦，强化纪律约束，强化监督执纪，强化案件查办，切实改进作风，确保党风廉政建设和反腐败工作任务得到全面落实。重点做好以下七个方面工作。</w:t>
      </w:r>
    </w:p>
    <w:p>
      <w:pPr>
        <w:pStyle w:val="4"/>
        <w:spacing w:before="137"/>
        <w:ind w:firstLine="640" w:firstLineChars="200"/>
        <w:rPr>
          <w:rFonts w:hint="eastAsia" w:ascii="仿宋_GB2312" w:hAnsi="仿宋_GB2312" w:eastAsia="仿宋_GB2312" w:cs="仿宋_GB2312"/>
        </w:rPr>
      </w:pPr>
      <w:r>
        <w:rPr>
          <w:rFonts w:hint="eastAsia" w:ascii="仿宋_GB2312" w:hAnsi="仿宋_GB2312" w:eastAsia="仿宋_GB2312" w:cs="仿宋_GB2312"/>
        </w:rPr>
        <w:t>一是严明党的政治纪律，压实“两个责任”。加强对政治纪律执行情况的监督检查，坚决查处上有政策、下有对策，有令不行、有禁不止行为，加强对中央和省、市、县委全面深化改革等重大决策部署落实情况的监督检查，确保党的纪律成为刚性约束。认真贯彻落实县委关于落实党风廉政建设党委主体责任和纪委监督责任的实施意见，定期听取各级党委（党组）、纪委（纪检组）关于主体责任和监督责任落实情况报告，组织开展“两个责任”落实情况进行专项调查，对不认真履行党风廉政建设主体责任和监督责任，导致不正之风长期滋长蔓延，或者对重大腐败问题不制止、不查处、不报告的，实行“一案双查”。</w:t>
      </w:r>
    </w:p>
    <w:p>
      <w:pPr>
        <w:pStyle w:val="4"/>
        <w:spacing w:before="137" w:line="321" w:lineRule="auto"/>
        <w:ind w:right="119" w:firstLine="640" w:firstLineChars="200"/>
        <w:rPr>
          <w:rFonts w:hint="eastAsia" w:ascii="仿宋_GB2312" w:hAnsi="仿宋_GB2312" w:eastAsia="仿宋_GB2312" w:cs="仿宋_GB2312"/>
        </w:rPr>
      </w:pPr>
      <w:r>
        <w:rPr>
          <w:rFonts w:hint="eastAsia" w:ascii="仿宋_GB2312" w:hAnsi="仿宋_GB2312" w:eastAsia="仿宋_GB2312" w:cs="仿宋_GB2312"/>
        </w:rPr>
        <w:t>二是持之以恒正风肃纪，切实改进工作作风。深入落实中央八项规定精神，坚决纠正打折扣、搞变通行为，坚持一个时间节点一个时间节点地抓，坚决防止反弹，务求取得实效。严格执行《党</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政机关厉行节约反对浪费条例》，规范公务接待、楼堂馆所建设和办公用房管理、会议活动和公务</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出差经费管理。加大对作风建设情况的执纪监督，严肃查处违纪违规行为，对我行我素、依然顶风</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作案的坚决公开曝光。加大机关效能建设工作力度，深入开展政风行风评议、民主测评等活动，建</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立完善专项治理、查办案件、民主评议“三位一体”工作模式，坚决整治损害群众切身利益的不正</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之风。</w:t>
      </w:r>
    </w:p>
    <w:p>
      <w:pPr>
        <w:pStyle w:val="4"/>
        <w:spacing w:before="137" w:line="321" w:lineRule="auto"/>
        <w:ind w:right="119" w:firstLine="640" w:firstLineChars="200"/>
        <w:rPr>
          <w:rFonts w:hint="eastAsia" w:ascii="仿宋_GB2312" w:hAnsi="仿宋_GB2312" w:eastAsia="仿宋_GB2312" w:cs="仿宋_GB2312"/>
        </w:rPr>
      </w:pPr>
      <w:r>
        <w:rPr>
          <w:rFonts w:hint="eastAsia" w:ascii="仿宋_GB2312" w:hAnsi="仿宋_GB2312" w:eastAsia="仿宋_GB2312" w:cs="仿宋_GB2312"/>
        </w:rPr>
        <w:t>三是坚决惩治腐败，强化“不敢”氛围。坚持以“零容忍”态度惩治腐败，重点查处不收敛不收手，问题线索反映集中、群众反映强烈的党员干部。健全查办案件组织协调机制，充分发挥县委反腐败协调小组作用，加强执纪执法机关部门协调配合，构建全县查办案件工作“大格局”。畅通</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举报渠道，进一步整合网络、电话、来信来访举报方式，健全信访举报线索分析研判机制，严格落</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实案件线索统一管理制度，规范处置工作加强案件审理工作，组织开展对纪律处分执行情况的监督</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检查，强化审核把关。严格查办案件程序，严明办案纪律，加强对办案全过程管理和监督，提高办</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案质量和效率，确保办案安全。</w:t>
      </w:r>
    </w:p>
    <w:p>
      <w:pPr>
        <w:pStyle w:val="4"/>
        <w:spacing w:before="138" w:line="321" w:lineRule="auto"/>
        <w:ind w:right="119" w:firstLine="640" w:firstLineChars="200"/>
        <w:rPr>
          <w:rFonts w:hint="eastAsia" w:ascii="仿宋_GB2312" w:hAnsi="仿宋_GB2312" w:eastAsia="仿宋_GB2312" w:cs="仿宋_GB2312"/>
        </w:rPr>
      </w:pPr>
      <w:r>
        <w:rPr>
          <w:rFonts w:hint="eastAsia" w:ascii="仿宋_GB2312" w:hAnsi="仿宋_GB2312" w:eastAsia="仿宋_GB2312" w:cs="仿宋_GB2312"/>
        </w:rPr>
        <w:t>四是严格监督制约，健全“不能”机制。认真落实党内监督条例，严格执行“一把手”不直接分管“人、财、物、项目”制度和末位表态制度，开展对民主集中制执行情况的检查监督。进一步</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深化领导干部经济责任审计，重点完善村级组织负责人经济责任审计，提高数量比例。推进派驻纪</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检监察组织全覆盖，完善纪检监察派驻机构统一管理，加强监督。健全和完善党员领导干部廉政档</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案制度。加强对《党政领导干部选拔任用工作条例》等党内法规执行情况的监督检查，完善拟提拔</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任用干部的廉政审查机制，整体推进惩治和预防腐败各项工作。</w:t>
      </w:r>
    </w:p>
    <w:p>
      <w:pPr>
        <w:pStyle w:val="4"/>
        <w:spacing w:before="137" w:line="321" w:lineRule="auto"/>
        <w:ind w:right="119" w:firstLine="640" w:firstLineChars="200"/>
        <w:rPr>
          <w:rFonts w:hint="eastAsia" w:ascii="仿宋_GB2312" w:hAnsi="仿宋_GB2312" w:eastAsia="仿宋_GB2312" w:cs="仿宋_GB2312"/>
        </w:rPr>
      </w:pPr>
      <w:r>
        <w:rPr>
          <w:rFonts w:hint="eastAsia" w:ascii="仿宋_GB2312" w:hAnsi="仿宋_GB2312" w:eastAsia="仿宋_GB2312" w:cs="仿宋_GB2312"/>
        </w:rPr>
        <w:t>五是把好教育关口，树立“不想”意识。加强党纪国法、廉政法规和从政道德教育，在全县组织开展党性党风党纪“三纪”专题教育活动。深化警示教育和岗位廉政风险教育，建立健全案件剖</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析通报机制，组织党员干部旁听职务犯罪庭审、参观警示教育基地，以身边的事教育身边人，着力</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做好查办案件“后半篇文章”。健全完善廉政微信、微博，积极做好反腐倡廉舆论引导，定期通报</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党风廉政建设和反腐败工作情况。推进廉政文化精品工程，将廉政文化元素融入机关、学校、企业</w:t>
      </w:r>
    </w:p>
    <w:p>
      <w:pPr>
        <w:pStyle w:val="4"/>
        <w:spacing w:before="137"/>
        <w:ind w:left="100"/>
        <w:rPr>
          <w:rFonts w:hint="eastAsia" w:ascii="仿宋_GB2312" w:hAnsi="仿宋_GB2312" w:eastAsia="仿宋_GB2312" w:cs="仿宋_GB2312"/>
        </w:rPr>
      </w:pPr>
      <w:r>
        <w:rPr>
          <w:rFonts w:hint="eastAsia" w:ascii="仿宋_GB2312" w:hAnsi="仿宋_GB2312" w:eastAsia="仿宋_GB2312" w:cs="仿宋_GB2312"/>
        </w:rPr>
        <w:t>、家庭、社区和新农村建设，依托警示教育基地和示范点，广泛传播廉政文化，打造体现县域特色</w:t>
      </w:r>
    </w:p>
    <w:p>
      <w:pPr>
        <w:pStyle w:val="4"/>
        <w:spacing w:before="55"/>
        <w:ind w:left="100"/>
        <w:rPr>
          <w:rFonts w:hint="eastAsia" w:ascii="仿宋_GB2312" w:hAnsi="仿宋_GB2312" w:eastAsia="仿宋_GB2312" w:cs="仿宋_GB2312"/>
        </w:rPr>
      </w:pPr>
      <w:r>
        <w:rPr>
          <w:rFonts w:hint="eastAsia" w:ascii="仿宋_GB2312" w:hAnsi="仿宋_GB2312" w:eastAsia="仿宋_GB2312" w:cs="仿宋_GB2312"/>
        </w:rPr>
        <w:t>的廉政文化品牌。</w:t>
      </w:r>
    </w:p>
    <w:p>
      <w:pPr>
        <w:pStyle w:val="4"/>
        <w:spacing w:before="138" w:line="321" w:lineRule="auto"/>
        <w:ind w:right="119" w:firstLine="640" w:firstLineChars="200"/>
        <w:rPr>
          <w:rFonts w:hint="eastAsia" w:ascii="仿宋_GB2312" w:hAnsi="仿宋_GB2312" w:eastAsia="仿宋_GB2312" w:cs="仿宋_GB2312"/>
        </w:rPr>
      </w:pPr>
      <w:r>
        <w:rPr>
          <w:rFonts w:hint="eastAsia" w:ascii="仿宋_GB2312" w:hAnsi="仿宋_GB2312" w:eastAsia="仿宋_GB2312" w:cs="仿宋_GB2312"/>
        </w:rPr>
        <w:t>六是继续深化“三转”，打造反腐“铁军”。全面贯彻党的纪律检查体制机制改革要求，严格落实“两个为主”，做好县纪委监察局机关内设科室及职能调整工作，建立纪检监察系统干部考核、交流机制。进一步加强对各镇和纪检监察组织的领导和指导，探索巡察工作制度。积极推进基层纪检监察组织转职能、转方式、转作风，将各级党委（党组）推进纪检监察组织“三转”情况纳入党风廉政建设责任制考核，强化各级党委（党组）支持力度，提升全县反腐倡廉工作整体水平。强化自身监督，自觉维护和执行党的各项纪律，坚决查处纪检监察干部违纪违法案件，防止“灯下黑”，打造一支忠诚、干净、担当的纪检监察干部队伍。</w:t>
      </w:r>
    </w:p>
    <w:p>
      <w:pPr>
        <w:pStyle w:val="4"/>
        <w:spacing w:before="55"/>
        <w:ind w:left="100"/>
        <w:rPr>
          <w:rFonts w:hint="eastAsia" w:ascii="仿宋_GB2312" w:hAnsi="仿宋_GB2312" w:eastAsia="仿宋_GB2312" w:cs="仿宋_GB2312"/>
        </w:rPr>
      </w:pPr>
      <w:r>
        <w:rPr>
          <w:rFonts w:hint="eastAsia" w:ascii="仿宋_GB2312" w:hAnsi="仿宋_GB2312" w:eastAsia="仿宋_GB2312" w:cs="仿宋_GB2312"/>
        </w:rPr>
        <w:t>七是深化国家监察体制改革，组建监察委员会。按照中央确定的时间表和路线图，全面做好国家监察体制改革试点工作。组建县监察委员会，选举产生监察委员会组成人员，实现纪律检查委员会和监察委员会合署办公。密切联系我县实际，结合改革试点经验，按照中央和省、市决策部署统</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筹谋划，推动机构整合、人员融合和工作流程磨合。完善监察委员会运行机制，探索合署办公条件</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下执纪监督与执纪审查相互制约、执纪与执法相互衔接的实现路径。</w:t>
      </w:r>
    </w:p>
    <w:p>
      <w:pPr>
        <w:pStyle w:val="3"/>
        <w:spacing w:before="138"/>
        <w:rPr>
          <w:rFonts w:hint="eastAsia" w:ascii="仿宋_GB2312" w:hAnsi="仿宋_GB2312" w:eastAsia="仿宋_GB2312" w:cs="仿宋_GB2312"/>
        </w:rPr>
      </w:pPr>
      <w:r>
        <w:rPr>
          <w:rFonts w:hint="eastAsia" w:ascii="仿宋_GB2312" w:hAnsi="仿宋_GB2312" w:eastAsia="仿宋_GB2312" w:cs="仿宋_GB2312"/>
        </w:rPr>
        <w:t>三、部门预算单位</w:t>
      </w:r>
    </w:p>
    <w:p>
      <w:pPr>
        <w:pStyle w:val="4"/>
        <w:spacing w:before="137" w:after="11"/>
        <w:ind w:left="580"/>
        <w:rPr>
          <w:rFonts w:hint="eastAsia" w:ascii="仿宋_GB2312" w:hAnsi="仿宋_GB2312" w:eastAsia="仿宋_GB2312" w:cs="仿宋_GB2312"/>
        </w:rPr>
      </w:pPr>
      <w:r>
        <w:rPr>
          <w:rFonts w:hint="eastAsia" w:ascii="仿宋_GB2312" w:hAnsi="仿宋_GB2312" w:eastAsia="仿宋_GB2312" w:cs="仿宋_GB2312"/>
        </w:rPr>
        <w:t>从预算单位构成看，本部门的部门预算只包括部门本级（机关）预算。</w:t>
      </w:r>
    </w:p>
    <w:tbl>
      <w:tblPr>
        <w:tblStyle w:val="7"/>
        <w:tblW w:w="0" w:type="auto"/>
        <w:tblInd w:w="7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2856"/>
        <w:gridCol w:w="8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9" w:type="dxa"/>
            <w:tcBorders>
              <w:bottom w:val="single" w:color="000000" w:sz="8" w:space="0"/>
              <w:right w:val="single" w:color="000000" w:sz="8" w:space="0"/>
            </w:tcBorders>
          </w:tcPr>
          <w:p>
            <w:pPr>
              <w:pStyle w:val="11"/>
              <w:spacing w:before="40" w:line="340" w:lineRule="exact"/>
              <w:ind w:left="232"/>
              <w:rPr>
                <w:rFonts w:hint="eastAsia" w:ascii="仿宋_GB2312" w:hAnsi="仿宋_GB2312" w:eastAsia="仿宋_GB2312" w:cs="仿宋_GB2312"/>
                <w:sz w:val="32"/>
              </w:rPr>
            </w:pPr>
            <w:r>
              <w:rPr>
                <w:rFonts w:hint="eastAsia" w:ascii="仿宋_GB2312" w:hAnsi="仿宋_GB2312" w:eastAsia="仿宋_GB2312" w:cs="仿宋_GB2312"/>
                <w:sz w:val="32"/>
              </w:rPr>
              <w:t>序号</w:t>
            </w:r>
          </w:p>
        </w:tc>
        <w:tc>
          <w:tcPr>
            <w:tcW w:w="2856" w:type="dxa"/>
            <w:tcBorders>
              <w:left w:val="single" w:color="000000" w:sz="8" w:space="0"/>
              <w:bottom w:val="single" w:color="000000" w:sz="8" w:space="0"/>
              <w:right w:val="single" w:color="000000" w:sz="8" w:space="0"/>
            </w:tcBorders>
          </w:tcPr>
          <w:p>
            <w:pPr>
              <w:pStyle w:val="11"/>
              <w:spacing w:before="40" w:line="340" w:lineRule="exact"/>
              <w:ind w:left="232"/>
              <w:rPr>
                <w:rFonts w:hint="eastAsia" w:ascii="仿宋_GB2312" w:hAnsi="仿宋_GB2312" w:eastAsia="仿宋_GB2312" w:cs="仿宋_GB2312"/>
                <w:sz w:val="32"/>
              </w:rPr>
            </w:pPr>
            <w:r>
              <w:rPr>
                <w:rFonts w:hint="eastAsia" w:ascii="仿宋_GB2312" w:hAnsi="仿宋_GB2312" w:eastAsia="仿宋_GB2312" w:cs="仿宋_GB2312"/>
                <w:sz w:val="32"/>
              </w:rPr>
              <w:t>单位名称</w:t>
            </w:r>
          </w:p>
        </w:tc>
        <w:tc>
          <w:tcPr>
            <w:tcW w:w="8189" w:type="dxa"/>
            <w:tcBorders>
              <w:left w:val="single" w:color="000000" w:sz="8" w:space="0"/>
              <w:bottom w:val="single" w:color="000000" w:sz="8" w:space="0"/>
            </w:tcBorders>
          </w:tcPr>
          <w:p>
            <w:pPr>
              <w:pStyle w:val="11"/>
              <w:spacing w:before="40" w:line="340" w:lineRule="exact"/>
              <w:ind w:left="232"/>
              <w:rPr>
                <w:rFonts w:hint="eastAsia" w:ascii="仿宋_GB2312" w:hAnsi="仿宋_GB2312" w:eastAsia="仿宋_GB2312" w:cs="仿宋_GB2312"/>
                <w:sz w:val="32"/>
              </w:rPr>
            </w:pPr>
            <w:r>
              <w:rPr>
                <w:rFonts w:hint="eastAsia" w:ascii="仿宋_GB2312" w:hAnsi="仿宋_GB2312" w:eastAsia="仿宋_GB2312" w:cs="仿宋_GB2312"/>
                <w:sz w:val="32"/>
              </w:rPr>
              <w:t>拟变动情况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529" w:type="dxa"/>
            <w:tcBorders>
              <w:top w:val="single" w:color="000000" w:sz="8" w:space="0"/>
              <w:right w:val="single" w:color="000000" w:sz="8" w:space="0"/>
            </w:tcBorders>
          </w:tcPr>
          <w:p>
            <w:pPr>
              <w:pStyle w:val="11"/>
              <w:spacing w:before="40"/>
              <w:ind w:left="232"/>
              <w:rPr>
                <w:rFonts w:hint="eastAsia" w:ascii="仿宋_GB2312" w:hAnsi="仿宋_GB2312" w:eastAsia="仿宋_GB2312" w:cs="仿宋_GB2312"/>
                <w:sz w:val="32"/>
              </w:rPr>
            </w:pPr>
            <w:r>
              <w:rPr>
                <w:rFonts w:hint="eastAsia" w:ascii="仿宋_GB2312" w:hAnsi="仿宋_GB2312" w:eastAsia="仿宋_GB2312" w:cs="仿宋_GB2312"/>
                <w:sz w:val="32"/>
              </w:rPr>
              <w:t>1</w:t>
            </w:r>
          </w:p>
        </w:tc>
        <w:tc>
          <w:tcPr>
            <w:tcW w:w="2856" w:type="dxa"/>
            <w:tcBorders>
              <w:top w:val="single" w:color="000000" w:sz="8" w:space="0"/>
              <w:left w:val="single" w:color="000000" w:sz="8" w:space="0"/>
              <w:right w:val="single" w:color="000000" w:sz="8" w:space="0"/>
            </w:tcBorders>
          </w:tcPr>
          <w:p>
            <w:pPr>
              <w:pStyle w:val="11"/>
              <w:spacing w:before="72" w:line="360" w:lineRule="exact"/>
              <w:ind w:left="32" w:right="-15"/>
              <w:rPr>
                <w:rFonts w:hint="eastAsia" w:ascii="仿宋_GB2312" w:hAnsi="仿宋_GB2312" w:eastAsia="仿宋_GB2312" w:cs="仿宋_GB2312"/>
                <w:sz w:val="32"/>
              </w:rPr>
            </w:pPr>
            <w:r>
              <w:rPr>
                <w:rFonts w:hint="eastAsia" w:ascii="仿宋_GB2312" w:hAnsi="仿宋_GB2312" w:eastAsia="仿宋_GB2312" w:cs="仿宋_GB2312"/>
                <w:spacing w:val="31"/>
                <w:sz w:val="32"/>
              </w:rPr>
              <w:t>中国共产党靖边县纪律检查委员会</w:t>
            </w:r>
          </w:p>
        </w:tc>
        <w:tc>
          <w:tcPr>
            <w:tcW w:w="8189" w:type="dxa"/>
            <w:tcBorders>
              <w:top w:val="single" w:color="000000" w:sz="8" w:space="0"/>
              <w:left w:val="single" w:color="000000" w:sz="8" w:space="0"/>
            </w:tcBorders>
          </w:tcPr>
          <w:p>
            <w:pPr>
              <w:pStyle w:val="11"/>
              <w:spacing w:before="0"/>
              <w:rPr>
                <w:rFonts w:hint="eastAsia" w:ascii="仿宋_GB2312" w:hAnsi="仿宋_GB2312" w:eastAsia="仿宋_GB2312" w:cs="仿宋_GB2312"/>
                <w:sz w:val="32"/>
              </w:rPr>
            </w:pPr>
          </w:p>
        </w:tc>
      </w:tr>
    </w:tbl>
    <w:p>
      <w:pPr>
        <w:pStyle w:val="4"/>
        <w:spacing w:before="5"/>
        <w:rPr>
          <w:rFonts w:hint="eastAsia" w:ascii="仿宋_GB2312" w:hAnsi="仿宋_GB2312" w:eastAsia="仿宋_GB2312" w:cs="仿宋_GB2312"/>
          <w:sz w:val="13"/>
        </w:rPr>
      </w:pPr>
    </w:p>
    <w:p>
      <w:pPr>
        <w:pStyle w:val="3"/>
        <w:spacing w:before="56"/>
        <w:rPr>
          <w:rFonts w:hint="eastAsia" w:ascii="仿宋_GB2312" w:hAnsi="仿宋_GB2312" w:eastAsia="仿宋_GB2312" w:cs="仿宋_GB2312"/>
        </w:rPr>
      </w:pPr>
      <w:r>
        <w:rPr>
          <w:rFonts w:hint="eastAsia" w:ascii="仿宋_GB2312" w:hAnsi="仿宋_GB2312" w:eastAsia="仿宋_GB2312" w:cs="仿宋_GB2312"/>
        </w:rPr>
        <w:t>四、部门人员情况说明</w:t>
      </w:r>
    </w:p>
    <w:p>
      <w:pPr>
        <w:pStyle w:val="4"/>
        <w:spacing w:before="137" w:line="321" w:lineRule="auto"/>
        <w:ind w:left="100" w:right="114" w:firstLine="480"/>
        <w:rPr>
          <w:rFonts w:hint="eastAsia" w:ascii="仿宋_GB2312" w:hAnsi="仿宋_GB2312" w:eastAsia="仿宋_GB2312" w:cs="仿宋_GB2312"/>
        </w:rPr>
      </w:pPr>
      <w:r>
        <w:rPr>
          <w:rFonts w:hint="eastAsia" w:ascii="仿宋_GB2312" w:hAnsi="仿宋_GB2312" w:eastAsia="仿宋_GB2312" w:cs="仿宋_GB2312"/>
        </w:rPr>
        <w:t>截止2020年底，本部门人员编制86人，其中行政编制60人、事业编制26人；实有人员134人，其中行政62人、事业28人。单位管理的离退休人员16人。</w:t>
      </w:r>
    </w:p>
    <w:p>
      <w:pPr>
        <w:spacing w:after="0" w:line="321" w:lineRule="auto"/>
        <w:rPr>
          <w:rFonts w:hint="eastAsia" w:ascii="仿宋_GB2312" w:hAnsi="仿宋_GB2312" w:eastAsia="仿宋_GB2312" w:cs="仿宋_GB2312"/>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rPr>
          <w:rFonts w:hint="eastAsia" w:ascii="仿宋_GB2312" w:hAnsi="仿宋_GB2312" w:eastAsia="仿宋_GB2312" w:cs="仿宋_GB2312"/>
          <w:sz w:val="20"/>
        </w:rPr>
      </w:pPr>
    </w:p>
    <w:p>
      <w:pPr>
        <w:pStyle w:val="4"/>
        <w:rPr>
          <w:rFonts w:hint="eastAsia" w:ascii="仿宋_GB2312" w:hAnsi="仿宋_GB2312" w:eastAsia="仿宋_GB2312" w:cs="仿宋_GB2312"/>
          <w:sz w:val="20"/>
        </w:rPr>
      </w:pPr>
    </w:p>
    <w:p>
      <w:pPr>
        <w:pStyle w:val="4"/>
        <w:spacing w:before="3"/>
        <w:rPr>
          <w:rFonts w:hint="eastAsia" w:ascii="仿宋_GB2312" w:hAnsi="仿宋_GB2312" w:eastAsia="仿宋_GB2312" w:cs="仿宋_GB2312"/>
          <w:sz w:val="22"/>
        </w:rPr>
      </w:pPr>
    </w:p>
    <w:p>
      <w:pPr>
        <w:pStyle w:val="4"/>
        <w:ind w:left="3852"/>
        <w:rPr>
          <w:rFonts w:hint="eastAsia" w:ascii="仿宋_GB2312" w:hAnsi="仿宋_GB2312" w:eastAsia="仿宋_GB2312" w:cs="仿宋_GB2312"/>
          <w:sz w:val="20"/>
        </w:rPr>
      </w:pPr>
      <w:r>
        <w:rPr>
          <w:rFonts w:hint="eastAsia" w:ascii="仿宋_GB2312" w:hAnsi="仿宋_GB2312" w:eastAsia="仿宋_GB2312" w:cs="仿宋_GB2312"/>
          <w:sz w:val="20"/>
        </w:rPr>
        <w:drawing>
          <wp:inline distT="0" distB="0" distL="0" distR="0">
            <wp:extent cx="4371975" cy="32238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371975" cy="3224212"/>
                    </a:xfrm>
                    <a:prstGeom prst="rect">
                      <a:avLst/>
                    </a:prstGeom>
                  </pic:spPr>
                </pic:pic>
              </a:graphicData>
            </a:graphic>
          </wp:inline>
        </w:drawing>
      </w:r>
    </w:p>
    <w:p>
      <w:pPr>
        <w:pStyle w:val="4"/>
        <w:spacing w:before="3"/>
        <w:rPr>
          <w:rFonts w:hint="eastAsia" w:ascii="仿宋_GB2312" w:hAnsi="仿宋_GB2312" w:eastAsia="仿宋_GB2312" w:cs="仿宋_GB2312"/>
          <w:sz w:val="19"/>
        </w:rPr>
      </w:pPr>
    </w:p>
    <w:p>
      <w:pPr>
        <w:pStyle w:val="3"/>
        <w:spacing w:before="55"/>
        <w:ind w:left="460"/>
        <w:jc w:val="center"/>
        <w:rPr>
          <w:rFonts w:hint="eastAsia" w:ascii="仿宋_GB2312" w:hAnsi="仿宋_GB2312" w:eastAsia="仿宋_GB2312" w:cs="仿宋_GB2312"/>
        </w:rPr>
      </w:pPr>
      <w:r>
        <w:rPr>
          <w:rFonts w:hint="eastAsia" w:ascii="仿宋_GB2312" w:hAnsi="仿宋_GB2312" w:eastAsia="仿宋_GB2312" w:cs="仿宋_GB2312"/>
        </w:rPr>
        <w:t>第二部分 收支情况</w:t>
      </w:r>
    </w:p>
    <w:p>
      <w:pPr>
        <w:spacing w:before="138"/>
        <w:ind w:left="580"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五、2021年部门预算收支说明</w:t>
      </w:r>
    </w:p>
    <w:p>
      <w:pPr>
        <w:spacing w:before="137"/>
        <w:ind w:left="580"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（一）收支预算总体情况。</w:t>
      </w:r>
    </w:p>
    <w:p>
      <w:pPr>
        <w:pStyle w:val="4"/>
        <w:spacing w:before="138" w:line="321" w:lineRule="auto"/>
        <w:ind w:left="100" w:right="101" w:firstLine="480"/>
        <w:rPr>
          <w:rFonts w:hint="eastAsia" w:ascii="仿宋_GB2312" w:hAnsi="仿宋_GB2312" w:eastAsia="仿宋_GB2312" w:cs="仿宋_GB2312"/>
        </w:rPr>
      </w:pPr>
      <w:r>
        <w:rPr>
          <w:rFonts w:hint="eastAsia" w:ascii="仿宋_GB2312" w:hAnsi="仿宋_GB2312" w:eastAsia="仿宋_GB2312" w:cs="仿宋_GB2312"/>
        </w:rPr>
        <w:t>按照综合预算的原则，本部门所有收入和支出均纳入部门预算管理。2021年本部门预算收入1560.03万元，其中一般公共预算拨款收入1560.03万元、政府性基金拨款收入0万元、上级补助收入</w:t>
      </w:r>
    </w:p>
    <w:p>
      <w:pPr>
        <w:spacing w:after="0" w:line="321" w:lineRule="auto"/>
        <w:rPr>
          <w:rFonts w:hint="eastAsia" w:ascii="仿宋_GB2312" w:hAnsi="仿宋_GB2312" w:eastAsia="仿宋_GB2312" w:cs="仿宋_GB2312"/>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rPr>
          <w:rFonts w:hint="eastAsia" w:ascii="仿宋_GB2312" w:hAnsi="仿宋_GB2312" w:eastAsia="仿宋_GB2312" w:cs="仿宋_GB2312"/>
          <w:sz w:val="20"/>
        </w:rPr>
      </w:pPr>
    </w:p>
    <w:p>
      <w:pPr>
        <w:pStyle w:val="4"/>
        <w:rPr>
          <w:rFonts w:hint="eastAsia" w:ascii="仿宋_GB2312" w:hAnsi="仿宋_GB2312" w:eastAsia="仿宋_GB2312" w:cs="仿宋_GB2312"/>
          <w:sz w:val="20"/>
        </w:rPr>
      </w:pPr>
    </w:p>
    <w:p>
      <w:pPr>
        <w:pStyle w:val="4"/>
        <w:spacing w:before="1"/>
        <w:rPr>
          <w:rFonts w:hint="eastAsia" w:ascii="仿宋_GB2312" w:hAnsi="仿宋_GB2312" w:eastAsia="仿宋_GB2312" w:cs="仿宋_GB2312"/>
          <w:sz w:val="28"/>
        </w:rPr>
      </w:pPr>
    </w:p>
    <w:p>
      <w:pPr>
        <w:pStyle w:val="4"/>
        <w:spacing w:before="55" w:line="321" w:lineRule="auto"/>
        <w:ind w:left="100" w:right="102"/>
        <w:jc w:val="both"/>
        <w:rPr>
          <w:rFonts w:hint="eastAsia" w:ascii="仿宋_GB2312" w:hAnsi="仿宋_GB2312" w:eastAsia="仿宋_GB2312" w:cs="仿宋_GB2312"/>
        </w:rPr>
      </w:pPr>
      <w:r>
        <w:rPr>
          <w:rFonts w:hint="eastAsia" w:ascii="仿宋_GB2312" w:hAnsi="仿宋_GB2312" w:eastAsia="仿宋_GB2312" w:cs="仿宋_GB2312"/>
        </w:rPr>
        <w:t>0万元、事业收入0万元、事业单位经营收入0万元、对附属单位上缴收入0万元、用事业基金弥补收支差额0万元、上年结转0万元、上年实户资金余额0万元、其他收入0万元，2021年本部门预算收入较上年增加20.81万元，主要原因是人员经费增加；2021年本部门预算支出1560.03万元，其中一般公共预算拨款支出1560.03万元、政府性基金拨款支出0万元、事业收入0万元、事业单位经营收入0万元、对附属单位上缴收入0万元、上年实户资金余额0万元、其他收入0万元、上年结转0万元</w:t>
      </w:r>
    </w:p>
    <w:p>
      <w:pPr>
        <w:pStyle w:val="4"/>
        <w:spacing w:line="401" w:lineRule="exact"/>
        <w:ind w:left="100"/>
        <w:rPr>
          <w:rFonts w:hint="eastAsia" w:ascii="仿宋_GB2312" w:hAnsi="仿宋_GB2312" w:eastAsia="仿宋_GB2312" w:cs="仿宋_GB2312"/>
        </w:rPr>
      </w:pPr>
      <w:r>
        <w:rPr>
          <w:rFonts w:hint="eastAsia" w:ascii="仿宋_GB2312" w:hAnsi="仿宋_GB2312" w:eastAsia="仿宋_GB2312" w:cs="仿宋_GB2312"/>
        </w:rPr>
        <w:t>，2021年本部门预算支出较上年增加20.81万元，主要原因是人员经费增加。</w:t>
      </w:r>
    </w:p>
    <w:p>
      <w:pPr>
        <w:spacing w:before="137" w:line="321" w:lineRule="auto"/>
        <w:ind w:left="580" w:right="117" w:firstLine="0"/>
        <w:jc w:val="left"/>
        <w:rPr>
          <w:rFonts w:hint="eastAsia" w:ascii="仿宋_GB2312" w:hAnsi="仿宋_GB2312" w:eastAsia="仿宋_GB2312" w:cs="仿宋_GB2312"/>
          <w:sz w:val="32"/>
        </w:rPr>
      </w:pPr>
      <w:r>
        <w:rPr>
          <w:rFonts w:hint="eastAsia" w:ascii="仿宋_GB2312" w:hAnsi="仿宋_GB2312" w:eastAsia="仿宋_GB2312" w:cs="仿宋_GB2312"/>
          <w:b/>
          <w:sz w:val="32"/>
        </w:rPr>
        <w:t xml:space="preserve">（二）财政拨款收支情况。                                                        </w:t>
      </w:r>
      <w:r>
        <w:rPr>
          <w:rFonts w:hint="eastAsia" w:ascii="仿宋_GB2312" w:hAnsi="仿宋_GB2312" w:eastAsia="仿宋_GB2312" w:cs="仿宋_GB2312"/>
          <w:sz w:val="32"/>
        </w:rPr>
        <w:t>2021年本部门财政拨款收入1560.03万元，其中一般公共预算拨款收入1560.03万元、政府性基金</w:t>
      </w:r>
    </w:p>
    <w:p>
      <w:pPr>
        <w:pStyle w:val="4"/>
        <w:spacing w:line="321" w:lineRule="auto"/>
        <w:ind w:left="100" w:right="114"/>
        <w:jc w:val="both"/>
        <w:rPr>
          <w:rFonts w:hint="eastAsia" w:ascii="仿宋_GB2312" w:hAnsi="仿宋_GB2312" w:eastAsia="仿宋_GB2312" w:cs="仿宋_GB2312"/>
        </w:rPr>
      </w:pPr>
      <w:r>
        <w:rPr>
          <w:rFonts w:hint="eastAsia" w:ascii="仿宋_GB2312" w:hAnsi="仿宋_GB2312" w:eastAsia="仿宋_GB2312" w:cs="仿宋_GB2312"/>
        </w:rPr>
        <w:t>拨款收入0万元、上年结转0万元，2021年本部门财政拨款收入较上年增加20.81万元，主要原因是人员经费增加；2021年本部门财政拨款支出1560.03万元，其中一般公共预算拨款支出1560.03万元、政府性基金拨款支出0万元、上年结转0万元，2021年本部门财政拨款支出较上年增加20.81万元，主要原因是人员经费增加。</w:t>
      </w:r>
    </w:p>
    <w:p>
      <w:pPr>
        <w:spacing w:before="0" w:line="321" w:lineRule="auto"/>
        <w:ind w:left="580" w:right="7659" w:firstLine="0"/>
        <w:jc w:val="left"/>
        <w:rPr>
          <w:rFonts w:hint="eastAsia" w:ascii="仿宋_GB2312" w:hAnsi="仿宋_GB2312" w:eastAsia="仿宋_GB2312" w:cs="仿宋_GB2312"/>
          <w:sz w:val="32"/>
        </w:rPr>
      </w:pPr>
      <w:r>
        <w:rPr>
          <w:rFonts w:hint="eastAsia" w:ascii="仿宋_GB2312" w:hAnsi="仿宋_GB2312" w:eastAsia="仿宋_GB2312" w:cs="仿宋_GB2312"/>
          <w:b/>
          <w:sz w:val="32"/>
        </w:rPr>
        <w:t>（三）一般公共预算拨款支出明细情况。</w:t>
      </w:r>
      <w:r>
        <w:rPr>
          <w:rFonts w:hint="eastAsia" w:ascii="仿宋_GB2312" w:hAnsi="仿宋_GB2312" w:eastAsia="仿宋_GB2312" w:cs="仿宋_GB2312"/>
          <w:sz w:val="32"/>
        </w:rPr>
        <w:t>1、一般公共预算当年拨款规模变化情况。</w:t>
      </w:r>
    </w:p>
    <w:p>
      <w:pPr>
        <w:pStyle w:val="4"/>
        <w:spacing w:line="406" w:lineRule="exact"/>
        <w:ind w:left="580"/>
        <w:rPr>
          <w:rFonts w:hint="eastAsia" w:ascii="仿宋_GB2312" w:hAnsi="仿宋_GB2312" w:eastAsia="仿宋_GB2312" w:cs="仿宋_GB2312"/>
        </w:rPr>
      </w:pPr>
      <w:r>
        <w:rPr>
          <w:rFonts w:hint="eastAsia" w:ascii="仿宋_GB2312" w:hAnsi="仿宋_GB2312" w:eastAsia="仿宋_GB2312" w:cs="仿宋_GB2312"/>
        </w:rPr>
        <w:t>2021年本部门当年一般公共预算拨款支出1560.03万元</w:t>
      </w:r>
    </w:p>
    <w:p>
      <w:pPr>
        <w:pStyle w:val="4"/>
        <w:numPr>
          <w:ilvl w:val="0"/>
          <w:numId w:val="1"/>
        </w:numPr>
        <w:spacing w:before="193"/>
        <w:ind w:left="100" w:leftChars="0" w:firstLine="640" w:firstLineChars="200"/>
        <w:rPr>
          <w:rFonts w:hint="eastAsia" w:ascii="仿宋_GB2312" w:hAnsi="仿宋_GB2312" w:eastAsia="仿宋_GB2312" w:cs="仿宋_GB2312"/>
        </w:rPr>
      </w:pPr>
      <w:r>
        <w:rPr>
          <w:rFonts w:hint="eastAsia" w:ascii="仿宋_GB2312" w:hAnsi="仿宋_GB2312" w:eastAsia="仿宋_GB2312" w:cs="仿宋_GB2312"/>
        </w:rPr>
        <w:t>支出按功能科目分类的明细情况。</w:t>
      </w:r>
    </w:p>
    <w:p>
      <w:pPr>
        <w:pStyle w:val="4"/>
        <w:numPr>
          <w:numId w:val="0"/>
        </w:numPr>
        <w:spacing w:before="193"/>
        <w:ind w:right="0" w:rightChars="0" w:firstLine="640" w:firstLineChars="200"/>
        <w:rPr>
          <w:rFonts w:hint="eastAsia" w:ascii="仿宋_GB2312" w:hAnsi="仿宋_GB2312" w:eastAsia="仿宋_GB2312" w:cs="仿宋_GB2312"/>
        </w:rPr>
      </w:pPr>
      <w:r>
        <w:rPr>
          <w:rFonts w:hint="eastAsia" w:ascii="仿宋_GB2312" w:hAnsi="仿宋_GB2312" w:eastAsia="仿宋_GB2312" w:cs="仿宋_GB2312"/>
        </w:rPr>
        <w:t>2021年本部门当年一般公共预算支出1560.03万元。</w:t>
      </w:r>
    </w:p>
    <w:p>
      <w:pPr>
        <w:pStyle w:val="4"/>
        <w:spacing w:before="275"/>
        <w:ind w:left="740"/>
        <w:rPr>
          <w:rFonts w:hint="eastAsia" w:ascii="仿宋_GB2312" w:hAnsi="仿宋_GB2312" w:eastAsia="仿宋_GB2312" w:cs="仿宋_GB2312"/>
        </w:rPr>
      </w:pPr>
      <w:r>
        <w:rPr>
          <w:rFonts w:hint="eastAsia" w:ascii="仿宋_GB2312" w:hAnsi="仿宋_GB2312" w:eastAsia="仿宋_GB2312" w:cs="仿宋_GB2312"/>
        </w:rPr>
        <w:t>3、支出按经济科目分类的明细情况</w:t>
      </w:r>
    </w:p>
    <w:p>
      <w:pPr>
        <w:pStyle w:val="4"/>
        <w:spacing w:line="321" w:lineRule="auto"/>
        <w:ind w:left="740" w:right="6219"/>
        <w:rPr>
          <w:rFonts w:hint="eastAsia" w:ascii="仿宋_GB2312" w:hAnsi="仿宋_GB2312" w:eastAsia="仿宋_GB2312" w:cs="仿宋_GB2312"/>
          <w:sz w:val="42"/>
        </w:rPr>
      </w:pPr>
      <w:r>
        <w:rPr>
          <w:rFonts w:hint="eastAsia" w:ascii="仿宋_GB2312" w:hAnsi="仿宋_GB2312" w:eastAsia="仿宋_GB2312" w:cs="仿宋_GB2312"/>
        </w:rPr>
        <w:t>（1）按照部门预算支出经济分类的类级科目说明。2021年本部门当年一般公共预算支出1560.03</w:t>
      </w:r>
      <w:r>
        <w:rPr>
          <w:rFonts w:hint="eastAsia" w:ascii="仿宋_GB2312" w:hAnsi="仿宋_GB2312" w:eastAsia="仿宋_GB2312" w:cs="仿宋_GB2312"/>
          <w:spacing w:val="-7"/>
        </w:rPr>
        <w:t>万元。</w:t>
      </w:r>
      <w:r>
        <w:rPr>
          <w:rFonts w:hint="eastAsia" w:ascii="仿宋_GB2312" w:hAnsi="仿宋_GB2312" w:eastAsia="仿宋_GB2312" w:cs="仿宋_GB2312"/>
        </w:rPr>
        <w:t>（2）</w:t>
      </w:r>
      <w:r>
        <w:rPr>
          <w:rFonts w:hint="eastAsia" w:ascii="仿宋_GB2312" w:hAnsi="仿宋_GB2312" w:eastAsia="仿宋_GB2312" w:cs="仿宋_GB2312"/>
          <w:spacing w:val="-1"/>
        </w:rPr>
        <w:t>按照政府预算支出经济分类的类级科目说明。</w:t>
      </w:r>
      <w:r>
        <w:rPr>
          <w:rFonts w:hint="eastAsia" w:ascii="仿宋_GB2312" w:hAnsi="仿宋_GB2312" w:eastAsia="仿宋_GB2312" w:cs="仿宋_GB2312"/>
        </w:rPr>
        <w:t>2021年本部门当年一般公共预算支出1560.03</w:t>
      </w:r>
      <w:r>
        <w:rPr>
          <w:rFonts w:hint="eastAsia" w:ascii="仿宋_GB2312" w:hAnsi="仿宋_GB2312" w:eastAsia="仿宋_GB2312" w:cs="仿宋_GB2312"/>
          <w:spacing w:val="-7"/>
        </w:rPr>
        <w:t>万元。</w:t>
      </w:r>
    </w:p>
    <w:p>
      <w:pPr>
        <w:pStyle w:val="4"/>
        <w:spacing w:before="1"/>
        <w:ind w:left="580"/>
        <w:rPr>
          <w:rFonts w:hint="eastAsia" w:ascii="仿宋_GB2312" w:hAnsi="仿宋_GB2312" w:eastAsia="仿宋_GB2312" w:cs="仿宋_GB2312"/>
        </w:rPr>
      </w:pPr>
      <w:r>
        <w:rPr>
          <w:rFonts w:hint="eastAsia" w:ascii="仿宋_GB2312" w:hAnsi="仿宋_GB2312" w:eastAsia="仿宋_GB2312" w:cs="仿宋_GB2312"/>
        </w:rPr>
        <w:t>4、上年结转财政资金一般公共预算拨款支出情况。</w:t>
      </w:r>
    </w:p>
    <w:p>
      <w:pPr>
        <w:pStyle w:val="4"/>
        <w:spacing w:before="137"/>
        <w:ind w:left="580"/>
        <w:rPr>
          <w:rFonts w:hint="eastAsia" w:ascii="仿宋_GB2312" w:hAnsi="仿宋_GB2312" w:eastAsia="仿宋_GB2312" w:cs="仿宋_GB2312"/>
        </w:rPr>
      </w:pPr>
      <w:r>
        <w:rPr>
          <w:rFonts w:hint="eastAsia" w:ascii="仿宋_GB2312" w:hAnsi="仿宋_GB2312" w:eastAsia="仿宋_GB2312" w:cs="仿宋_GB2312"/>
        </w:rPr>
        <w:t>（1）按功能支出分类。</w:t>
      </w:r>
    </w:p>
    <w:p>
      <w:pPr>
        <w:pStyle w:val="4"/>
        <w:spacing w:before="55"/>
        <w:ind w:left="580"/>
        <w:rPr>
          <w:rFonts w:hint="eastAsia" w:ascii="仿宋_GB2312" w:hAnsi="仿宋_GB2312" w:eastAsia="仿宋_GB2312" w:cs="仿宋_GB2312"/>
        </w:rPr>
      </w:pPr>
      <w:r>
        <w:rPr>
          <w:rFonts w:hint="eastAsia" w:ascii="仿宋_GB2312" w:hAnsi="仿宋_GB2312" w:eastAsia="仿宋_GB2312" w:cs="仿宋_GB2312"/>
        </w:rPr>
        <w:t>本部门无2020年结转的一般公共预算拨款资金支出</w:t>
      </w:r>
    </w:p>
    <w:p>
      <w:pPr>
        <w:pStyle w:val="4"/>
        <w:spacing w:before="55"/>
        <w:ind w:left="580"/>
        <w:rPr>
          <w:rFonts w:hint="eastAsia" w:ascii="仿宋_GB2312" w:hAnsi="仿宋_GB2312" w:eastAsia="仿宋_GB2312" w:cs="仿宋_GB2312"/>
        </w:rPr>
      </w:pPr>
      <w:r>
        <w:rPr>
          <w:rFonts w:hint="eastAsia" w:ascii="仿宋_GB2312" w:hAnsi="仿宋_GB2312" w:eastAsia="仿宋_GB2312" w:cs="仿宋_GB2312"/>
        </w:rPr>
        <w:t>（2）按部门预算支出经济分类。</w:t>
      </w:r>
    </w:p>
    <w:p>
      <w:pPr>
        <w:pStyle w:val="4"/>
        <w:spacing w:before="137"/>
        <w:ind w:left="580"/>
        <w:rPr>
          <w:rFonts w:hint="eastAsia" w:ascii="仿宋_GB2312" w:hAnsi="仿宋_GB2312" w:eastAsia="仿宋_GB2312" w:cs="仿宋_GB2312"/>
        </w:rPr>
      </w:pPr>
      <w:r>
        <w:rPr>
          <w:rFonts w:hint="eastAsia" w:ascii="仿宋_GB2312" w:hAnsi="仿宋_GB2312" w:eastAsia="仿宋_GB2312" w:cs="仿宋_GB2312"/>
        </w:rPr>
        <w:t>本部门无2020年结转的一般公共预算拨款资金支出</w:t>
      </w:r>
    </w:p>
    <w:p>
      <w:pPr>
        <w:pStyle w:val="4"/>
        <w:spacing w:before="275"/>
        <w:ind w:left="580"/>
        <w:rPr>
          <w:rFonts w:hint="eastAsia" w:ascii="仿宋_GB2312" w:hAnsi="仿宋_GB2312" w:eastAsia="仿宋_GB2312" w:cs="仿宋_GB2312"/>
        </w:rPr>
      </w:pPr>
      <w:r>
        <w:rPr>
          <w:rFonts w:hint="eastAsia" w:ascii="仿宋_GB2312" w:hAnsi="仿宋_GB2312" w:eastAsia="仿宋_GB2312" w:cs="仿宋_GB2312"/>
        </w:rPr>
        <w:t>（3）按政府预算支出经济分类。</w:t>
      </w:r>
    </w:p>
    <w:p>
      <w:pPr>
        <w:pStyle w:val="4"/>
        <w:spacing w:before="138"/>
        <w:ind w:left="580"/>
        <w:rPr>
          <w:rFonts w:hint="eastAsia" w:ascii="仿宋_GB2312" w:hAnsi="仿宋_GB2312" w:eastAsia="仿宋_GB2312" w:cs="仿宋_GB2312"/>
        </w:rPr>
      </w:pPr>
      <w:r>
        <w:rPr>
          <w:rFonts w:hint="eastAsia" w:ascii="仿宋_GB2312" w:hAnsi="仿宋_GB2312" w:eastAsia="仿宋_GB2312" w:cs="仿宋_GB2312"/>
        </w:rPr>
        <w:t>本部门无2020年结转的一般公共预算拨款资金支出</w:t>
      </w:r>
    </w:p>
    <w:p>
      <w:pPr>
        <w:pStyle w:val="3"/>
        <w:rPr>
          <w:rFonts w:hint="eastAsia" w:ascii="仿宋_GB2312" w:hAnsi="仿宋_GB2312" w:eastAsia="仿宋_GB2312" w:cs="仿宋_GB2312"/>
        </w:rPr>
      </w:pPr>
      <w:r>
        <w:rPr>
          <w:rFonts w:hint="eastAsia" w:ascii="仿宋_GB2312" w:hAnsi="仿宋_GB2312" w:eastAsia="仿宋_GB2312" w:cs="仿宋_GB2312"/>
        </w:rPr>
        <w:t>（四）政府性基金预算支出情况。</w:t>
      </w:r>
    </w:p>
    <w:p>
      <w:pPr>
        <w:pStyle w:val="4"/>
        <w:spacing w:before="138"/>
        <w:ind w:left="580"/>
        <w:rPr>
          <w:rFonts w:hint="eastAsia" w:ascii="仿宋_GB2312" w:hAnsi="仿宋_GB2312" w:eastAsia="仿宋_GB2312" w:cs="仿宋_GB2312"/>
        </w:rPr>
      </w:pPr>
      <w:r>
        <w:rPr>
          <w:rFonts w:hint="eastAsia" w:ascii="仿宋_GB2312" w:hAnsi="仿宋_GB2312" w:eastAsia="仿宋_GB2312" w:cs="仿宋_GB2312"/>
        </w:rPr>
        <w:t>本部门无当年政府性基金预算收支，并已公开空表。</w:t>
      </w:r>
    </w:p>
    <w:p>
      <w:pPr>
        <w:pStyle w:val="4"/>
        <w:spacing w:before="275"/>
        <w:ind w:left="580"/>
        <w:rPr>
          <w:rFonts w:hint="eastAsia" w:ascii="仿宋_GB2312" w:hAnsi="仿宋_GB2312" w:eastAsia="仿宋_GB2312" w:cs="仿宋_GB2312"/>
        </w:rPr>
      </w:pPr>
      <w:r>
        <w:rPr>
          <w:rFonts w:hint="eastAsia" w:ascii="仿宋_GB2312" w:hAnsi="仿宋_GB2312" w:eastAsia="仿宋_GB2312" w:cs="仿宋_GB2312"/>
        </w:rPr>
        <w:t>本部门无2020年结转的政府性基金预算拨款支出</w:t>
      </w:r>
    </w:p>
    <w:p>
      <w:pPr>
        <w:pStyle w:val="3"/>
        <w:rPr>
          <w:rFonts w:hint="eastAsia" w:ascii="仿宋_GB2312" w:hAnsi="仿宋_GB2312" w:eastAsia="仿宋_GB2312" w:cs="仿宋_GB2312"/>
        </w:rPr>
      </w:pPr>
      <w:r>
        <w:rPr>
          <w:rFonts w:hint="eastAsia" w:ascii="仿宋_GB2312" w:hAnsi="仿宋_GB2312" w:eastAsia="仿宋_GB2312" w:cs="仿宋_GB2312"/>
        </w:rPr>
        <w:t>（五）国有资本经营预算拨款收支情况。</w:t>
      </w:r>
    </w:p>
    <w:p>
      <w:pPr>
        <w:pStyle w:val="4"/>
        <w:spacing w:before="138"/>
        <w:ind w:left="580"/>
        <w:rPr>
          <w:rFonts w:hint="eastAsia" w:ascii="仿宋_GB2312" w:hAnsi="仿宋_GB2312" w:eastAsia="仿宋_GB2312" w:cs="仿宋_GB2312"/>
        </w:rPr>
      </w:pPr>
      <w:r>
        <w:rPr>
          <w:rFonts w:hint="eastAsia" w:ascii="仿宋_GB2312" w:hAnsi="仿宋_GB2312" w:eastAsia="仿宋_GB2312" w:cs="仿宋_GB2312"/>
        </w:rPr>
        <w:t>本部门无当年国有资本经营预算拨款收支，并在财政拨款收支总体情况表中列示</w:t>
      </w:r>
    </w:p>
    <w:p>
      <w:pPr>
        <w:pStyle w:val="4"/>
        <w:spacing w:before="275"/>
        <w:ind w:left="580"/>
        <w:rPr>
          <w:rFonts w:hint="eastAsia" w:ascii="仿宋_GB2312" w:hAnsi="仿宋_GB2312" w:eastAsia="仿宋_GB2312" w:cs="仿宋_GB2312"/>
        </w:rPr>
      </w:pPr>
      <w:r>
        <w:rPr>
          <w:rFonts w:hint="eastAsia" w:ascii="仿宋_GB2312" w:hAnsi="仿宋_GB2312" w:eastAsia="仿宋_GB2312" w:cs="仿宋_GB2312"/>
        </w:rPr>
        <w:t>本部门无2020年结转的一般公共预算拨款资金支出</w:t>
      </w:r>
    </w:p>
    <w:p>
      <w:pPr>
        <w:pStyle w:val="4"/>
        <w:spacing w:before="10"/>
        <w:rPr>
          <w:rFonts w:hint="eastAsia" w:ascii="仿宋_GB2312" w:hAnsi="仿宋_GB2312" w:eastAsia="仿宋_GB2312" w:cs="仿宋_GB2312"/>
          <w:sz w:val="38"/>
        </w:rPr>
      </w:pPr>
    </w:p>
    <w:p>
      <w:pPr>
        <w:pStyle w:val="3"/>
        <w:spacing w:before="1"/>
        <w:ind w:left="460"/>
        <w:jc w:val="center"/>
        <w:rPr>
          <w:rFonts w:hint="eastAsia" w:ascii="仿宋_GB2312" w:hAnsi="仿宋_GB2312" w:eastAsia="仿宋_GB2312" w:cs="仿宋_GB2312"/>
        </w:rPr>
      </w:pPr>
      <w:r>
        <w:rPr>
          <w:rFonts w:hint="eastAsia" w:ascii="仿宋_GB2312" w:hAnsi="仿宋_GB2312" w:eastAsia="仿宋_GB2312" w:cs="仿宋_GB2312"/>
        </w:rPr>
        <w:t>第三部分 其他说明情况</w:t>
      </w:r>
    </w:p>
    <w:p>
      <w:pPr>
        <w:spacing w:before="55"/>
        <w:ind w:left="580" w:right="0"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六、部门预算“三公”经费等预算情况说明</w:t>
      </w:r>
    </w:p>
    <w:p>
      <w:pPr>
        <w:pStyle w:val="4"/>
        <w:spacing w:before="137"/>
        <w:ind w:left="580"/>
        <w:rPr>
          <w:rFonts w:hint="eastAsia" w:ascii="仿宋_GB2312" w:hAnsi="仿宋_GB2312" w:eastAsia="仿宋_GB2312" w:cs="仿宋_GB2312"/>
        </w:rPr>
      </w:pPr>
      <w:r>
        <w:rPr>
          <w:rFonts w:hint="eastAsia" w:ascii="仿宋_GB2312" w:hAnsi="仿宋_GB2312" w:eastAsia="仿宋_GB2312" w:cs="仿宋_GB2312"/>
        </w:rPr>
        <w:t>2021年本部门当年一般公共预算“三公”经费预算支出20万元，较上年增加（减少）48.17万元</w:t>
      </w:r>
    </w:p>
    <w:p>
      <w:pPr>
        <w:pStyle w:val="4"/>
        <w:spacing w:before="138" w:line="321" w:lineRule="auto"/>
        <w:ind w:left="100" w:right="117"/>
        <w:jc w:val="both"/>
        <w:rPr>
          <w:rFonts w:hint="eastAsia" w:ascii="仿宋_GB2312" w:hAnsi="仿宋_GB2312" w:eastAsia="仿宋_GB2312" w:cs="仿宋_GB2312"/>
        </w:rPr>
      </w:pPr>
      <w:r>
        <w:rPr>
          <w:rFonts w:hint="eastAsia" w:ascii="仿宋_GB2312" w:hAnsi="仿宋_GB2312" w:eastAsia="仿宋_GB2312" w:cs="仿宋_GB2312"/>
        </w:rPr>
        <w:t>，减少的主要原因是无新购置车辆。其中：因公出国（境）经费0万元，较上年无变化；公务接待费费0万元，较上年无变化；公务用车运行维护费20万元，较上年减少1.47万元，减少的主要原因是缩减公车经费；公务用车购置费0万元，较上年减少48.17万元减少的主要原因是无新购置车辆。</w:t>
      </w:r>
    </w:p>
    <w:p>
      <w:pPr>
        <w:pStyle w:val="4"/>
        <w:spacing w:line="404" w:lineRule="exact"/>
        <w:ind w:left="580"/>
        <w:rPr>
          <w:rFonts w:hint="eastAsia" w:ascii="仿宋_GB2312" w:hAnsi="仿宋_GB2312" w:eastAsia="仿宋_GB2312" w:cs="仿宋_GB2312"/>
        </w:rPr>
      </w:pPr>
      <w:r>
        <w:rPr>
          <w:rFonts w:hint="eastAsia" w:ascii="仿宋_GB2312" w:hAnsi="仿宋_GB2312" w:eastAsia="仿宋_GB2312" w:cs="仿宋_GB2312"/>
        </w:rPr>
        <w:t>本部门无2020年结转的‘三公’经费支出</w:t>
      </w:r>
    </w:p>
    <w:p>
      <w:pPr>
        <w:pStyle w:val="3"/>
        <w:rPr>
          <w:rFonts w:hint="eastAsia" w:ascii="仿宋_GB2312" w:hAnsi="仿宋_GB2312" w:eastAsia="仿宋_GB2312" w:cs="仿宋_GB2312"/>
        </w:rPr>
      </w:pPr>
      <w:r>
        <w:rPr>
          <w:rFonts w:hint="eastAsia" w:ascii="仿宋_GB2312" w:hAnsi="仿宋_GB2312" w:eastAsia="仿宋_GB2312" w:cs="仿宋_GB2312"/>
        </w:rPr>
        <w:t>七、部门国有资产占有使用及资产购置情况说明</w:t>
      </w:r>
    </w:p>
    <w:p>
      <w:pPr>
        <w:pStyle w:val="4"/>
        <w:spacing w:before="138" w:line="321" w:lineRule="auto"/>
        <w:ind w:left="100" w:right="117" w:firstLine="480"/>
        <w:rPr>
          <w:rFonts w:hint="eastAsia" w:ascii="仿宋_GB2312" w:hAnsi="仿宋_GB2312" w:eastAsia="仿宋_GB2312" w:cs="仿宋_GB2312"/>
        </w:rPr>
      </w:pPr>
      <w:r>
        <w:rPr>
          <w:rFonts w:hint="eastAsia" w:ascii="仿宋_GB2312" w:hAnsi="仿宋_GB2312" w:eastAsia="仿宋_GB2312" w:cs="仿宋_GB2312"/>
        </w:rPr>
        <w:t>截止2020年底，本部门所属预算单位共有车辆4辆，单价20万元以上的设备1台（套）。2021年当年部门预算安排购置车辆0辆；安排购置单价20万元以上的设备0台（套）。</w:t>
      </w:r>
    </w:p>
    <w:p>
      <w:pPr>
        <w:pStyle w:val="4"/>
        <w:spacing w:line="406" w:lineRule="exact"/>
        <w:ind w:left="580"/>
        <w:rPr>
          <w:rFonts w:hint="eastAsia" w:ascii="仿宋_GB2312" w:hAnsi="仿宋_GB2312" w:eastAsia="仿宋_GB2312" w:cs="仿宋_GB2312"/>
        </w:rPr>
      </w:pPr>
      <w:r>
        <w:rPr>
          <w:rFonts w:hint="eastAsia" w:ascii="仿宋_GB2312" w:hAnsi="仿宋_GB2312" w:eastAsia="仿宋_GB2312" w:cs="仿宋_GB2312"/>
        </w:rPr>
        <w:t>本部门无2020年结转的财政拨款支出资产购置</w:t>
      </w:r>
    </w:p>
    <w:p>
      <w:pPr>
        <w:pStyle w:val="3"/>
        <w:rPr>
          <w:rFonts w:hint="eastAsia" w:ascii="仿宋_GB2312" w:hAnsi="仿宋_GB2312" w:eastAsia="仿宋_GB2312" w:cs="仿宋_GB2312"/>
        </w:rPr>
      </w:pPr>
      <w:r>
        <w:rPr>
          <w:rFonts w:hint="eastAsia" w:ascii="仿宋_GB2312" w:hAnsi="仿宋_GB2312" w:eastAsia="仿宋_GB2312" w:cs="仿宋_GB2312"/>
          <w:w w:val="95"/>
        </w:rPr>
        <w:t>八、部门政府采购情况说明</w:t>
      </w:r>
    </w:p>
    <w:p>
      <w:pPr>
        <w:pStyle w:val="4"/>
        <w:spacing w:before="138" w:line="321" w:lineRule="auto"/>
        <w:ind w:left="580" w:right="4299"/>
        <w:rPr>
          <w:rFonts w:hint="eastAsia" w:ascii="仿宋_GB2312" w:hAnsi="仿宋_GB2312" w:eastAsia="仿宋_GB2312" w:cs="仿宋_GB2312"/>
        </w:rPr>
      </w:pPr>
      <w:r>
        <w:rPr>
          <w:rFonts w:hint="eastAsia" w:ascii="仿宋_GB2312" w:hAnsi="仿宋_GB2312" w:eastAsia="仿宋_GB2312" w:cs="仿宋_GB2312"/>
        </w:rPr>
        <w:t>本部门无2021年政府采购资金支出。</w:t>
      </w:r>
    </w:p>
    <w:p>
      <w:pPr>
        <w:pStyle w:val="4"/>
        <w:spacing w:before="138" w:line="321" w:lineRule="auto"/>
        <w:ind w:left="580" w:right="4299"/>
        <w:rPr>
          <w:rFonts w:hint="eastAsia" w:ascii="仿宋_GB2312" w:hAnsi="仿宋_GB2312" w:eastAsia="仿宋_GB2312" w:cs="仿宋_GB2312"/>
          <w:b/>
        </w:rPr>
      </w:pPr>
      <w:r>
        <w:rPr>
          <w:rFonts w:hint="eastAsia" w:ascii="仿宋_GB2312" w:hAnsi="仿宋_GB2312" w:eastAsia="仿宋_GB2312" w:cs="仿宋_GB2312"/>
        </w:rPr>
        <w:t xml:space="preserve"> 2020年部门结转的财政拨款支出中的政府采购资金共166.98</w:t>
      </w:r>
      <w:r>
        <w:rPr>
          <w:rFonts w:hint="eastAsia" w:ascii="仿宋_GB2312" w:hAnsi="仿宋_GB2312" w:eastAsia="仿宋_GB2312" w:cs="仿宋_GB2312"/>
          <w:spacing w:val="-7"/>
        </w:rPr>
        <w:t>万元。</w:t>
      </w:r>
      <w:r>
        <w:rPr>
          <w:rFonts w:hint="eastAsia" w:ascii="仿宋_GB2312" w:hAnsi="仿宋_GB2312" w:eastAsia="仿宋_GB2312" w:cs="仿宋_GB2312"/>
          <w:b/>
        </w:rPr>
        <w:t>九、部门预算绩效目标说明</w:t>
      </w:r>
    </w:p>
    <w:p>
      <w:pPr>
        <w:pStyle w:val="4"/>
        <w:spacing w:before="55" w:line="321" w:lineRule="auto"/>
        <w:ind w:left="611" w:leftChars="253" w:right="2859" w:hanging="54" w:hangingChars="17"/>
        <w:rPr>
          <w:rFonts w:hint="eastAsia" w:ascii="仿宋_GB2312" w:hAnsi="仿宋_GB2312" w:eastAsia="仿宋_GB2312" w:cs="仿宋_GB2312"/>
        </w:rPr>
      </w:pPr>
      <w:r>
        <w:rPr>
          <w:rFonts w:hint="eastAsia" w:ascii="仿宋_GB2312" w:hAnsi="仿宋_GB2312" w:eastAsia="仿宋_GB2312" w:cs="仿宋_GB2312"/>
        </w:rPr>
        <w:t>2021年本部门绩效目标管理全覆盖，涉及当年一般公共预算拨款263万元,当年政府性基金预算拨款0万元，当年国有资本经营预算拨款0万元（详见公开报表中的绩效目标表）。</w:t>
      </w:r>
    </w:p>
    <w:p>
      <w:pPr>
        <w:pStyle w:val="4"/>
        <w:spacing w:before="55" w:line="321" w:lineRule="auto"/>
        <w:ind w:left="611" w:leftChars="253" w:right="2859" w:hanging="54" w:hangingChars="17"/>
        <w:rPr>
          <w:rFonts w:hint="eastAsia" w:ascii="仿宋_GB2312" w:hAnsi="仿宋_GB2312" w:eastAsia="仿宋_GB2312" w:cs="仿宋_GB2312"/>
        </w:rPr>
      </w:pPr>
      <w:r>
        <w:rPr>
          <w:rFonts w:hint="eastAsia" w:ascii="仿宋_GB2312" w:hAnsi="仿宋_GB2312" w:eastAsia="仿宋_GB2312" w:cs="仿宋_GB2312"/>
        </w:rPr>
        <w:t>2021年，本部门2020年结转的财政拨款支出继续实施绩效目标管理。</w:t>
      </w:r>
    </w:p>
    <w:p>
      <w:pPr>
        <w:pStyle w:val="3"/>
        <w:spacing w:before="0" w:line="406" w:lineRule="exact"/>
        <w:rPr>
          <w:rFonts w:hint="eastAsia" w:ascii="仿宋_GB2312" w:hAnsi="仿宋_GB2312" w:eastAsia="仿宋_GB2312" w:cs="仿宋_GB2312"/>
        </w:rPr>
      </w:pPr>
      <w:r>
        <w:rPr>
          <w:rFonts w:hint="eastAsia" w:ascii="仿宋_GB2312" w:hAnsi="仿宋_GB2312" w:eastAsia="仿宋_GB2312" w:cs="仿宋_GB2312"/>
        </w:rPr>
        <w:t>十、机关运行经费安排说明</w:t>
      </w:r>
    </w:p>
    <w:p>
      <w:pPr>
        <w:pStyle w:val="4"/>
        <w:spacing w:before="137" w:line="321" w:lineRule="auto"/>
        <w:ind w:left="100" w:right="113" w:firstLine="480"/>
        <w:rPr>
          <w:rFonts w:hint="eastAsia" w:ascii="仿宋_GB2312" w:hAnsi="仿宋_GB2312" w:eastAsia="仿宋_GB2312" w:cs="仿宋_GB2312"/>
        </w:rPr>
      </w:pPr>
      <w:r>
        <w:rPr>
          <w:rFonts w:hint="eastAsia" w:ascii="仿宋_GB2312" w:hAnsi="仿宋_GB2312" w:eastAsia="仿宋_GB2312" w:cs="仿宋_GB2312"/>
        </w:rPr>
        <w:t>本部门当年机关运行经费预算安排263万元，较上年增加18.2万元，主要原因是人员增加运行经费增加。</w:t>
      </w:r>
    </w:p>
    <w:p>
      <w:pPr>
        <w:pStyle w:val="4"/>
        <w:spacing w:line="406" w:lineRule="exact"/>
        <w:ind w:left="580"/>
        <w:rPr>
          <w:rFonts w:hint="eastAsia" w:ascii="仿宋_GB2312" w:hAnsi="仿宋_GB2312" w:eastAsia="仿宋_GB2312" w:cs="仿宋_GB2312"/>
        </w:rPr>
      </w:pPr>
      <w:r>
        <w:rPr>
          <w:rFonts w:hint="eastAsia" w:ascii="仿宋_GB2312" w:hAnsi="仿宋_GB2312" w:eastAsia="仿宋_GB2312" w:cs="仿宋_GB2312"/>
        </w:rPr>
        <w:t>本部门无2020年结转的财政拨款机关运行费支出</w:t>
      </w:r>
    </w:p>
    <w:p>
      <w:pPr>
        <w:numPr>
          <w:ilvl w:val="0"/>
          <w:numId w:val="3"/>
        </w:numPr>
        <w:spacing w:before="138" w:line="321" w:lineRule="auto"/>
        <w:ind w:left="580" w:right="619" w:firstLine="0"/>
        <w:jc w:val="left"/>
        <w:rPr>
          <w:rFonts w:hint="eastAsia" w:ascii="仿宋_GB2312" w:hAnsi="仿宋_GB2312" w:eastAsia="仿宋_GB2312" w:cs="仿宋_GB2312"/>
          <w:b/>
          <w:sz w:val="32"/>
        </w:rPr>
      </w:pPr>
      <w:r>
        <w:rPr>
          <w:rFonts w:hint="eastAsia" w:ascii="仿宋_GB2312" w:hAnsi="仿宋_GB2312" w:eastAsia="仿宋_GB2312" w:cs="仿宋_GB2312"/>
          <w:b/>
          <w:sz w:val="32"/>
        </w:rPr>
        <w:t xml:space="preserve">专业名词解释 </w:t>
      </w:r>
    </w:p>
    <w:p>
      <w:pPr>
        <w:numPr>
          <w:numId w:val="0"/>
        </w:numPr>
        <w:spacing w:before="138" w:line="321" w:lineRule="auto"/>
        <w:ind w:right="619" w:rightChars="0"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pacing w:val="-1"/>
          <w:sz w:val="32"/>
        </w:rPr>
        <w:t>一般公共预算收入：指对以税收为主体的财政收入，安排用于保障和改善</w:t>
      </w:r>
      <w:r>
        <w:rPr>
          <w:rFonts w:hint="eastAsia" w:ascii="仿宋_GB2312" w:hAnsi="仿宋_GB2312" w:eastAsia="仿宋_GB2312" w:cs="仿宋_GB2312"/>
          <w:sz w:val="32"/>
        </w:rPr>
        <w:t>民生、推动经济社会发展、维护国家安全、维持国家机构正常运转等方面的收支预算。</w:t>
      </w:r>
    </w:p>
    <w:p>
      <w:pPr>
        <w:pStyle w:val="4"/>
        <w:spacing w:line="321" w:lineRule="auto"/>
        <w:ind w:right="117" w:firstLine="640" w:firstLineChars="200"/>
        <w:rPr>
          <w:rFonts w:hint="eastAsia" w:ascii="仿宋_GB2312" w:hAnsi="仿宋_GB2312" w:eastAsia="仿宋_GB2312" w:cs="仿宋_GB2312"/>
        </w:rPr>
      </w:pPr>
      <w:r>
        <w:rPr>
          <w:rFonts w:hint="eastAsia" w:ascii="仿宋_GB2312" w:hAnsi="仿宋_GB2312" w:eastAsia="仿宋_GB2312" w:cs="仿宋_GB2312"/>
        </w:rPr>
        <w:t>2.一般公共预算支出：指按照现行中央政府与地方政府事权的划分，经同级人大批准，用于保障地方经济社会发展的各项支出。主要包括一般公共服务、公共安全、教育、科学技术、文化</w:t>
      </w:r>
    </w:p>
    <w:p>
      <w:pPr>
        <w:pStyle w:val="4"/>
        <w:spacing w:line="401" w:lineRule="exact"/>
        <w:ind w:left="100"/>
        <w:rPr>
          <w:rFonts w:hint="eastAsia" w:ascii="仿宋_GB2312" w:hAnsi="仿宋_GB2312" w:eastAsia="仿宋_GB2312" w:cs="仿宋_GB2312"/>
        </w:rPr>
      </w:pPr>
      <w:r>
        <w:rPr>
          <w:rFonts w:hint="eastAsia" w:ascii="仿宋_GB2312" w:hAnsi="仿宋_GB2312" w:eastAsia="仿宋_GB2312" w:cs="仿宋_GB2312"/>
        </w:rPr>
        <w:t>体育与传媒、社会保障和就业、医疗卫生、节能环保、城乡社区事务、农林水事务、交通运输、资</w:t>
      </w:r>
    </w:p>
    <w:p>
      <w:pPr>
        <w:pStyle w:val="4"/>
        <w:spacing w:before="138"/>
        <w:ind w:left="100"/>
        <w:rPr>
          <w:rFonts w:hint="eastAsia" w:ascii="仿宋_GB2312" w:hAnsi="仿宋_GB2312" w:eastAsia="仿宋_GB2312" w:cs="仿宋_GB2312"/>
        </w:rPr>
      </w:pPr>
      <w:r>
        <w:rPr>
          <w:rFonts w:hint="eastAsia" w:ascii="仿宋_GB2312" w:hAnsi="仿宋_GB2312" w:eastAsia="仿宋_GB2312" w:cs="仿宋_GB2312"/>
        </w:rPr>
        <w:t>源勘探电力信息等事务、商业服务业等事务、金融监管等事务、援助其他地区支出、国土资源气象</w:t>
      </w:r>
    </w:p>
    <w:p>
      <w:pPr>
        <w:spacing w:after="0"/>
        <w:rPr>
          <w:rFonts w:hint="eastAsia" w:ascii="仿宋_GB2312" w:hAnsi="仿宋_GB2312" w:eastAsia="仿宋_GB2312" w:cs="仿宋_GB2312"/>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p>
      <w:pPr>
        <w:pStyle w:val="4"/>
        <w:rPr>
          <w:rFonts w:hint="eastAsia" w:ascii="仿宋_GB2312" w:hAnsi="仿宋_GB2312" w:eastAsia="仿宋_GB2312" w:cs="仿宋_GB2312"/>
          <w:sz w:val="20"/>
        </w:rPr>
      </w:pPr>
    </w:p>
    <w:p>
      <w:pPr>
        <w:pStyle w:val="4"/>
        <w:rPr>
          <w:rFonts w:hint="eastAsia" w:ascii="仿宋_GB2312" w:hAnsi="仿宋_GB2312" w:eastAsia="仿宋_GB2312" w:cs="仿宋_GB2312"/>
          <w:sz w:val="20"/>
        </w:rPr>
      </w:pPr>
    </w:p>
    <w:p>
      <w:pPr>
        <w:pStyle w:val="4"/>
        <w:spacing w:before="1"/>
        <w:rPr>
          <w:rFonts w:hint="eastAsia" w:ascii="仿宋_GB2312" w:hAnsi="仿宋_GB2312" w:eastAsia="仿宋_GB2312" w:cs="仿宋_GB2312"/>
          <w:sz w:val="28"/>
        </w:rPr>
      </w:pPr>
    </w:p>
    <w:p>
      <w:pPr>
        <w:pStyle w:val="4"/>
        <w:spacing w:before="55"/>
        <w:ind w:left="100"/>
        <w:rPr>
          <w:rFonts w:hint="eastAsia" w:ascii="仿宋_GB2312" w:hAnsi="仿宋_GB2312" w:eastAsia="仿宋_GB2312" w:cs="仿宋_GB2312"/>
        </w:rPr>
      </w:pPr>
      <w:r>
        <w:rPr>
          <w:rFonts w:hint="eastAsia" w:ascii="仿宋_GB2312" w:hAnsi="仿宋_GB2312" w:eastAsia="仿宋_GB2312" w:cs="仿宋_GB2312"/>
        </w:rPr>
        <w:t>等事务、住房保障支出、粮油物资储备事务、预备费、国债还本付息支出和其他支出等。</w:t>
      </w:r>
    </w:p>
    <w:p>
      <w:pPr>
        <w:pStyle w:val="4"/>
        <w:spacing w:before="55"/>
        <w:ind w:left="100" w:firstLine="640" w:firstLineChars="200"/>
        <w:rPr>
          <w:rFonts w:hint="eastAsia" w:ascii="仿宋_GB2312" w:hAnsi="仿宋_GB2312" w:eastAsia="仿宋_GB2312" w:cs="仿宋_GB2312"/>
        </w:rPr>
      </w:pPr>
      <w:r>
        <w:rPr>
          <w:rFonts w:hint="eastAsia" w:ascii="仿宋_GB2312" w:hAnsi="仿宋_GB2312" w:eastAsia="仿宋_GB2312" w:cs="仿宋_GB2312"/>
        </w:rPr>
        <w:t xml:space="preserve"> 3.</w:t>
      </w:r>
      <w:r>
        <w:rPr>
          <w:rFonts w:hint="eastAsia" w:ascii="仿宋_GB2312" w:hAnsi="仿宋_GB2312" w:eastAsia="仿宋_GB2312" w:cs="仿宋_GB2312"/>
          <w:spacing w:val="-1"/>
        </w:rPr>
        <w:t>政府性基金预算：指对依照法律、行政法规的规定在一定期限内向特定对象征收、收取或</w:t>
      </w:r>
    </w:p>
    <w:p>
      <w:pPr>
        <w:pStyle w:val="4"/>
        <w:spacing w:line="321" w:lineRule="auto"/>
        <w:ind w:right="3339"/>
        <w:rPr>
          <w:rFonts w:hint="eastAsia" w:ascii="仿宋_GB2312" w:hAnsi="仿宋_GB2312" w:eastAsia="仿宋_GB2312" w:cs="仿宋_GB2312"/>
        </w:rPr>
      </w:pPr>
      <w:r>
        <w:rPr>
          <w:rFonts w:hint="eastAsia" w:ascii="仿宋_GB2312" w:hAnsi="仿宋_GB2312" w:eastAsia="仿宋_GB2312" w:cs="仿宋_GB2312"/>
        </w:rPr>
        <w:t>者以其他方式筹集的资金，专项用于特定公共事业发展的收支预算。</w:t>
      </w:r>
    </w:p>
    <w:p>
      <w:pPr>
        <w:pStyle w:val="4"/>
        <w:spacing w:line="321" w:lineRule="auto"/>
        <w:ind w:right="3339" w:firstLine="640" w:firstLineChars="200"/>
        <w:rPr>
          <w:rFonts w:hint="eastAsia" w:ascii="仿宋_GB2312" w:hAnsi="仿宋_GB2312" w:eastAsia="仿宋_GB2312" w:cs="仿宋_GB2312"/>
        </w:rPr>
      </w:pPr>
      <w:r>
        <w:rPr>
          <w:rFonts w:hint="eastAsia" w:ascii="仿宋_GB2312" w:hAnsi="仿宋_GB2312" w:eastAsia="仿宋_GB2312" w:cs="仿宋_GB2312"/>
        </w:rPr>
        <w:t xml:space="preserve"> 4.</w:t>
      </w:r>
      <w:r>
        <w:rPr>
          <w:rFonts w:hint="eastAsia" w:ascii="仿宋_GB2312" w:hAnsi="仿宋_GB2312" w:eastAsia="仿宋_GB2312" w:cs="仿宋_GB2312"/>
          <w:spacing w:val="-1"/>
        </w:rPr>
        <w:t>人员经费预算。是指行政事业单位财政供养人员的全年工资预算。</w:t>
      </w:r>
    </w:p>
    <w:p>
      <w:pPr>
        <w:pStyle w:val="4"/>
        <w:spacing w:line="321" w:lineRule="auto"/>
        <w:ind w:right="117" w:firstLine="640" w:firstLineChars="200"/>
        <w:rPr>
          <w:rFonts w:hint="eastAsia" w:ascii="仿宋_GB2312" w:hAnsi="仿宋_GB2312" w:eastAsia="仿宋_GB2312" w:cs="仿宋_GB2312"/>
        </w:rPr>
      </w:pPr>
      <w:r>
        <w:rPr>
          <w:rFonts w:hint="eastAsia" w:ascii="仿宋_GB2312" w:hAnsi="仿宋_GB2312" w:eastAsia="仿宋_GB2312" w:cs="仿宋_GB2312"/>
        </w:rPr>
        <w:t>5.公用经费预算。是指部门、单位基本支出中用于维持机构正常运转和履行工作职责所必须的日常性公共支出。主要包括办公费、印刷费、水费、电费、邮电费、取暖费、公务用车运行维</w:t>
      </w:r>
    </w:p>
    <w:p>
      <w:pPr>
        <w:pStyle w:val="4"/>
        <w:spacing w:line="406" w:lineRule="exact"/>
        <w:ind w:left="100"/>
        <w:rPr>
          <w:rFonts w:hint="eastAsia" w:ascii="仿宋_GB2312" w:hAnsi="仿宋_GB2312" w:eastAsia="仿宋_GB2312" w:cs="仿宋_GB2312"/>
        </w:rPr>
      </w:pPr>
      <w:r>
        <w:rPr>
          <w:rFonts w:hint="eastAsia" w:ascii="仿宋_GB2312" w:hAnsi="仿宋_GB2312" w:eastAsia="仿宋_GB2312" w:cs="仿宋_GB2312"/>
        </w:rPr>
        <w:t>护费、其他交通费用、差旅费、一般维修（护）费、小型会议费、培训费、公务接待费、工会经费</w:t>
      </w:r>
    </w:p>
    <w:p>
      <w:pPr>
        <w:pStyle w:val="4"/>
        <w:spacing w:before="138"/>
        <w:ind w:left="100"/>
        <w:rPr>
          <w:rFonts w:hint="eastAsia" w:ascii="仿宋_GB2312" w:hAnsi="仿宋_GB2312" w:eastAsia="仿宋_GB2312" w:cs="仿宋_GB2312"/>
          <w:lang w:eastAsia="zh-CN"/>
        </w:rPr>
      </w:pPr>
      <w:r>
        <w:rPr>
          <w:rFonts w:hint="eastAsia" w:ascii="仿宋_GB2312" w:hAnsi="仿宋_GB2312" w:eastAsia="仿宋_GB2312" w:cs="仿宋_GB2312"/>
        </w:rPr>
        <w:t>及其他商品服务支出等</w:t>
      </w:r>
      <w:r>
        <w:rPr>
          <w:rFonts w:hint="eastAsia" w:ascii="仿宋_GB2312" w:hAnsi="仿宋_GB2312" w:eastAsia="仿宋_GB2312" w:cs="仿宋_GB2312"/>
          <w:lang w:eastAsia="zh-CN"/>
        </w:rPr>
        <w:t>。</w:t>
      </w:r>
    </w:p>
    <w:p>
      <w:pPr>
        <w:pStyle w:val="4"/>
        <w:spacing w:before="138"/>
        <w:ind w:left="100" w:firstLine="640" w:firstLineChars="200"/>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spacing w:val="-1"/>
        </w:rPr>
        <w:t>一般公共预算基本支出。是指人员工资及公用经费支出。</w:t>
      </w:r>
    </w:p>
    <w:p>
      <w:pPr>
        <w:pStyle w:val="4"/>
        <w:spacing w:line="406" w:lineRule="exact"/>
        <w:ind w:right="139"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7.“三公”经费：指因公出国（境）经费、公务用车购置及运行维护费和公务接待费。其中：因公出国（境）经费是指行政单位、事业单位工作人员公务出国（境）的住宿费、旅费、伙食补助费、杂费、培训费等支出；公务用车购置及运行维护费指行政单位、事业单位公务用车购置费、公务用车租用费、燃料费、维修费、过桥过路费、保险费等支出；公务接待费指行政单位、事业单位按规定开支的各项公务接待（外宾接待）费用。</w:t>
      </w:r>
    </w:p>
    <w:p>
      <w:pPr>
        <w:pStyle w:val="4"/>
        <w:spacing w:line="406" w:lineRule="exact"/>
        <w:ind w:right="139"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spacing w:val="-1"/>
        </w:rPr>
        <w:t>非税收入：是指除税收以外，由各级政府、国家机关、事业单位、代行政府职能的社会团</w:t>
      </w:r>
      <w:r>
        <w:rPr>
          <w:rFonts w:hint="eastAsia" w:ascii="仿宋_GB2312" w:hAnsi="仿宋_GB2312" w:eastAsia="仿宋_GB2312" w:cs="仿宋_GB2312"/>
        </w:rPr>
        <w:t>体及其他组织依法利用政府权力、政府信誉、国家资源、国有资产或提供特定公共服务、准公共服务取得的财政性资金，是政府财政收入的重要组成部分。</w:t>
      </w:r>
    </w:p>
    <w:p>
      <w:pPr>
        <w:pStyle w:val="4"/>
        <w:spacing w:line="406" w:lineRule="exact"/>
        <w:ind w:right="139"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spacing w:val="-1"/>
        </w:rPr>
        <w:t>专项收入：是政府非税收入的重要组成部分，包括排污费收入、水资源费收入、教育费附</w:t>
      </w:r>
      <w:r>
        <w:rPr>
          <w:rFonts w:hint="eastAsia" w:ascii="仿宋_GB2312" w:hAnsi="仿宋_GB2312" w:eastAsia="仿宋_GB2312" w:cs="仿宋_GB2312"/>
        </w:rPr>
        <w:t>加收入、 地方教育费附加收入、森林植被恢复费等。</w:t>
      </w:r>
    </w:p>
    <w:p>
      <w:pPr>
        <w:pStyle w:val="4"/>
        <w:spacing w:line="406" w:lineRule="exact"/>
        <w:ind w:right="139" w:firstLine="640" w:firstLineChars="200"/>
        <w:jc w:val="both"/>
      </w:pPr>
    </w:p>
    <w:p>
      <w:pPr>
        <w:pStyle w:val="4"/>
        <w:spacing w:line="406" w:lineRule="exact"/>
        <w:ind w:right="139" w:firstLine="640" w:firstLineChars="200"/>
        <w:jc w:val="both"/>
      </w:pPr>
    </w:p>
    <w:p>
      <w:pPr>
        <w:pStyle w:val="3"/>
        <w:ind w:left="5923" w:right="5143"/>
        <w:jc w:val="center"/>
      </w:pPr>
      <w:r>
        <w:rPr>
          <w:spacing w:val="15"/>
        </w:rPr>
        <w:t>第四部分 公开报表</w:t>
      </w:r>
    </w:p>
    <w:p>
      <w:pPr>
        <w:spacing w:before="109"/>
        <w:ind w:left="460" w:right="0" w:firstLine="0"/>
        <w:jc w:val="center"/>
        <w:rPr>
          <w:b/>
          <w:sz w:val="28"/>
        </w:rPr>
      </w:pPr>
      <w:r>
        <w:rPr>
          <w:b/>
          <w:w w:val="99"/>
          <w:sz w:val="28"/>
        </w:rPr>
        <w:t xml:space="preserve">   </w:t>
      </w:r>
      <w:r>
        <w:rPr>
          <w:b/>
          <w:w w:val="95"/>
          <w:sz w:val="28"/>
        </w:rPr>
        <w:t>(具体部门预算公开报表)</w:t>
      </w:r>
    </w:p>
    <w:p>
      <w:pPr>
        <w:spacing w:before="123"/>
        <w:ind w:left="1610" w:right="0" w:firstLine="0"/>
        <w:jc w:val="left"/>
        <w:rPr>
          <w:rFonts w:hint="eastAsia" w:ascii="黑体" w:eastAsia="黑体"/>
          <w:b/>
          <w:sz w:val="84"/>
        </w:rPr>
      </w:pPr>
      <w:r>
        <w:rPr>
          <w:rFonts w:hint="eastAsia" w:ascii="黑体" w:eastAsia="黑体"/>
          <w:b/>
          <w:sz w:val="84"/>
        </w:rPr>
        <w:t>2021年部门综合预算公开报表</w:t>
      </w:r>
    </w:p>
    <w:p>
      <w:pPr>
        <w:pStyle w:val="4"/>
        <w:rPr>
          <w:rFonts w:ascii="黑体"/>
          <w:b/>
          <w:sz w:val="84"/>
        </w:rPr>
      </w:pPr>
    </w:p>
    <w:p>
      <w:pPr>
        <w:pStyle w:val="4"/>
        <w:spacing w:before="8"/>
        <w:rPr>
          <w:rFonts w:ascii="黑体"/>
          <w:b/>
          <w:sz w:val="81"/>
        </w:rPr>
      </w:pPr>
    </w:p>
    <w:p>
      <w:pPr>
        <w:spacing w:before="1" w:line="321" w:lineRule="auto"/>
        <w:ind w:left="4580" w:right="3979" w:firstLine="0"/>
        <w:jc w:val="left"/>
        <w:rPr>
          <w:rFonts w:hint="eastAsia" w:ascii="黑体" w:eastAsia="黑体"/>
          <w:b/>
          <w:sz w:val="28"/>
        </w:rPr>
      </w:pPr>
      <w:r>
        <w:rPr>
          <w:rFonts w:hint="eastAsia" w:ascii="黑体" w:eastAsia="黑体"/>
          <w:b/>
          <w:w w:val="95"/>
          <w:sz w:val="28"/>
        </w:rPr>
        <w:t>部门名称：中国共产党靖边县纪律检查委员会</w:t>
      </w:r>
      <w:r>
        <w:rPr>
          <w:rFonts w:hint="eastAsia" w:ascii="黑体" w:eastAsia="黑体"/>
          <w:b/>
          <w:sz w:val="28"/>
        </w:rPr>
        <w:t>保密审查情况：已审查</w:t>
      </w:r>
    </w:p>
    <w:p>
      <w:pPr>
        <w:spacing w:before="0" w:line="356" w:lineRule="exact"/>
        <w:ind w:left="4580" w:right="0" w:firstLine="0"/>
        <w:jc w:val="left"/>
        <w:rPr>
          <w:rFonts w:hint="eastAsia" w:ascii="黑体" w:eastAsia="黑体"/>
          <w:sz w:val="28"/>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r>
        <w:rPr>
          <w:rFonts w:hint="eastAsia" w:ascii="黑体" w:eastAsia="黑体"/>
          <w:b/>
          <w:sz w:val="28"/>
        </w:rPr>
        <w:t>部门主要负责人审签情况：已审签</w:t>
      </w:r>
    </w:p>
    <w:p>
      <w:pPr>
        <w:pStyle w:val="3"/>
        <w:spacing w:before="55" w:after="10"/>
        <w:ind w:left="460" w:right="479"/>
        <w:jc w:val="center"/>
        <w:rPr>
          <w:rFonts w:hint="eastAsia" w:ascii="黑体" w:eastAsia="黑体"/>
        </w:rPr>
      </w:pPr>
      <w:r>
        <w:rPr>
          <w:rFonts w:hint="eastAsia" w:ascii="黑体" w:eastAsia="黑体"/>
        </w:rPr>
        <w:t>目录</w:t>
      </w:r>
    </w:p>
    <w:tbl>
      <w:tblPr>
        <w:tblStyle w:val="7"/>
        <w:tblW w:w="0" w:type="auto"/>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8800"/>
        <w:gridCol w:w="1368"/>
        <w:gridCol w:w="2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bottom w:val="single" w:color="000000" w:sz="8" w:space="0"/>
              <w:right w:val="single" w:color="000000" w:sz="8" w:space="0"/>
            </w:tcBorders>
          </w:tcPr>
          <w:p>
            <w:pPr>
              <w:pStyle w:val="11"/>
              <w:spacing w:before="160" w:line="220" w:lineRule="exact"/>
              <w:ind w:left="229"/>
              <w:rPr>
                <w:sz w:val="20"/>
              </w:rPr>
            </w:pPr>
            <w:r>
              <w:rPr>
                <w:sz w:val="20"/>
              </w:rPr>
              <w:t>序号</w:t>
            </w:r>
          </w:p>
        </w:tc>
        <w:tc>
          <w:tcPr>
            <w:tcW w:w="8800" w:type="dxa"/>
            <w:tcBorders>
              <w:left w:val="single" w:color="000000" w:sz="8" w:space="0"/>
              <w:bottom w:val="single" w:color="000000" w:sz="8" w:space="0"/>
              <w:right w:val="single" w:color="000000" w:sz="8" w:space="0"/>
            </w:tcBorders>
          </w:tcPr>
          <w:p>
            <w:pPr>
              <w:pStyle w:val="11"/>
              <w:spacing w:before="160" w:line="220" w:lineRule="exact"/>
              <w:ind w:left="4175" w:right="4165"/>
              <w:jc w:val="center"/>
              <w:rPr>
                <w:sz w:val="20"/>
              </w:rPr>
            </w:pPr>
            <w:r>
              <w:rPr>
                <w:sz w:val="20"/>
              </w:rPr>
              <w:t>报表</w:t>
            </w:r>
          </w:p>
        </w:tc>
        <w:tc>
          <w:tcPr>
            <w:tcW w:w="1368" w:type="dxa"/>
            <w:tcBorders>
              <w:left w:val="single" w:color="000000" w:sz="8" w:space="0"/>
              <w:bottom w:val="single" w:color="000000" w:sz="8" w:space="0"/>
              <w:right w:val="single" w:color="000000" w:sz="8" w:space="0"/>
            </w:tcBorders>
          </w:tcPr>
          <w:p>
            <w:pPr>
              <w:pStyle w:val="11"/>
              <w:spacing w:before="160" w:line="220" w:lineRule="exact"/>
              <w:ind w:left="278"/>
              <w:rPr>
                <w:sz w:val="20"/>
              </w:rPr>
            </w:pPr>
            <w:r>
              <w:rPr>
                <w:sz w:val="20"/>
              </w:rPr>
              <w:t>是否空表</w:t>
            </w:r>
          </w:p>
        </w:tc>
        <w:tc>
          <w:tcPr>
            <w:tcW w:w="2617" w:type="dxa"/>
            <w:tcBorders>
              <w:left w:val="single" w:color="000000" w:sz="8" w:space="0"/>
              <w:bottom w:val="single" w:color="000000" w:sz="8" w:space="0"/>
            </w:tcBorders>
          </w:tcPr>
          <w:p>
            <w:pPr>
              <w:pStyle w:val="11"/>
              <w:spacing w:before="160" w:line="220" w:lineRule="exact"/>
              <w:ind w:left="805"/>
              <w:rPr>
                <w:sz w:val="20"/>
              </w:rPr>
            </w:pPr>
            <w:r>
              <w:rPr>
                <w:sz w:val="20"/>
              </w:rPr>
              <w:t>公开表理由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2021年部门综合预算收支总表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表2</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2021年部门综合预算收入总表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表3</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2021年部门综合预算支出总表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表4</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2021年部门综合预算财政拨款收支总表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表5</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2021年部门综合预算一般公共预算支出明细表（按支出功能分类科目）</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表6</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2021年部门综合预算一般公共预算支出明细表（按支出经济分类科目）</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表7</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2021年部门综合预算一般公共预算基本支出明细表（按支出功能分类科目）</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表8</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2021年部门综合预算一般公共预算基本支出明细表（按支出经济分类科目）</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表9</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2021年部门综合预算政府性基金收支表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表10</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2021年部门综合预算专项业务经费支出表(不含上年结转)</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表11</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2021年部门综合预算财政拨款上年结转资金支出表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表12</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2021年部门综合预算政府采购（资产配置、购买服务）预算表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表13</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2021年部门综合预算一般公共预算拨款“三公”经费及会议费、培训费支出预算表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表14</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2021年部门预算专项业务经费绩效目标表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bottom w:val="single" w:color="000000" w:sz="8" w:space="0"/>
              <w:right w:val="single" w:color="000000" w:sz="8" w:space="0"/>
            </w:tcBorders>
          </w:tcPr>
          <w:p>
            <w:pPr>
              <w:pStyle w:val="11"/>
              <w:spacing w:before="160" w:line="220" w:lineRule="exact"/>
              <w:ind w:left="33"/>
              <w:rPr>
                <w:sz w:val="20"/>
              </w:rPr>
            </w:pPr>
            <w:r>
              <w:rPr>
                <w:sz w:val="20"/>
              </w:rPr>
              <w:t>表15</w:t>
            </w:r>
          </w:p>
        </w:tc>
        <w:tc>
          <w:tcPr>
            <w:tcW w:w="8800"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33"/>
              <w:rPr>
                <w:sz w:val="20"/>
              </w:rPr>
            </w:pPr>
            <w:r>
              <w:rPr>
                <w:sz w:val="20"/>
              </w:rPr>
              <w:t>2021年部门整体支出绩效目标表</w:t>
            </w:r>
          </w:p>
        </w:tc>
        <w:tc>
          <w:tcPr>
            <w:tcW w:w="1368" w:type="dxa"/>
            <w:tcBorders>
              <w:top w:val="single" w:color="000000" w:sz="8" w:space="0"/>
              <w:left w:val="single" w:color="000000" w:sz="8" w:space="0"/>
              <w:bottom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bottom w:val="single" w:color="000000" w:sz="8" w:space="0"/>
            </w:tcBorders>
          </w:tcPr>
          <w:p>
            <w:pPr>
              <w:pStyle w:val="11"/>
              <w:spacing w:before="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3" w:type="dxa"/>
            <w:tcBorders>
              <w:top w:val="single" w:color="000000" w:sz="8" w:space="0"/>
              <w:right w:val="single" w:color="000000" w:sz="8" w:space="0"/>
            </w:tcBorders>
          </w:tcPr>
          <w:p>
            <w:pPr>
              <w:pStyle w:val="11"/>
              <w:spacing w:before="160" w:line="220" w:lineRule="exact"/>
              <w:ind w:left="33"/>
              <w:rPr>
                <w:sz w:val="20"/>
              </w:rPr>
            </w:pPr>
            <w:r>
              <w:rPr>
                <w:sz w:val="20"/>
              </w:rPr>
              <w:t>表16</w:t>
            </w:r>
          </w:p>
        </w:tc>
        <w:tc>
          <w:tcPr>
            <w:tcW w:w="8800" w:type="dxa"/>
            <w:tcBorders>
              <w:top w:val="single" w:color="000000" w:sz="8" w:space="0"/>
              <w:left w:val="single" w:color="000000" w:sz="8" w:space="0"/>
              <w:right w:val="single" w:color="000000" w:sz="8" w:space="0"/>
            </w:tcBorders>
          </w:tcPr>
          <w:p>
            <w:pPr>
              <w:pStyle w:val="11"/>
              <w:spacing w:before="160" w:line="220" w:lineRule="exact"/>
              <w:ind w:left="33"/>
              <w:rPr>
                <w:sz w:val="20"/>
              </w:rPr>
            </w:pPr>
            <w:r>
              <w:rPr>
                <w:sz w:val="20"/>
              </w:rPr>
              <w:t>2021年专项资金总体绩效目标表</w:t>
            </w:r>
          </w:p>
        </w:tc>
        <w:tc>
          <w:tcPr>
            <w:tcW w:w="1368" w:type="dxa"/>
            <w:tcBorders>
              <w:top w:val="single" w:color="000000" w:sz="8" w:space="0"/>
              <w:left w:val="single" w:color="000000" w:sz="8" w:space="0"/>
              <w:right w:val="single" w:color="000000" w:sz="8" w:space="0"/>
            </w:tcBorders>
          </w:tcPr>
          <w:p>
            <w:pPr>
              <w:pStyle w:val="11"/>
              <w:spacing w:before="160" w:line="220" w:lineRule="exact"/>
              <w:ind w:left="232"/>
              <w:rPr>
                <w:sz w:val="20"/>
              </w:rPr>
            </w:pPr>
            <w:r>
              <w:rPr>
                <w:sz w:val="20"/>
              </w:rPr>
              <w:t>否</w:t>
            </w:r>
          </w:p>
        </w:tc>
        <w:tc>
          <w:tcPr>
            <w:tcW w:w="2617" w:type="dxa"/>
            <w:tcBorders>
              <w:top w:val="single" w:color="000000" w:sz="8" w:space="0"/>
              <w:left w:val="single" w:color="000000" w:sz="8" w:space="0"/>
            </w:tcBorders>
          </w:tcPr>
          <w:p>
            <w:pPr>
              <w:pStyle w:val="11"/>
              <w:spacing w:before="0"/>
              <w:rPr>
                <w:rFonts w:ascii="Times New Roman"/>
                <w:sz w:val="18"/>
              </w:rPr>
            </w:pPr>
          </w:p>
        </w:tc>
      </w:tr>
    </w:tbl>
    <w:p>
      <w:pPr>
        <w:spacing w:before="231"/>
        <w:ind w:left="100" w:right="0" w:firstLine="0"/>
        <w:jc w:val="left"/>
        <w:rPr>
          <w:sz w:val="18"/>
        </w:rPr>
      </w:pPr>
      <w:r>
        <w:rPr>
          <w:sz w:val="18"/>
        </w:rPr>
        <w:t>注：1、封面和目录的格式不得随意改变。2、公开空表一定要在目录说明理由。3、市 县部门涉及公开扶贫项目资金绩效目标表的，请在重点项目绩效目标表中添加公开。</w:t>
      </w:r>
    </w:p>
    <w:p>
      <w:pPr>
        <w:spacing w:after="0"/>
        <w:jc w:val="left"/>
        <w:rPr>
          <w:sz w:val="18"/>
        </w:rPr>
        <w:sectPr>
          <w:pgSz w:w="16820" w:h="11900" w:orient="landscape"/>
          <w:pgMar w:top="1100" w:right="1320" w:bottom="280" w:left="1340" w:header="720" w:footer="720" w:gutter="0"/>
          <w:pgBorders w:offsetFrom="page">
            <w:top w:val="none" w:sz="0" w:space="0"/>
            <w:left w:val="none" w:sz="0" w:space="0"/>
            <w:bottom w:val="none" w:sz="0" w:space="0"/>
            <w:right w:val="none" w:sz="0" w:space="0"/>
          </w:pgBorders>
          <w:cols w:space="720" w:num="1"/>
        </w:sectPr>
      </w:pPr>
    </w:p>
    <w:tbl>
      <w:tblPr>
        <w:tblW w:w="13973" w:type="dxa"/>
        <w:tblInd w:w="0" w:type="dxa"/>
        <w:shd w:val="clear"/>
        <w:tblLayout w:type="fixed"/>
        <w:tblCellMar>
          <w:top w:w="0" w:type="dxa"/>
          <w:left w:w="0" w:type="dxa"/>
          <w:bottom w:w="0" w:type="dxa"/>
          <w:right w:w="0" w:type="dxa"/>
        </w:tblCellMar>
      </w:tblPr>
      <w:tblGrid>
        <w:gridCol w:w="1145"/>
        <w:gridCol w:w="2046"/>
        <w:gridCol w:w="1244"/>
        <w:gridCol w:w="1536"/>
        <w:gridCol w:w="1316"/>
        <w:gridCol w:w="1638"/>
        <w:gridCol w:w="235"/>
        <w:gridCol w:w="1380"/>
        <w:gridCol w:w="1888"/>
        <w:gridCol w:w="1545"/>
      </w:tblGrid>
      <w:tr>
        <w:tblPrEx>
          <w:shd w:val="clear"/>
          <w:tblCellMar>
            <w:top w:w="0" w:type="dxa"/>
            <w:left w:w="0" w:type="dxa"/>
            <w:bottom w:w="0" w:type="dxa"/>
            <w:right w:w="0" w:type="dxa"/>
          </w:tblCellMar>
        </w:tblPrEx>
        <w:trPr>
          <w:trHeight w:val="443" w:hRule="atLeast"/>
        </w:trPr>
        <w:tc>
          <w:tcPr>
            <w:tcW w:w="13973" w:type="dxa"/>
            <w:gridSpan w:val="10"/>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2021年部门综合预算收支总表</w:t>
            </w:r>
          </w:p>
        </w:tc>
      </w:tr>
      <w:tr>
        <w:tblPrEx>
          <w:tblCellMar>
            <w:top w:w="0" w:type="dxa"/>
            <w:left w:w="0" w:type="dxa"/>
            <w:bottom w:w="0" w:type="dxa"/>
            <w:right w:w="0" w:type="dxa"/>
          </w:tblCellMar>
        </w:tblPrEx>
        <w:trPr>
          <w:trHeight w:val="124" w:hRule="atLeast"/>
        </w:trPr>
        <w:tc>
          <w:tcPr>
            <w:tcW w:w="8925" w:type="dxa"/>
            <w:gridSpan w:val="6"/>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5048" w:type="dxa"/>
            <w:gridSpan w:val="4"/>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239" w:hRule="atLeast"/>
        </w:trPr>
        <w:tc>
          <w:tcPr>
            <w:tcW w:w="11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32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收                   入</w:t>
            </w:r>
          </w:p>
        </w:tc>
        <w:tc>
          <w:tcPr>
            <w:tcW w:w="9538"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                        出</w:t>
            </w:r>
          </w:p>
        </w:tc>
      </w:tr>
      <w:tr>
        <w:tblPrEx>
          <w:tblCellMar>
            <w:top w:w="0" w:type="dxa"/>
            <w:left w:w="0" w:type="dxa"/>
            <w:bottom w:w="0" w:type="dxa"/>
            <w:right w:w="0" w:type="dxa"/>
          </w:tblCellMar>
        </w:tblPrEx>
        <w:trPr>
          <w:trHeight w:val="663" w:hRule="atLeast"/>
        </w:trPr>
        <w:tc>
          <w:tcPr>
            <w:tcW w:w="11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    目</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支出功能分科目（按大类）</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部门预算支出经济科目（按大类）</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政府预算支出经济分类科目（按大类）</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一、部门预算</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一、部门预算</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一、部门预算</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一、部门预算</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1、财政拨款</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1、一般公共服务支出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13105069.88</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1、人员经费和公用经费支出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13930584.00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1、机关工资福利支出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(1)一般公共预算拨款</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2、外交支出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(1)工资福利支出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2、机关商品和服务支出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4782200.00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其中：专项资金列入部门预算的项目</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3、国防支出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(2)商品和服务支出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3112400.00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3、机关资本性支出（一）</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(2)政府性基金拨款</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4、公共安全支出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(3)对个人和家庭的补助</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4、机关资本性支出（二）</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(3)国有资本经营预算收入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5、教育支出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(4)资本性支出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5、对事业单位经常性补助</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2、上级补助收入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6、科学技术支出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2、专项业务经费支出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6、对事业单位资本性补助</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3、事业收入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7、文化旅游体育与传媒支出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(1)工资福利支出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7、对企业补助</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其中：纳入财政专户管理的收费</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8、社会保障和就业支出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(2)商品和服务支出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8、对企业资本性支出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4、事业单位经营收入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9、社会保险基金支出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(3)对个人和家庭补助</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9、对个人和家庭的补助</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5、附属单位上缴收入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10、卫生健康支出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(4)债务利息及费用支出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10、对社会保障基金补助</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6、其他收入</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11、节能环保支出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(5)资本性支出(基本建设)</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11、债务利息及费用支出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12、城乡社区支出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(6)资本性支出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12、债务还本支出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13、农林水支出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(7)对企业补助(基本建设)</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13、转移性支出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28"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14、交通运输支出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(8)对企业补助</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14、预备费及预留</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9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15、资源勘探工业信息等支出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(9)对社会保障基金补助</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15、其他支出</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16、商业服务业等支出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(10)其他支出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17、金融支出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3、上缴上级支出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18、援助其他地区支出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4、事业单位经营支出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19、自然资源海洋气象等支出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5、对附属单位补助支出</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73"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20、住房保障支出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73"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21、粮油物资储备支出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22、国有资本经营预算支出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23、灾害防治及应急管理支出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24、预备费</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25、其他支出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26、转移性支出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27、债务还本支出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28、债务付息支出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29、债务发行费用支出</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75"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45"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本年收入合计</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用事业基金弥补收支差额</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上年实户资金余额</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未安排支出的实户资金</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未安排支出的实户资金</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未安排支出的实户资金</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29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上年结转</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其中：财政拨款资金结转</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38</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非财政拨款资金结余</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39</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11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w:t>
            </w:r>
          </w:p>
        </w:tc>
        <w:tc>
          <w:tcPr>
            <w:tcW w:w="20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收入总计</w:t>
            </w:r>
          </w:p>
        </w:tc>
        <w:tc>
          <w:tcPr>
            <w:tcW w:w="124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7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8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5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bl>
    <w:p/>
    <w:p/>
    <w:tbl>
      <w:tblPr>
        <w:tblW w:w="11505" w:type="dxa"/>
        <w:jc w:val="center"/>
        <w:shd w:val="clear"/>
        <w:tblLayout w:type="autofit"/>
        <w:tblCellMar>
          <w:top w:w="0" w:type="dxa"/>
          <w:left w:w="0" w:type="dxa"/>
          <w:bottom w:w="0" w:type="dxa"/>
          <w:right w:w="0" w:type="dxa"/>
        </w:tblCellMar>
      </w:tblPr>
      <w:tblGrid>
        <w:gridCol w:w="282"/>
        <w:gridCol w:w="698"/>
        <w:gridCol w:w="1003"/>
        <w:gridCol w:w="1362"/>
        <w:gridCol w:w="1433"/>
        <w:gridCol w:w="958"/>
        <w:gridCol w:w="561"/>
        <w:gridCol w:w="491"/>
        <w:gridCol w:w="434"/>
        <w:gridCol w:w="547"/>
        <w:gridCol w:w="703"/>
        <w:gridCol w:w="731"/>
        <w:gridCol w:w="618"/>
        <w:gridCol w:w="745"/>
        <w:gridCol w:w="939"/>
      </w:tblGrid>
      <w:tr>
        <w:tblPrEx>
          <w:shd w:val="clear"/>
          <w:tblCellMar>
            <w:top w:w="0" w:type="dxa"/>
            <w:left w:w="0" w:type="dxa"/>
            <w:bottom w:w="0" w:type="dxa"/>
            <w:right w:w="0" w:type="dxa"/>
          </w:tblCellMar>
        </w:tblPrEx>
        <w:trPr>
          <w:trHeight w:val="799" w:hRule="atLeast"/>
          <w:jc w:val="center"/>
        </w:trPr>
        <w:tc>
          <w:tcPr>
            <w:tcW w:w="11505" w:type="dxa"/>
            <w:gridSpan w:val="15"/>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2021年部门综合预算收入总表</w:t>
            </w:r>
          </w:p>
        </w:tc>
      </w:tr>
      <w:tr>
        <w:tblPrEx>
          <w:tblCellMar>
            <w:top w:w="0" w:type="dxa"/>
            <w:left w:w="0" w:type="dxa"/>
            <w:bottom w:w="0" w:type="dxa"/>
            <w:right w:w="0" w:type="dxa"/>
          </w:tblCellMar>
        </w:tblPrEx>
        <w:trPr>
          <w:trHeight w:val="499" w:hRule="atLeast"/>
          <w:jc w:val="center"/>
        </w:trPr>
        <w:tc>
          <w:tcPr>
            <w:tcW w:w="0" w:type="auto"/>
            <w:gridSpan w:val="14"/>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jc w:val="center"/>
        </w:trPr>
        <w:tc>
          <w:tcPr>
            <w:tcW w:w="2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单位编码</w:t>
            </w:r>
          </w:p>
        </w:tc>
        <w:tc>
          <w:tcPr>
            <w:tcW w:w="10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单位名称</w:t>
            </w:r>
          </w:p>
        </w:tc>
        <w:tc>
          <w:tcPr>
            <w:tcW w:w="9660" w:type="dxa"/>
            <w:gridSpan w:val="1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w:t>
            </w:r>
          </w:p>
        </w:tc>
      </w:tr>
      <w:tr>
        <w:tblPrEx>
          <w:tblCellMar>
            <w:top w:w="0" w:type="dxa"/>
            <w:left w:w="0" w:type="dxa"/>
            <w:bottom w:w="0" w:type="dxa"/>
            <w:right w:w="0" w:type="dxa"/>
          </w:tblCellMar>
        </w:tblPrEx>
        <w:trPr>
          <w:trHeight w:val="499" w:hRule="atLeast"/>
          <w:jc w:val="center"/>
        </w:trPr>
        <w:tc>
          <w:tcPr>
            <w:tcW w:w="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243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一般公共预算拨款</w:t>
            </w:r>
          </w:p>
        </w:tc>
        <w:tc>
          <w:tcPr>
            <w:tcW w:w="5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政府性基金拨款</w:t>
            </w:r>
          </w:p>
        </w:tc>
        <w:tc>
          <w:tcPr>
            <w:tcW w:w="4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上级补助收入</w:t>
            </w:r>
          </w:p>
        </w:tc>
        <w:tc>
          <w:tcPr>
            <w:tcW w:w="4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事业收入</w:t>
            </w:r>
          </w:p>
        </w:tc>
        <w:tc>
          <w:tcPr>
            <w:tcW w:w="5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事业单位经营收入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对附属单位上缴收入</w:t>
            </w:r>
          </w:p>
        </w:tc>
        <w:tc>
          <w:tcPr>
            <w:tcW w:w="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用事业基金弥补收支差额</w:t>
            </w:r>
          </w:p>
        </w:tc>
        <w:tc>
          <w:tcPr>
            <w:tcW w:w="6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上年结转</w:t>
            </w:r>
          </w:p>
        </w:tc>
        <w:tc>
          <w:tcPr>
            <w:tcW w:w="7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上年实户资金余额</w:t>
            </w:r>
          </w:p>
        </w:tc>
        <w:tc>
          <w:tcPr>
            <w:tcW w:w="94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其他收入</w:t>
            </w:r>
          </w:p>
        </w:tc>
      </w:tr>
      <w:tr>
        <w:tblPrEx>
          <w:tblCellMar>
            <w:top w:w="0" w:type="dxa"/>
            <w:left w:w="0" w:type="dxa"/>
            <w:bottom w:w="0" w:type="dxa"/>
            <w:right w:w="0" w:type="dxa"/>
          </w:tblCellMar>
        </w:tblPrEx>
        <w:trPr>
          <w:trHeight w:val="499" w:hRule="atLeast"/>
          <w:jc w:val="center"/>
        </w:trPr>
        <w:tc>
          <w:tcPr>
            <w:tcW w:w="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小计</w:t>
            </w:r>
          </w:p>
        </w:tc>
        <w:tc>
          <w:tcPr>
            <w:tcW w:w="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其中：专项资金列入部门预算项目</w:t>
            </w:r>
          </w:p>
        </w:tc>
        <w:tc>
          <w:tcPr>
            <w:tcW w:w="5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r>
      <w:tr>
        <w:tblPrEx>
          <w:tblCellMar>
            <w:top w:w="0" w:type="dxa"/>
            <w:left w:w="0" w:type="dxa"/>
            <w:bottom w:w="0" w:type="dxa"/>
            <w:right w:w="0" w:type="dxa"/>
          </w:tblCellMar>
        </w:tblPrEx>
        <w:trPr>
          <w:trHeight w:val="735" w:hRule="atLeast"/>
          <w:jc w:val="center"/>
        </w:trPr>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735" w:hRule="atLeast"/>
          <w:jc w:val="center"/>
        </w:trPr>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中国共产党靖边县纪律检查委员会</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735" w:hRule="atLeast"/>
          <w:jc w:val="center"/>
        </w:trPr>
        <w:tc>
          <w:tcPr>
            <w:tcW w:w="2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w:t>
            </w:r>
          </w:p>
        </w:tc>
        <w:tc>
          <w:tcPr>
            <w:tcW w:w="10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中国共产党靖边县纪律检查委员会</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bl>
    <w:p/>
    <w:p/>
    <w:p/>
    <w:p/>
    <w:p/>
    <w:p/>
    <w:p>
      <w:pPr>
        <w:rPr>
          <w:rFonts w:hint="default" w:eastAsia="宋体"/>
          <w:lang w:val="en-US" w:eastAsia="zh-CN"/>
        </w:rPr>
      </w:pPr>
    </w:p>
    <w:p/>
    <w:p/>
    <w:p/>
    <w:p/>
    <w:p/>
    <w:p/>
    <w:p/>
    <w:p/>
    <w:p/>
    <w:tbl>
      <w:tblPr>
        <w:tblW w:w="13545" w:type="dxa"/>
        <w:jc w:val="center"/>
        <w:shd w:val="clear"/>
        <w:tblLayout w:type="autofit"/>
        <w:tblCellMar>
          <w:top w:w="0" w:type="dxa"/>
          <w:left w:w="0" w:type="dxa"/>
          <w:bottom w:w="0" w:type="dxa"/>
          <w:right w:w="0" w:type="dxa"/>
        </w:tblCellMar>
      </w:tblPr>
      <w:tblGrid>
        <w:gridCol w:w="297"/>
        <w:gridCol w:w="698"/>
        <w:gridCol w:w="1127"/>
        <w:gridCol w:w="1436"/>
        <w:gridCol w:w="1567"/>
        <w:gridCol w:w="842"/>
        <w:gridCol w:w="609"/>
        <w:gridCol w:w="580"/>
        <w:gridCol w:w="944"/>
        <w:gridCol w:w="1118"/>
        <w:gridCol w:w="1264"/>
        <w:gridCol w:w="1365"/>
        <w:gridCol w:w="1698"/>
      </w:tblGrid>
      <w:tr>
        <w:tblPrEx>
          <w:tblCellMar>
            <w:top w:w="0" w:type="dxa"/>
            <w:left w:w="0" w:type="dxa"/>
            <w:bottom w:w="0" w:type="dxa"/>
            <w:right w:w="0" w:type="dxa"/>
          </w:tblCellMar>
        </w:tblPrEx>
        <w:trPr>
          <w:trHeight w:val="799" w:hRule="atLeast"/>
          <w:jc w:val="center"/>
        </w:trPr>
        <w:tc>
          <w:tcPr>
            <w:tcW w:w="13545" w:type="dxa"/>
            <w:gridSpan w:val="13"/>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2021年部门综合预算支出总表</w:t>
            </w:r>
          </w:p>
        </w:tc>
      </w:tr>
      <w:tr>
        <w:tblPrEx>
          <w:tblCellMar>
            <w:top w:w="0" w:type="dxa"/>
            <w:left w:w="0" w:type="dxa"/>
            <w:bottom w:w="0" w:type="dxa"/>
            <w:right w:w="0" w:type="dxa"/>
          </w:tblCellMar>
        </w:tblPrEx>
        <w:trPr>
          <w:trHeight w:val="499" w:hRule="atLeast"/>
          <w:jc w:val="center"/>
        </w:trPr>
        <w:tc>
          <w:tcPr>
            <w:tcW w:w="0" w:type="auto"/>
            <w:gridSpan w:val="1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jc w:val="center"/>
        </w:trPr>
        <w:tc>
          <w:tcPr>
            <w:tcW w:w="30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5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单位编码</w:t>
            </w:r>
          </w:p>
        </w:tc>
        <w:tc>
          <w:tcPr>
            <w:tcW w:w="11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单位名称</w:t>
            </w:r>
          </w:p>
        </w:tc>
        <w:tc>
          <w:tcPr>
            <w:tcW w:w="11580" w:type="dxa"/>
            <w:gridSpan w:val="10"/>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w:t>
            </w:r>
          </w:p>
        </w:tc>
      </w:tr>
      <w:tr>
        <w:tblPrEx>
          <w:tblCellMar>
            <w:top w:w="0" w:type="dxa"/>
            <w:left w:w="0" w:type="dxa"/>
            <w:bottom w:w="0" w:type="dxa"/>
            <w:right w:w="0" w:type="dxa"/>
          </w:tblCellMar>
        </w:tblPrEx>
        <w:trPr>
          <w:trHeight w:val="49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243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公共预算拨款</w:t>
            </w:r>
          </w:p>
        </w:tc>
        <w:tc>
          <w:tcPr>
            <w:tcW w:w="6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政府性基金拨款</w:t>
            </w:r>
          </w:p>
        </w:tc>
        <w:tc>
          <w:tcPr>
            <w:tcW w:w="5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事业收入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事业单位经营收入</w:t>
            </w:r>
          </w:p>
        </w:tc>
        <w:tc>
          <w:tcPr>
            <w:tcW w:w="11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对附属单位上缴收入</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上年实户资金余额</w:t>
            </w:r>
          </w:p>
        </w:tc>
        <w:tc>
          <w:tcPr>
            <w:tcW w:w="13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其他收入</w:t>
            </w:r>
          </w:p>
        </w:tc>
        <w:tc>
          <w:tcPr>
            <w:tcW w:w="17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上年结转</w:t>
            </w:r>
          </w:p>
        </w:tc>
      </w:tr>
      <w:tr>
        <w:tblPrEx>
          <w:tblCellMar>
            <w:top w:w="0" w:type="dxa"/>
            <w:left w:w="0" w:type="dxa"/>
            <w:bottom w:w="0" w:type="dxa"/>
            <w:right w:w="0" w:type="dxa"/>
          </w:tblCellMar>
        </w:tblPrEx>
        <w:trPr>
          <w:trHeight w:val="499" w:hRule="atLeast"/>
          <w:jc w:val="center"/>
        </w:trPr>
        <w:tc>
          <w:tcPr>
            <w:tcW w:w="30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小计</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2"/>
                <w:szCs w:val="12"/>
                <w:u w:val="none"/>
              </w:rPr>
            </w:pPr>
            <w:r>
              <w:rPr>
                <w:rFonts w:hint="default" w:ascii="Arial" w:hAnsi="Arial" w:eastAsia="宋体" w:cs="Arial"/>
                <w:b/>
                <w:i w:val="0"/>
                <w:color w:val="000000"/>
                <w:kern w:val="0"/>
                <w:sz w:val="12"/>
                <w:szCs w:val="12"/>
                <w:u w:val="none"/>
                <w:bdr w:val="none" w:color="auto" w:sz="0" w:space="0"/>
                <w:lang w:val="en-US" w:eastAsia="zh-CN" w:bidi="ar"/>
              </w:rPr>
              <w:t>其中：专项资金列入部门预算的项目</w:t>
            </w:r>
          </w:p>
        </w:tc>
        <w:tc>
          <w:tcPr>
            <w:tcW w:w="6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r>
      <w:tr>
        <w:tblPrEx>
          <w:tblCellMar>
            <w:top w:w="0" w:type="dxa"/>
            <w:left w:w="0" w:type="dxa"/>
            <w:bottom w:w="0" w:type="dxa"/>
            <w:right w:w="0" w:type="dxa"/>
          </w:tblCellMar>
        </w:tblPrEx>
        <w:trPr>
          <w:trHeight w:val="1035" w:hRule="atLeast"/>
          <w:jc w:val="center"/>
        </w:trPr>
        <w:tc>
          <w:tcPr>
            <w:tcW w:w="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1035" w:hRule="atLeast"/>
          <w:jc w:val="center"/>
        </w:trPr>
        <w:tc>
          <w:tcPr>
            <w:tcW w:w="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中国共产党靖边县纪律检查委员会</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1035" w:hRule="atLeast"/>
          <w:jc w:val="center"/>
        </w:trPr>
        <w:tc>
          <w:tcPr>
            <w:tcW w:w="3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202001</w:t>
            </w:r>
          </w:p>
        </w:tc>
        <w:tc>
          <w:tcPr>
            <w:tcW w:w="11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中国共产党靖边县纪律检查委员会</w:t>
            </w:r>
          </w:p>
        </w:tc>
        <w:tc>
          <w:tcPr>
            <w:tcW w:w="14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8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6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bl>
    <w:p/>
    <w:p/>
    <w:p/>
    <w:p/>
    <w:p/>
    <w:p/>
    <w:p/>
    <w:p/>
    <w:p/>
    <w:p/>
    <w:p/>
    <w:p/>
    <w:p/>
    <w:p/>
    <w:p/>
    <w:tbl>
      <w:tblPr>
        <w:tblW w:w="13245" w:type="dxa"/>
        <w:tblInd w:w="0" w:type="dxa"/>
        <w:shd w:val="clear"/>
        <w:tblLayout w:type="autofit"/>
        <w:tblCellMar>
          <w:top w:w="0" w:type="dxa"/>
          <w:left w:w="0" w:type="dxa"/>
          <w:bottom w:w="0" w:type="dxa"/>
          <w:right w:w="0" w:type="dxa"/>
        </w:tblCellMar>
      </w:tblPr>
      <w:tblGrid>
        <w:gridCol w:w="960"/>
        <w:gridCol w:w="1740"/>
        <w:gridCol w:w="1380"/>
        <w:gridCol w:w="1350"/>
        <w:gridCol w:w="1725"/>
        <w:gridCol w:w="1275"/>
        <w:gridCol w:w="1725"/>
        <w:gridCol w:w="1365"/>
        <w:gridCol w:w="1725"/>
      </w:tblGrid>
      <w:tr>
        <w:tblPrEx>
          <w:shd w:val="clear"/>
          <w:tblCellMar>
            <w:top w:w="0" w:type="dxa"/>
            <w:left w:w="0" w:type="dxa"/>
            <w:bottom w:w="0" w:type="dxa"/>
            <w:right w:w="0" w:type="dxa"/>
          </w:tblCellMar>
        </w:tblPrEx>
        <w:trPr>
          <w:trHeight w:val="640" w:hRule="atLeast"/>
        </w:trPr>
        <w:tc>
          <w:tcPr>
            <w:tcW w:w="13245" w:type="dxa"/>
            <w:gridSpan w:val="9"/>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2021年部门综合预算财政拨款收支总表</w:t>
            </w:r>
          </w:p>
        </w:tc>
      </w:tr>
      <w:tr>
        <w:tblPrEx>
          <w:tblCellMar>
            <w:top w:w="0" w:type="dxa"/>
            <w:left w:w="0" w:type="dxa"/>
            <w:bottom w:w="0" w:type="dxa"/>
            <w:right w:w="0" w:type="dxa"/>
          </w:tblCellMar>
        </w:tblPrEx>
        <w:trPr>
          <w:trHeight w:val="320" w:hRule="atLeast"/>
        </w:trPr>
        <w:tc>
          <w:tcPr>
            <w:tcW w:w="0" w:type="auto"/>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36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31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收                   入</w:t>
            </w:r>
          </w:p>
        </w:tc>
        <w:tc>
          <w:tcPr>
            <w:tcW w:w="9165"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                        出</w:t>
            </w:r>
          </w:p>
        </w:tc>
      </w:tr>
      <w:tr>
        <w:tblPrEx>
          <w:tblCellMar>
            <w:top w:w="0" w:type="dxa"/>
            <w:left w:w="0" w:type="dxa"/>
            <w:bottom w:w="0" w:type="dxa"/>
            <w:right w:w="0" w:type="dxa"/>
          </w:tblCellMar>
        </w:tblPrEx>
        <w:trPr>
          <w:trHeight w:val="499"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    目</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支出功能分科目（按大类）</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部门预算支出经济科目（按大类）</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政府预算支出经济科目（按大类）</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一、财政拨款</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一、财政拨款</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一、财政拨款</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一、财政拨款</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1、一般公共预算拨款</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1、一般公共服务支出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13105069.88</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1、人员经费和公用经费支出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13930584.00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1、机关工资福利支出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其中：专项资金列入部门预算的项目</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2、外交支出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(1)工资福利支出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2、机关商品和服务支出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4782200.00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2、政府性基金拨款</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3、国防支出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(2)商品和服务支出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3112400.00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3、机关资本性支出（一）</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3、国有资本经营预算收入</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4、公共安全支出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(3)对个人和家庭的补助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4、机关资本性支出（二）</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5、教育支出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(4)资本性支出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5、对事业单位经常性补助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6、科学技术支出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2、专项业务经费支出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6、对事业单位资本性补助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7、文化旅游体育与传媒支出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(1)工资福利支出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7、对企业补助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8、社会保障和就业支出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(2)商品和服务支出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8、对企业资本性支出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9、社会保险基金支出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(3)对个人和家庭补助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9、对个人和家庭的补助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10、卫生健康支出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(4)债务利息及费用支出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10、对社会保障基金补助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11、节能环保支出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(5)资本性支出(基本建设)</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11、债务利息及费用支出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12、城乡社区支出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(6)资本性支出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12、债务还本支出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13、农林水支出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(7)对企业补助(基本建设)</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13、转移性支出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14、交通运输支出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w:t>
            </w:r>
            <w:r>
              <w:rPr>
                <w:rFonts w:hint="default" w:ascii="Arial" w:hAnsi="Arial" w:eastAsia="宋体" w:cs="Arial"/>
                <w:i w:val="0"/>
                <w:color w:val="000000"/>
                <w:kern w:val="0"/>
                <w:sz w:val="20"/>
                <w:szCs w:val="20"/>
                <w:u w:val="none"/>
                <w:bdr w:val="none" w:color="auto" w:sz="0" w:space="0"/>
                <w:lang w:val="en-US" w:eastAsia="zh-CN" w:bidi="ar"/>
              </w:rPr>
              <w:t xml:space="preserve"> (8)</w:t>
            </w:r>
            <w:r>
              <w:rPr>
                <w:rFonts w:hint="eastAsia" w:ascii="宋体" w:hAnsi="宋体" w:eastAsia="宋体" w:cs="宋体"/>
                <w:i w:val="0"/>
                <w:color w:val="000000"/>
                <w:kern w:val="0"/>
                <w:sz w:val="20"/>
                <w:szCs w:val="20"/>
                <w:u w:val="none"/>
                <w:bdr w:val="none" w:color="auto" w:sz="0" w:space="0"/>
                <w:lang w:val="en-US" w:eastAsia="zh-CN" w:bidi="ar"/>
              </w:rPr>
              <w:t>对企业补助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14、预备费及预留</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15、资源勘探工业信息等支出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(9)对社会保障基金补助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15、其他支出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16、商业服务业等支出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(10)其他支出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17、金融支出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3、上缴上级支出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18、援助其他地区支出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4、事业单位经营支出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19、自然资源海洋气象等支出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5、对附属单位补助支出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20、住房保障支出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21、粮油物资储备支出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22、国有资本经营预算支出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23、灾害防治及应急管理支出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24、预备费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25、其他支出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26、转移性支出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27、债务还本支出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29</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28、债务付息支出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29、债务发行费用支出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本年收入合计</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33</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上年结转</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结转下年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34</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36</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37</w:t>
            </w:r>
          </w:p>
        </w:tc>
        <w:tc>
          <w:tcPr>
            <w:tcW w:w="17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收入总计</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支出总计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r>
    </w:tbl>
    <w:p/>
    <w:p/>
    <w:p/>
    <w:p/>
    <w:p/>
    <w:p/>
    <w:p/>
    <w:p/>
    <w:p/>
    <w:p/>
    <w:p/>
    <w:p/>
    <w:p/>
    <w:p/>
    <w:p/>
    <w:p/>
    <w:p/>
    <w:p/>
    <w:p/>
    <w:p/>
    <w:p/>
    <w:p/>
    <w:p/>
    <w:p/>
    <w:p/>
    <w:tbl>
      <w:tblPr>
        <w:tblW w:w="12000" w:type="dxa"/>
        <w:tblInd w:w="0" w:type="dxa"/>
        <w:shd w:val="clear"/>
        <w:tblLayout w:type="autofit"/>
        <w:tblCellMar>
          <w:top w:w="0" w:type="dxa"/>
          <w:left w:w="0" w:type="dxa"/>
          <w:bottom w:w="0" w:type="dxa"/>
          <w:right w:w="0" w:type="dxa"/>
        </w:tblCellMar>
      </w:tblPr>
      <w:tblGrid>
        <w:gridCol w:w="960"/>
        <w:gridCol w:w="960"/>
        <w:gridCol w:w="2220"/>
        <w:gridCol w:w="1725"/>
        <w:gridCol w:w="1725"/>
        <w:gridCol w:w="1725"/>
        <w:gridCol w:w="1725"/>
        <w:gridCol w:w="960"/>
      </w:tblGrid>
      <w:tr>
        <w:tblPrEx>
          <w:shd w:val="clear"/>
          <w:tblCellMar>
            <w:top w:w="0" w:type="dxa"/>
            <w:left w:w="0" w:type="dxa"/>
            <w:bottom w:w="0" w:type="dxa"/>
            <w:right w:w="0" w:type="dxa"/>
          </w:tblCellMar>
        </w:tblPrEx>
        <w:trPr>
          <w:trHeight w:val="975" w:hRule="atLeast"/>
        </w:trPr>
        <w:tc>
          <w:tcPr>
            <w:tcW w:w="12000" w:type="dxa"/>
            <w:gridSpan w:val="8"/>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2021年部门综合预算一般公共预算支出明细表（按支出功能分类科目-不含上年结转）</w:t>
            </w:r>
          </w:p>
        </w:tc>
      </w:tr>
      <w:tr>
        <w:tblPrEx>
          <w:tblCellMar>
            <w:top w:w="0" w:type="dxa"/>
            <w:left w:w="0" w:type="dxa"/>
            <w:bottom w:w="0" w:type="dxa"/>
            <w:right w:w="0" w:type="dxa"/>
          </w:tblCellMar>
        </w:tblPrEx>
        <w:trPr>
          <w:trHeight w:val="285" w:hRule="atLeast"/>
        </w:trPr>
        <w:tc>
          <w:tcPr>
            <w:tcW w:w="0" w:type="auto"/>
            <w:gridSpan w:val="7"/>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功能科目编码</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功能科目名称</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人员经费支出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公用经费支出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专项业务经费支出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11,300,584.00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一般公共服务支出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13,105,069.88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20111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纪检监察事务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13,105,069.88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2011101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行政运行</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11,435,269.88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2011104</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大案要案查处</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2011199</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其他纪检监察事务支出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20805</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行政事业单位养老支出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2080505</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机关事业单位基本养老保险缴费支出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20899</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2089999</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卫生健康支出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21011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行政事业单位医疗</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2101101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行政单位医疗</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住房保障支出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22102</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住房改革支出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210201</w:t>
            </w:r>
          </w:p>
        </w:tc>
        <w:tc>
          <w:tcPr>
            <w:tcW w:w="22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住房公积金</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bl>
    <w:p/>
    <w:p/>
    <w:tbl>
      <w:tblPr>
        <w:tblW w:w="12810" w:type="dxa"/>
        <w:tblInd w:w="0" w:type="dxa"/>
        <w:shd w:val="clear"/>
        <w:tblLayout w:type="autofit"/>
        <w:tblCellMar>
          <w:top w:w="0" w:type="dxa"/>
          <w:left w:w="0" w:type="dxa"/>
          <w:bottom w:w="0" w:type="dxa"/>
          <w:right w:w="0" w:type="dxa"/>
        </w:tblCellMar>
      </w:tblPr>
      <w:tblGrid>
        <w:gridCol w:w="1630"/>
        <w:gridCol w:w="903"/>
        <w:gridCol w:w="2258"/>
        <w:gridCol w:w="903"/>
        <w:gridCol w:w="1724"/>
        <w:gridCol w:w="1331"/>
        <w:gridCol w:w="1369"/>
        <w:gridCol w:w="1327"/>
        <w:gridCol w:w="1365"/>
      </w:tblGrid>
      <w:tr>
        <w:tblPrEx>
          <w:shd w:val="clear"/>
          <w:tblCellMar>
            <w:top w:w="0" w:type="dxa"/>
            <w:left w:w="0" w:type="dxa"/>
            <w:bottom w:w="0" w:type="dxa"/>
            <w:right w:w="0" w:type="dxa"/>
          </w:tblCellMar>
        </w:tblPrEx>
        <w:trPr>
          <w:trHeight w:val="450" w:hRule="atLeast"/>
        </w:trPr>
        <w:tc>
          <w:tcPr>
            <w:tcW w:w="12810" w:type="dxa"/>
            <w:gridSpan w:val="9"/>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28"/>
                <w:szCs w:val="28"/>
                <w:u w:val="none"/>
              </w:rPr>
            </w:pPr>
            <w:r>
              <w:rPr>
                <w:rFonts w:hint="eastAsia" w:ascii="黑体" w:hAnsi="Arial" w:eastAsia="黑体" w:cs="黑体"/>
                <w:i w:val="0"/>
                <w:color w:val="000000"/>
                <w:kern w:val="0"/>
                <w:sz w:val="28"/>
                <w:szCs w:val="28"/>
                <w:u w:val="none"/>
                <w:bdr w:val="none" w:color="auto" w:sz="0" w:space="0"/>
                <w:lang w:val="en-US" w:eastAsia="zh-CN" w:bidi="ar"/>
              </w:rPr>
              <w:t>2021年部门综合预算一般公共预算支出明细表（按支出经济分类科目-不含上年结转）</w:t>
            </w:r>
          </w:p>
        </w:tc>
      </w:tr>
      <w:tr>
        <w:tblPrEx>
          <w:tblCellMar>
            <w:top w:w="0" w:type="dxa"/>
            <w:left w:w="0" w:type="dxa"/>
            <w:bottom w:w="0" w:type="dxa"/>
            <w:right w:w="0" w:type="dxa"/>
          </w:tblCellMar>
        </w:tblPrEx>
        <w:trPr>
          <w:trHeight w:val="225" w:hRule="atLeast"/>
        </w:trPr>
        <w:tc>
          <w:tcPr>
            <w:tcW w:w="0" w:type="auto"/>
            <w:tcBorders>
              <w:top w:val="nil"/>
              <w:left w:val="nil"/>
              <w:bottom w:val="single" w:color="000000" w:sz="4" w:space="0"/>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预算单位：行政股</w:t>
            </w: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3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部门经济科目编码</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部门经济科目名称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政府经济科目编码</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政府经济科目名称</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人员经费支出</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公用经费支出</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专项业务经费支出</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15,600,384.00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11,300,584.00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工资福利支出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30101</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基本工资</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7,231,788.00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7,231,788.00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30102</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津贴补贴</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470,290.00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470,290.00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30103</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奖金</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568,991.00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568,991.00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30108</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机关事业单位基本养老保险缴费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30110</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职工基本医疗保险缴费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30112</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其他社会保障缴费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30113</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住房公积金</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50103</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住房公积金</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商品和服务支出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4,782,200.00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30201</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办公费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30202</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印刷费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30205</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30206</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电费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30207</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邮电费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30208</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取暖费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30211</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差旅费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30213</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维修（护）费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50209</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维修（护）费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30218</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专用材料费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50204</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专用材料购置费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30231</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公务用车运行维护费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50208</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公务用车运行维护费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30239</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其他交通费用</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30299</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其他商品和服务支出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50299</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其他商品和服务支出</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对个人和家庭的补助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30305</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生活补助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50901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社会福利和救助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16,800.00</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16,800.00</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1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30307</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医疗费补助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50901</w:t>
            </w:r>
          </w:p>
        </w:tc>
        <w:tc>
          <w:tcPr>
            <w:tcW w:w="19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社会福利和救助</w:t>
            </w:r>
          </w:p>
        </w:tc>
        <w:tc>
          <w:tcPr>
            <w:tcW w:w="13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35,000.88</w:t>
            </w:r>
          </w:p>
        </w:tc>
        <w:tc>
          <w:tcPr>
            <w:tcW w:w="13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35,000.88</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3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bl>
    <w:p/>
    <w:tbl>
      <w:tblPr>
        <w:tblW w:w="12975" w:type="dxa"/>
        <w:tblInd w:w="0" w:type="dxa"/>
        <w:shd w:val="clear"/>
        <w:tblLayout w:type="autofit"/>
        <w:tblCellMar>
          <w:top w:w="0" w:type="dxa"/>
          <w:left w:w="0" w:type="dxa"/>
          <w:bottom w:w="0" w:type="dxa"/>
          <w:right w:w="0" w:type="dxa"/>
        </w:tblCellMar>
      </w:tblPr>
      <w:tblGrid>
        <w:gridCol w:w="1630"/>
        <w:gridCol w:w="1433"/>
        <w:gridCol w:w="3315"/>
        <w:gridCol w:w="1929"/>
        <w:gridCol w:w="2010"/>
        <w:gridCol w:w="1972"/>
        <w:gridCol w:w="686"/>
      </w:tblGrid>
      <w:tr>
        <w:tblPrEx>
          <w:shd w:val="clear"/>
          <w:tblCellMar>
            <w:top w:w="0" w:type="dxa"/>
            <w:left w:w="0" w:type="dxa"/>
            <w:bottom w:w="0" w:type="dxa"/>
            <w:right w:w="0" w:type="dxa"/>
          </w:tblCellMar>
        </w:tblPrEx>
        <w:trPr>
          <w:trHeight w:val="705" w:hRule="atLeast"/>
        </w:trPr>
        <w:tc>
          <w:tcPr>
            <w:tcW w:w="12975" w:type="dxa"/>
            <w:gridSpan w:val="7"/>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28"/>
                <w:szCs w:val="28"/>
                <w:u w:val="none"/>
              </w:rPr>
            </w:pPr>
            <w:r>
              <w:rPr>
                <w:rFonts w:hint="eastAsia" w:ascii="黑体" w:hAnsi="Arial" w:eastAsia="黑体" w:cs="黑体"/>
                <w:i w:val="0"/>
                <w:color w:val="000000"/>
                <w:kern w:val="0"/>
                <w:sz w:val="28"/>
                <w:szCs w:val="28"/>
                <w:u w:val="none"/>
                <w:bdr w:val="none" w:color="auto" w:sz="0" w:space="0"/>
                <w:lang w:val="en-US" w:eastAsia="zh-CN" w:bidi="ar"/>
              </w:rPr>
              <w:t>2021年部门综合预算一般公共预算基本支出明细表（按支出功能分类科目-不含上年结转）</w:t>
            </w:r>
          </w:p>
        </w:tc>
      </w:tr>
      <w:tr>
        <w:tblPrEx>
          <w:tblCellMar>
            <w:top w:w="0" w:type="dxa"/>
            <w:left w:w="0" w:type="dxa"/>
            <w:bottom w:w="0" w:type="dxa"/>
            <w:right w:w="0" w:type="dxa"/>
          </w:tblCellMar>
        </w:tblPrEx>
        <w:trPr>
          <w:trHeight w:val="240" w:hRule="atLeast"/>
        </w:trPr>
        <w:tc>
          <w:tcPr>
            <w:tcW w:w="0" w:type="auto"/>
            <w:tcBorders>
              <w:top w:val="nil"/>
              <w:left w:val="nil"/>
              <w:bottom w:val="single" w:color="000000" w:sz="4" w:space="0"/>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single" w:color="000000" w:sz="4" w:space="0"/>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功能科目编码</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功能科目名称</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人员经费支出</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公用经费支出</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13,930,584.00</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11,300,584.00</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一般公共服务支出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11,435,269.88</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20111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纪检监察事务</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11,435,269.88</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2011101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行政运行</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11,435,269.88</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8,805,269.88</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208</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社会保障和就业支出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1,039,786.84</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20805</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行政事业单位养老支出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2080505</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机关事业单位基本养老保险缴费支出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20899</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其他社会保障和就业支出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2089999</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其他社会保障和就业支出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210</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卫生健康支出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21011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行政事业单位医疗</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2101101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行政单位医疗</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住房保障支出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22102</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住房改革支出</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95"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2210201</w:t>
            </w:r>
          </w:p>
        </w:tc>
        <w:tc>
          <w:tcPr>
            <w:tcW w:w="364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住房公积金</w:t>
            </w:r>
          </w:p>
        </w:tc>
        <w:tc>
          <w:tcPr>
            <w:tcW w:w="19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20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bl>
    <w:p/>
    <w:p/>
    <w:p/>
    <w:p/>
    <w:p/>
    <w:tbl>
      <w:tblPr>
        <w:tblW w:w="13110" w:type="dxa"/>
        <w:tblInd w:w="0" w:type="dxa"/>
        <w:shd w:val="clear"/>
        <w:tblLayout w:type="autofit"/>
        <w:tblCellMar>
          <w:top w:w="0" w:type="dxa"/>
          <w:left w:w="0" w:type="dxa"/>
          <w:bottom w:w="0" w:type="dxa"/>
          <w:right w:w="0" w:type="dxa"/>
        </w:tblCellMar>
      </w:tblPr>
      <w:tblGrid>
        <w:gridCol w:w="1630"/>
        <w:gridCol w:w="1637"/>
        <w:gridCol w:w="2428"/>
        <w:gridCol w:w="837"/>
        <w:gridCol w:w="1524"/>
        <w:gridCol w:w="1588"/>
        <w:gridCol w:w="1588"/>
        <w:gridCol w:w="1551"/>
        <w:gridCol w:w="327"/>
      </w:tblGrid>
      <w:tr>
        <w:tblPrEx>
          <w:shd w:val="clear"/>
          <w:tblCellMar>
            <w:top w:w="0" w:type="dxa"/>
            <w:left w:w="0" w:type="dxa"/>
            <w:bottom w:w="0" w:type="dxa"/>
            <w:right w:w="0" w:type="dxa"/>
          </w:tblCellMar>
        </w:tblPrEx>
        <w:trPr>
          <w:trHeight w:val="480" w:hRule="atLeast"/>
        </w:trPr>
        <w:tc>
          <w:tcPr>
            <w:tcW w:w="13110" w:type="dxa"/>
            <w:gridSpan w:val="9"/>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24"/>
                <w:szCs w:val="24"/>
                <w:u w:val="none"/>
              </w:rPr>
            </w:pPr>
            <w:r>
              <w:rPr>
                <w:rFonts w:hint="eastAsia" w:ascii="黑体" w:hAnsi="Arial" w:eastAsia="黑体" w:cs="黑体"/>
                <w:i w:val="0"/>
                <w:color w:val="000000"/>
                <w:kern w:val="0"/>
                <w:sz w:val="24"/>
                <w:szCs w:val="24"/>
                <w:u w:val="none"/>
                <w:bdr w:val="none" w:color="auto" w:sz="0" w:space="0"/>
                <w:lang w:val="en-US" w:eastAsia="zh-CN" w:bidi="ar"/>
              </w:rPr>
              <w:t>2021年部门综合预算一般公共预算基本支出明细表（按支出经济分类科目-不含上年结转）</w:t>
            </w:r>
          </w:p>
        </w:tc>
      </w:tr>
      <w:tr>
        <w:tblPrEx>
          <w:tblCellMar>
            <w:top w:w="0" w:type="dxa"/>
            <w:left w:w="0" w:type="dxa"/>
            <w:bottom w:w="0" w:type="dxa"/>
            <w:right w:w="0" w:type="dxa"/>
          </w:tblCellMar>
        </w:tblPrEx>
        <w:trPr>
          <w:trHeight w:val="240" w:hRule="atLeast"/>
        </w:trPr>
        <w:tc>
          <w:tcPr>
            <w:tcW w:w="0" w:type="auto"/>
            <w:tcBorders>
              <w:top w:val="nil"/>
              <w:left w:val="nil"/>
              <w:bottom w:val="single" w:color="000000" w:sz="4" w:space="0"/>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single" w:color="000000" w:sz="4" w:space="0"/>
              <w:right w:val="nil"/>
            </w:tcBorders>
            <w:shd w:val="clear"/>
            <w:noWrap/>
            <w:tcMar>
              <w:top w:w="15" w:type="dxa"/>
              <w:left w:w="15" w:type="dxa"/>
              <w:right w:w="15" w:type="dxa"/>
            </w:tcMar>
            <w:vAlign w:val="bottom"/>
          </w:tcPr>
          <w:p>
            <w:pPr>
              <w:jc w:val="left"/>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single" w:color="000000" w:sz="4" w:space="0"/>
              <w:right w:val="nil"/>
            </w:tcBorders>
            <w:shd w:val="clear"/>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部门经济科目编码</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部门经济科目名称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政府经济科目编码</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政府经济科目名称</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人员经费支出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公用经费支出</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default" w:ascii="Arial" w:hAnsi="Arial" w:cs="Arial"/>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13,930,584.00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11,300,584.00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工资福利支出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10,766,383.12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基本工资</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7,231,788.00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7,231,788.00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30102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津贴补贴</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470,290.00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470,290.00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30103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奖金</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工资奖金津补贴</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568,991.00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568,991.00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30108</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机关事业单位基本养老保险缴费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1,026,180.64</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30110</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职工基本医疗保险缴费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639,165.36</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30112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其他社会保障缴费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50102</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社会保障缴费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13,606.20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30113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住房公积金</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50103</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住房公积金</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816,361.92</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商品和服务支出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3,112,400.00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2,630,000.00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办公费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770,000.00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印刷费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水费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电费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邮电费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30208</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取暖费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320,000.00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30211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差旅费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30213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维修（护）费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维修（护）费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30231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公务用车运行维护费</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50208</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公务用车运行维护费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30239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其他交通费用</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办公经费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482,400.00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30299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其他商品和服务支出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50299</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其他商品和服务支出</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150,000.00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303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对个人和家庭的补助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51,800.88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30305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生活补助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50901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社会福利和救助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16,800.00</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330" w:hRule="atLeast"/>
        </w:trPr>
        <w:tc>
          <w:tcPr>
            <w:tcW w:w="3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30307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医疗费补助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50901</w:t>
            </w:r>
          </w:p>
        </w:tc>
        <w:tc>
          <w:tcPr>
            <w:tcW w:w="19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社会福利和救助</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35,000.88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35,000.88</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xml:space="preserve"> </w:t>
            </w:r>
          </w:p>
        </w:tc>
      </w:tr>
    </w:tbl>
    <w:p/>
    <w:tbl>
      <w:tblPr>
        <w:tblW w:w="13155" w:type="dxa"/>
        <w:tblInd w:w="0" w:type="dxa"/>
        <w:shd w:val="clear"/>
        <w:tblLayout w:type="autofit"/>
        <w:tblCellMar>
          <w:top w:w="0" w:type="dxa"/>
          <w:left w:w="0" w:type="dxa"/>
          <w:bottom w:w="0" w:type="dxa"/>
          <w:right w:w="0" w:type="dxa"/>
        </w:tblCellMar>
      </w:tblPr>
      <w:tblGrid>
        <w:gridCol w:w="315"/>
        <w:gridCol w:w="1830"/>
        <w:gridCol w:w="735"/>
        <w:gridCol w:w="2760"/>
        <w:gridCol w:w="510"/>
        <w:gridCol w:w="2685"/>
        <w:gridCol w:w="525"/>
        <w:gridCol w:w="2835"/>
        <w:gridCol w:w="960"/>
      </w:tblGrid>
      <w:tr>
        <w:tblPrEx>
          <w:shd w:val="clear"/>
          <w:tblCellMar>
            <w:top w:w="0" w:type="dxa"/>
            <w:left w:w="0" w:type="dxa"/>
            <w:bottom w:w="0" w:type="dxa"/>
            <w:right w:w="0" w:type="dxa"/>
          </w:tblCellMar>
        </w:tblPrEx>
        <w:trPr>
          <w:trHeight w:val="435" w:hRule="atLeast"/>
        </w:trPr>
        <w:tc>
          <w:tcPr>
            <w:tcW w:w="13155" w:type="dxa"/>
            <w:gridSpan w:val="9"/>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36"/>
                <w:szCs w:val="36"/>
                <w:u w:val="none"/>
              </w:rPr>
            </w:pPr>
            <w:r>
              <w:rPr>
                <w:rFonts w:hint="eastAsia" w:ascii="黑体" w:hAnsi="Arial" w:eastAsia="黑体" w:cs="黑体"/>
                <w:i w:val="0"/>
                <w:color w:val="000000"/>
                <w:kern w:val="0"/>
                <w:sz w:val="36"/>
                <w:szCs w:val="36"/>
                <w:u w:val="none"/>
                <w:bdr w:val="none" w:color="auto" w:sz="0" w:space="0"/>
                <w:lang w:val="en-US" w:eastAsia="zh-CN" w:bidi="ar"/>
              </w:rPr>
              <w:t>2021年部门综合预算政府性基金收支表（不含上年结转）</w:t>
            </w:r>
          </w:p>
        </w:tc>
      </w:tr>
      <w:tr>
        <w:tblPrEx>
          <w:tblCellMar>
            <w:top w:w="0" w:type="dxa"/>
            <w:left w:w="0" w:type="dxa"/>
            <w:bottom w:w="0" w:type="dxa"/>
            <w:right w:w="0" w:type="dxa"/>
          </w:tblCellMar>
        </w:tblPrEx>
        <w:trPr>
          <w:trHeight w:val="255" w:hRule="atLeast"/>
        </w:trPr>
        <w:tc>
          <w:tcPr>
            <w:tcW w:w="0" w:type="auto"/>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trPr>
        <w:tc>
          <w:tcPr>
            <w:tcW w:w="31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25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收                   入</w:t>
            </w:r>
          </w:p>
        </w:tc>
        <w:tc>
          <w:tcPr>
            <w:tcW w:w="10275"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                        出</w:t>
            </w:r>
          </w:p>
        </w:tc>
      </w:tr>
      <w:tr>
        <w:tblPrEx>
          <w:tblCellMar>
            <w:top w:w="0" w:type="dxa"/>
            <w:left w:w="0" w:type="dxa"/>
            <w:bottom w:w="0" w:type="dxa"/>
            <w:right w:w="0" w:type="dxa"/>
          </w:tblCellMar>
        </w:tblPrEx>
        <w:trPr>
          <w:trHeight w:val="499" w:hRule="atLeast"/>
        </w:trPr>
        <w:tc>
          <w:tcPr>
            <w:tcW w:w="3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    目</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支出功能分类科目（按大类）</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部门预算支出经济分类科目（按大类）</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政府预算支出经济分类科目（按大类）</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预算数</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一、政府性基金拨款</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一、科学技术支出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一、人员经费和公用经费支出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一、机关工资福利支出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二、文化旅游体育与传媒支出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工资福利支出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二、机关商品和服务支出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三、社会保障和就业支出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商品和服务支出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三、机关资本性支出（一）</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四、节能环保支出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对个人和家庭的补助</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四、机关资本性支出（二）</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五、城乡社区支出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其他资本性支出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五、对事业单位经常性补助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六、农林水支出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二、专项业务经费支出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六、对事业单位资本性补助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七、交通运输支出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工资福利支出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七、对企业补助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八、资源勘探工业信息等支出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商品和服务支出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八、对企业资本性支出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九、金融支出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对个人和家庭的补助</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九、对个人和家庭的补助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十、其他支出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债务付息及费用支出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十、对社会保障基金补助</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十一、转移性支出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资本性支出(基本建设)</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十一、债务利息及费用支出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十二、债务还本支出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资本性支出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十二、债务还本支出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十四、债务付息支出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对企业补助(基本建设）</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十三、转移性支出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十五、债务发行费用支出</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对企业补助</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十四、预备费及预留</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对社会保障基金补助</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十五、其他支出</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其他支出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三、上缴上级支出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四、事业单位经营支出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五、对附属单位补助支出</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60" w:hRule="atLeast"/>
        </w:trPr>
        <w:tc>
          <w:tcPr>
            <w:tcW w:w="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本年收入合计</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7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5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6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c>
          <w:tcPr>
            <w:tcW w:w="28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本年支出合计</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0.00</w:t>
            </w:r>
          </w:p>
        </w:tc>
      </w:tr>
    </w:tbl>
    <w:p/>
    <w:p/>
    <w:p/>
    <w:tbl>
      <w:tblPr>
        <w:tblW w:w="12855" w:type="dxa"/>
        <w:tblInd w:w="0" w:type="dxa"/>
        <w:shd w:val="clear"/>
        <w:tblLayout w:type="autofit"/>
        <w:tblCellMar>
          <w:top w:w="0" w:type="dxa"/>
          <w:left w:w="0" w:type="dxa"/>
          <w:bottom w:w="0" w:type="dxa"/>
          <w:right w:w="0" w:type="dxa"/>
        </w:tblCellMar>
      </w:tblPr>
      <w:tblGrid>
        <w:gridCol w:w="960"/>
        <w:gridCol w:w="960"/>
        <w:gridCol w:w="1140"/>
        <w:gridCol w:w="1725"/>
        <w:gridCol w:w="8070"/>
      </w:tblGrid>
      <w:tr>
        <w:tblPrEx>
          <w:shd w:val="clear"/>
          <w:tblCellMar>
            <w:top w:w="0" w:type="dxa"/>
            <w:left w:w="0" w:type="dxa"/>
            <w:bottom w:w="0" w:type="dxa"/>
            <w:right w:w="0" w:type="dxa"/>
          </w:tblCellMar>
        </w:tblPrEx>
        <w:trPr>
          <w:trHeight w:val="799" w:hRule="atLeast"/>
        </w:trPr>
        <w:tc>
          <w:tcPr>
            <w:tcW w:w="12855" w:type="dxa"/>
            <w:gridSpan w:val="5"/>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2021年部门综合预算专项业务经费支出表(不含上年结转)</w:t>
            </w:r>
          </w:p>
        </w:tc>
      </w:tr>
      <w:tr>
        <w:tblPrEx>
          <w:tblCellMar>
            <w:top w:w="0" w:type="dxa"/>
            <w:left w:w="0" w:type="dxa"/>
            <w:bottom w:w="0" w:type="dxa"/>
            <w:right w:w="0" w:type="dxa"/>
          </w:tblCellMar>
        </w:tblPrEx>
        <w:trPr>
          <w:trHeight w:val="499" w:hRule="atLeast"/>
        </w:trPr>
        <w:tc>
          <w:tcPr>
            <w:tcW w:w="0" w:type="auto"/>
            <w:gridSpan w:val="4"/>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单位编码</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单位（项目）名称</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项目金额</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项目简介</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中国共产党靖边县纪律检查委员会</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202001</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中国共产党靖边县纪律检查委员会</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通用项目</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专项购置</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“同志式”谈话室同步录音录像设备采购</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全县“同志式”谈话室录音录像设备采购，资金来源为财政性资金，组织形式是部门集中采购，采购方式是竞争性谈判。</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全县纪检监察检举举报平台设备采购</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269,800.00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在县纪委监委机关、各派驻纪检组及全县各镇（街道）、便民服务中心、新桥农场实施该项目，资金来源于财政性资金，组织形式是政府集中采购，采购方式是竞争性谈判。</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专用项目</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县级专项业务经费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专案经费</w:t>
            </w:r>
          </w:p>
        </w:tc>
        <w:tc>
          <w:tcPr>
            <w:tcW w:w="17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80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按照县政府对《关于解决县纪委监委办理市纪委指定专案所需经费报告》的批复，实报实销。</w:t>
            </w:r>
          </w:p>
        </w:tc>
      </w:tr>
    </w:tbl>
    <w:p/>
    <w:p/>
    <w:tbl>
      <w:tblPr>
        <w:tblW w:w="11520" w:type="dxa"/>
        <w:tblInd w:w="0" w:type="dxa"/>
        <w:shd w:val="clear"/>
        <w:tblLayout w:type="autofit"/>
        <w:tblCellMar>
          <w:top w:w="0" w:type="dxa"/>
          <w:left w:w="0" w:type="dxa"/>
          <w:bottom w:w="0" w:type="dxa"/>
          <w:right w:w="0" w:type="dxa"/>
        </w:tblCellMar>
      </w:tblPr>
      <w:tblGrid>
        <w:gridCol w:w="960"/>
        <w:gridCol w:w="960"/>
        <w:gridCol w:w="960"/>
        <w:gridCol w:w="960"/>
        <w:gridCol w:w="960"/>
        <w:gridCol w:w="960"/>
        <w:gridCol w:w="960"/>
        <w:gridCol w:w="960"/>
        <w:gridCol w:w="960"/>
        <w:gridCol w:w="960"/>
        <w:gridCol w:w="960"/>
        <w:gridCol w:w="960"/>
      </w:tblGrid>
      <w:tr>
        <w:tblPrEx>
          <w:tblCellMar>
            <w:top w:w="0" w:type="dxa"/>
            <w:left w:w="0" w:type="dxa"/>
            <w:bottom w:w="0" w:type="dxa"/>
            <w:right w:w="0" w:type="dxa"/>
          </w:tblCellMar>
        </w:tblPrEx>
        <w:trPr>
          <w:trHeight w:val="799" w:hRule="atLeast"/>
        </w:trPr>
        <w:tc>
          <w:tcPr>
            <w:tcW w:w="11520" w:type="dxa"/>
            <w:gridSpan w:val="12"/>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2021年部门综合预算财政拨款上年结转资金支出表</w:t>
            </w:r>
          </w:p>
        </w:tc>
      </w:tr>
      <w:tr>
        <w:tblPrEx>
          <w:tblCellMar>
            <w:top w:w="0" w:type="dxa"/>
            <w:left w:w="0" w:type="dxa"/>
            <w:bottom w:w="0" w:type="dxa"/>
            <w:right w:w="0" w:type="dxa"/>
          </w:tblCellMar>
        </w:tblPrEx>
        <w:trPr>
          <w:trHeight w:val="499" w:hRule="atLeast"/>
        </w:trPr>
        <w:tc>
          <w:tcPr>
            <w:tcW w:w="0" w:type="auto"/>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trPr>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预算单位代码</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预算单位名称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预算项目名称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金额</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功能分类科目代码</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功能分类科目名称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政府经济分类科目代码</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政府经济分类科目名称</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项目类别</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资金性质</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备注</w:t>
            </w:r>
          </w:p>
        </w:tc>
      </w:tr>
    </w:tbl>
    <w:p/>
    <w:p/>
    <w:p/>
    <w:p/>
    <w:p/>
    <w:p/>
    <w:p/>
    <w:p/>
    <w:p/>
    <w:p/>
    <w:p/>
    <w:p/>
    <w:p/>
    <w:p/>
    <w:p/>
    <w:p/>
    <w:p/>
    <w:p/>
    <w:p/>
    <w:p/>
    <w:p/>
    <w:p/>
    <w:p/>
    <w:p/>
    <w:p/>
    <w:p/>
    <w:p/>
    <w:p/>
    <w:p/>
    <w:p/>
    <w:tbl>
      <w:tblPr>
        <w:tblW w:w="13560" w:type="dxa"/>
        <w:tblInd w:w="0" w:type="dxa"/>
        <w:shd w:val="clear"/>
        <w:tblLayout w:type="autofit"/>
        <w:tblCellMar>
          <w:top w:w="0" w:type="dxa"/>
          <w:left w:w="0" w:type="dxa"/>
          <w:bottom w:w="0" w:type="dxa"/>
          <w:right w:w="0" w:type="dxa"/>
        </w:tblCellMar>
      </w:tblPr>
      <w:tblGrid>
        <w:gridCol w:w="718"/>
        <w:gridCol w:w="673"/>
        <w:gridCol w:w="778"/>
        <w:gridCol w:w="703"/>
        <w:gridCol w:w="957"/>
        <w:gridCol w:w="957"/>
        <w:gridCol w:w="957"/>
        <w:gridCol w:w="808"/>
        <w:gridCol w:w="957"/>
        <w:gridCol w:w="703"/>
        <w:gridCol w:w="763"/>
        <w:gridCol w:w="763"/>
        <w:gridCol w:w="584"/>
        <w:gridCol w:w="733"/>
        <w:gridCol w:w="838"/>
        <w:gridCol w:w="838"/>
        <w:gridCol w:w="830"/>
      </w:tblGrid>
      <w:tr>
        <w:tblPrEx>
          <w:tblCellMar>
            <w:top w:w="0" w:type="dxa"/>
            <w:left w:w="0" w:type="dxa"/>
            <w:bottom w:w="0" w:type="dxa"/>
            <w:right w:w="0" w:type="dxa"/>
          </w:tblCellMar>
        </w:tblPrEx>
        <w:trPr>
          <w:trHeight w:val="799" w:hRule="atLeast"/>
        </w:trPr>
        <w:tc>
          <w:tcPr>
            <w:tcW w:w="13560" w:type="dxa"/>
            <w:gridSpan w:val="17"/>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2021年部门综合预算政府采购（资产配置、购买服务）预算表（不含上年结转）</w:t>
            </w:r>
          </w:p>
        </w:tc>
      </w:tr>
      <w:tr>
        <w:tblPrEx>
          <w:tblCellMar>
            <w:top w:w="0" w:type="dxa"/>
            <w:left w:w="0" w:type="dxa"/>
            <w:bottom w:w="0" w:type="dxa"/>
            <w:right w:w="0" w:type="dxa"/>
          </w:tblCellMar>
        </w:tblPrEx>
        <w:trPr>
          <w:trHeight w:val="499" w:hRule="atLeast"/>
        </w:trPr>
        <w:tc>
          <w:tcPr>
            <w:tcW w:w="0" w:type="auto"/>
            <w:gridSpan w:val="16"/>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0" w:type="auto"/>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499"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21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科目编码</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单位编码</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采购项目</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采购目录</w:t>
            </w:r>
          </w:p>
        </w:tc>
        <w:tc>
          <w:tcPr>
            <w:tcW w:w="8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购买服务内容</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规格型号</w:t>
            </w:r>
          </w:p>
        </w:tc>
        <w:tc>
          <w:tcPr>
            <w:tcW w:w="7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数量</w:t>
            </w:r>
          </w:p>
        </w:tc>
        <w:tc>
          <w:tcPr>
            <w:tcW w:w="153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部门预算支出经济科目编码</w:t>
            </w:r>
          </w:p>
        </w:tc>
        <w:tc>
          <w:tcPr>
            <w:tcW w:w="13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政府预算支出经济分类科目编码</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实施采购时间</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预算金额</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说明</w:t>
            </w:r>
          </w:p>
        </w:tc>
      </w:tr>
      <w:tr>
        <w:tblPrEx>
          <w:tblCellMar>
            <w:top w:w="0" w:type="dxa"/>
            <w:left w:w="0" w:type="dxa"/>
            <w:bottom w:w="0" w:type="dxa"/>
            <w:right w:w="0" w:type="dxa"/>
          </w:tblCellMar>
        </w:tblPrEx>
        <w:trPr>
          <w:trHeight w:val="49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类</w:t>
            </w:r>
          </w:p>
        </w:tc>
        <w:tc>
          <w:tcPr>
            <w:tcW w:w="7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款</w:t>
            </w: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w:t>
            </w: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类</w:t>
            </w:r>
          </w:p>
        </w:tc>
        <w:tc>
          <w:tcPr>
            <w:tcW w:w="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款</w:t>
            </w:r>
          </w:p>
        </w:tc>
        <w:tc>
          <w:tcPr>
            <w:tcW w:w="5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类</w:t>
            </w:r>
          </w:p>
        </w:tc>
        <w:tc>
          <w:tcPr>
            <w:tcW w:w="7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款</w:t>
            </w: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20"/>
                <w:szCs w:val="20"/>
                <w:u w:val="none"/>
              </w:rPr>
            </w:pPr>
          </w:p>
        </w:tc>
      </w:tr>
    </w:tbl>
    <w:p/>
    <w:p/>
    <w:p/>
    <w:p/>
    <w:p/>
    <w:p/>
    <w:p/>
    <w:p/>
    <w:p/>
    <w:p/>
    <w:p/>
    <w:p/>
    <w:p/>
    <w:p/>
    <w:p/>
    <w:p/>
    <w:p/>
    <w:p/>
    <w:p/>
    <w:p/>
    <w:p/>
    <w:p/>
    <w:p/>
    <w:p/>
    <w:p/>
    <w:p/>
    <w:p/>
    <w:tbl>
      <w:tblPr>
        <w:tblW w:w="17530" w:type="dxa"/>
        <w:tblInd w:w="0" w:type="dxa"/>
        <w:shd w:val="clear"/>
        <w:tblLayout w:type="autofit"/>
        <w:tblCellMar>
          <w:top w:w="0" w:type="dxa"/>
          <w:left w:w="0" w:type="dxa"/>
          <w:bottom w:w="0" w:type="dxa"/>
          <w:right w:w="0" w:type="dxa"/>
        </w:tblCellMar>
      </w:tblPr>
      <w:tblGrid>
        <w:gridCol w:w="191"/>
        <w:gridCol w:w="431"/>
        <w:gridCol w:w="8"/>
        <w:gridCol w:w="183"/>
        <w:gridCol w:w="631"/>
        <w:gridCol w:w="146"/>
        <w:gridCol w:w="485"/>
        <w:gridCol w:w="512"/>
        <w:gridCol w:w="264"/>
        <w:gridCol w:w="524"/>
        <w:gridCol w:w="107"/>
        <w:gridCol w:w="631"/>
        <w:gridCol w:w="631"/>
        <w:gridCol w:w="26"/>
        <w:gridCol w:w="538"/>
        <w:gridCol w:w="564"/>
        <w:gridCol w:w="631"/>
        <w:gridCol w:w="631"/>
        <w:gridCol w:w="512"/>
        <w:gridCol w:w="264"/>
        <w:gridCol w:w="631"/>
        <w:gridCol w:w="264"/>
        <w:gridCol w:w="631"/>
        <w:gridCol w:w="264"/>
        <w:gridCol w:w="264"/>
        <w:gridCol w:w="631"/>
        <w:gridCol w:w="631"/>
        <w:gridCol w:w="512"/>
        <w:gridCol w:w="264"/>
        <w:gridCol w:w="631"/>
        <w:gridCol w:w="631"/>
        <w:gridCol w:w="564"/>
        <w:gridCol w:w="564"/>
        <w:gridCol w:w="830"/>
        <w:gridCol w:w="2308"/>
      </w:tblGrid>
      <w:tr>
        <w:tblPrEx>
          <w:shd w:val="clear"/>
          <w:tblCellMar>
            <w:top w:w="0" w:type="dxa"/>
            <w:left w:w="0" w:type="dxa"/>
            <w:bottom w:w="0" w:type="dxa"/>
            <w:right w:w="0" w:type="dxa"/>
          </w:tblCellMar>
        </w:tblPrEx>
        <w:trPr>
          <w:gridAfter w:val="1"/>
          <w:wAfter w:w="2308" w:type="dxa"/>
          <w:trHeight w:val="1020" w:hRule="atLeast"/>
        </w:trPr>
        <w:tc>
          <w:tcPr>
            <w:tcW w:w="15222" w:type="dxa"/>
            <w:gridSpan w:val="34"/>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2021年部门综合预算一般公共预算拨款“三公”经费及会议费、培训费支出预算表（不含上年结转）</w:t>
            </w:r>
          </w:p>
        </w:tc>
      </w:tr>
      <w:tr>
        <w:tblPrEx>
          <w:tblCellMar>
            <w:top w:w="0" w:type="dxa"/>
            <w:left w:w="0" w:type="dxa"/>
            <w:bottom w:w="0" w:type="dxa"/>
            <w:right w:w="0" w:type="dxa"/>
          </w:tblCellMar>
        </w:tblPrEx>
        <w:trPr>
          <w:gridAfter w:val="1"/>
          <w:wAfter w:w="2308" w:type="dxa"/>
          <w:trHeight w:val="360" w:hRule="atLeast"/>
        </w:trPr>
        <w:tc>
          <w:tcPr>
            <w:tcW w:w="14392" w:type="dxa"/>
            <w:gridSpan w:val="33"/>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预算单位：行政股</w:t>
            </w:r>
          </w:p>
        </w:tc>
        <w:tc>
          <w:tcPr>
            <w:tcW w:w="830"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gridAfter w:val="1"/>
          <w:wAfter w:w="2308" w:type="dxa"/>
          <w:trHeight w:val="855" w:hRule="atLeast"/>
        </w:trPr>
        <w:tc>
          <w:tcPr>
            <w:tcW w:w="19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序号</w:t>
            </w:r>
          </w:p>
        </w:tc>
        <w:tc>
          <w:tcPr>
            <w:tcW w:w="4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单位编码</w:t>
            </w:r>
          </w:p>
        </w:tc>
        <w:tc>
          <w:tcPr>
            <w:tcW w:w="191"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单位名称</w:t>
            </w:r>
          </w:p>
        </w:tc>
        <w:tc>
          <w:tcPr>
            <w:tcW w:w="5059" w:type="dxa"/>
            <w:gridSpan w:val="1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2020年</w:t>
            </w:r>
          </w:p>
        </w:tc>
        <w:tc>
          <w:tcPr>
            <w:tcW w:w="4092"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2021年</w:t>
            </w:r>
          </w:p>
        </w:tc>
        <w:tc>
          <w:tcPr>
            <w:tcW w:w="5258"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增减变化情况</w:t>
            </w:r>
          </w:p>
        </w:tc>
      </w:tr>
      <w:tr>
        <w:tblPrEx>
          <w:tblCellMar>
            <w:top w:w="0" w:type="dxa"/>
            <w:left w:w="0" w:type="dxa"/>
            <w:bottom w:w="0" w:type="dxa"/>
            <w:right w:w="0" w:type="dxa"/>
          </w:tblCellMar>
        </w:tblPrEx>
        <w:trPr>
          <w:gridAfter w:val="1"/>
          <w:wAfter w:w="2308" w:type="dxa"/>
          <w:trHeight w:val="555" w:hRule="atLeast"/>
        </w:trPr>
        <w:tc>
          <w:tcPr>
            <w:tcW w:w="19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19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合计</w:t>
            </w:r>
          </w:p>
        </w:tc>
        <w:tc>
          <w:tcPr>
            <w:tcW w:w="3300" w:type="dxa"/>
            <w:gridSpan w:val="8"/>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一般公共预算拨款安排的“三公”经费预算</w:t>
            </w:r>
          </w:p>
        </w:tc>
        <w:tc>
          <w:tcPr>
            <w:tcW w:w="564"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会议费</w:t>
            </w:r>
          </w:p>
        </w:tc>
        <w:tc>
          <w:tcPr>
            <w:tcW w:w="5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培训费</w:t>
            </w:r>
          </w:p>
        </w:tc>
        <w:tc>
          <w:tcPr>
            <w:tcW w:w="6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合计</w:t>
            </w:r>
          </w:p>
        </w:tc>
        <w:tc>
          <w:tcPr>
            <w:tcW w:w="2933"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一般公共预算拨款安排的“三公”经费预算</w:t>
            </w:r>
          </w:p>
        </w:tc>
        <w:tc>
          <w:tcPr>
            <w:tcW w:w="2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会议费</w:t>
            </w:r>
          </w:p>
        </w:tc>
        <w:tc>
          <w:tcPr>
            <w:tcW w:w="2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培训费</w:t>
            </w:r>
          </w:p>
        </w:tc>
        <w:tc>
          <w:tcPr>
            <w:tcW w:w="6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合计</w:t>
            </w:r>
          </w:p>
        </w:tc>
        <w:tc>
          <w:tcPr>
            <w:tcW w:w="3233"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一般公共预算拨款安排的“三公”经费预算</w:t>
            </w:r>
          </w:p>
        </w:tc>
        <w:tc>
          <w:tcPr>
            <w:tcW w:w="5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会议费</w:t>
            </w:r>
          </w:p>
        </w:tc>
        <w:tc>
          <w:tcPr>
            <w:tcW w:w="8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培训费</w:t>
            </w:r>
          </w:p>
        </w:tc>
      </w:tr>
      <w:tr>
        <w:tblPrEx>
          <w:tblCellMar>
            <w:top w:w="0" w:type="dxa"/>
            <w:left w:w="0" w:type="dxa"/>
            <w:bottom w:w="0" w:type="dxa"/>
            <w:right w:w="0" w:type="dxa"/>
          </w:tblCellMar>
        </w:tblPrEx>
        <w:trPr>
          <w:gridAfter w:val="1"/>
          <w:wAfter w:w="2308" w:type="dxa"/>
          <w:trHeight w:val="585" w:hRule="atLeast"/>
        </w:trPr>
        <w:tc>
          <w:tcPr>
            <w:tcW w:w="19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19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51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因公出国（境）费用</w:t>
            </w:r>
          </w:p>
        </w:tc>
        <w:tc>
          <w:tcPr>
            <w:tcW w:w="2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公务接待费</w:t>
            </w:r>
          </w:p>
        </w:tc>
        <w:tc>
          <w:tcPr>
            <w:tcW w:w="1893"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公务用车购置及运行费</w:t>
            </w:r>
          </w:p>
        </w:tc>
        <w:tc>
          <w:tcPr>
            <w:tcW w:w="564"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51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因公出国（境）费用</w:t>
            </w:r>
          </w:p>
        </w:tc>
        <w:tc>
          <w:tcPr>
            <w:tcW w:w="2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公务接待费</w:t>
            </w:r>
          </w:p>
        </w:tc>
        <w:tc>
          <w:tcPr>
            <w:tcW w:w="1526"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公务用车购置及运行费</w:t>
            </w: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512"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因公出国（境）费用</w:t>
            </w:r>
          </w:p>
        </w:tc>
        <w:tc>
          <w:tcPr>
            <w:tcW w:w="2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公务接待费</w:t>
            </w:r>
          </w:p>
        </w:tc>
        <w:tc>
          <w:tcPr>
            <w:tcW w:w="1826"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公务用车购置及运行费</w:t>
            </w:r>
          </w:p>
        </w:tc>
        <w:tc>
          <w:tcPr>
            <w:tcW w:w="5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r>
      <w:tr>
        <w:tblPrEx>
          <w:tblCellMar>
            <w:top w:w="0" w:type="dxa"/>
            <w:left w:w="0" w:type="dxa"/>
            <w:bottom w:w="0" w:type="dxa"/>
            <w:right w:w="0" w:type="dxa"/>
          </w:tblCellMar>
        </w:tblPrEx>
        <w:trPr>
          <w:gridAfter w:val="1"/>
          <w:wAfter w:w="2308" w:type="dxa"/>
          <w:trHeight w:val="795" w:hRule="atLeast"/>
        </w:trPr>
        <w:tc>
          <w:tcPr>
            <w:tcW w:w="19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19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公务用车购置费</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公务用车运行费</w:t>
            </w:r>
          </w:p>
        </w:tc>
        <w:tc>
          <w:tcPr>
            <w:tcW w:w="564"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公务用车购置费</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公务用车运行费</w:t>
            </w: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2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小计</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公务用车购置费</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16"/>
                <w:szCs w:val="16"/>
                <w:u w:val="none"/>
              </w:rPr>
            </w:pPr>
            <w:r>
              <w:rPr>
                <w:rFonts w:hint="default" w:ascii="Arial" w:hAnsi="Arial" w:eastAsia="宋体" w:cs="Arial"/>
                <w:b/>
                <w:i w:val="0"/>
                <w:color w:val="000000"/>
                <w:kern w:val="0"/>
                <w:sz w:val="16"/>
                <w:szCs w:val="16"/>
                <w:u w:val="none"/>
                <w:bdr w:val="none" w:color="auto" w:sz="0" w:space="0"/>
                <w:lang w:val="en-US" w:eastAsia="zh-CN" w:bidi="ar"/>
              </w:rPr>
              <w:t>公务用车运行费</w:t>
            </w:r>
          </w:p>
        </w:tc>
        <w:tc>
          <w:tcPr>
            <w:tcW w:w="5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Arial" w:hAnsi="Arial" w:cs="Arial"/>
                <w:b/>
                <w:i w:val="0"/>
                <w:color w:val="000000"/>
                <w:sz w:val="16"/>
                <w:szCs w:val="16"/>
                <w:u w:val="none"/>
              </w:rPr>
            </w:pPr>
          </w:p>
        </w:tc>
      </w:tr>
      <w:tr>
        <w:tblPrEx>
          <w:tblCellMar>
            <w:top w:w="0" w:type="dxa"/>
            <w:left w:w="0" w:type="dxa"/>
            <w:bottom w:w="0" w:type="dxa"/>
            <w:right w:w="0" w:type="dxa"/>
          </w:tblCellMar>
        </w:tblPrEx>
        <w:trPr>
          <w:gridAfter w:val="1"/>
          <w:wAfter w:w="2308" w:type="dxa"/>
          <w:trHeight w:val="1125" w:hRule="atLeast"/>
        </w:trPr>
        <w:tc>
          <w:tcPr>
            <w:tcW w:w="1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1</w:t>
            </w:r>
          </w:p>
        </w:tc>
        <w:tc>
          <w:tcPr>
            <w:tcW w:w="4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12"/>
                <w:szCs w:val="12"/>
                <w:u w:val="none"/>
              </w:rPr>
            </w:pPr>
          </w:p>
        </w:tc>
        <w:tc>
          <w:tcPr>
            <w:tcW w:w="19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bdr w:val="none" w:color="auto" w:sz="0" w:space="0"/>
                <w:lang w:val="en-US" w:eastAsia="zh-CN" w:bidi="ar"/>
              </w:rPr>
              <w:t>合计</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681,700.00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214,700.00</w:t>
            </w:r>
          </w:p>
        </w:tc>
        <w:tc>
          <w:tcPr>
            <w:tcW w:w="56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-481,700.00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-14,700.00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r>
      <w:tr>
        <w:tblPrEx>
          <w:tblCellMar>
            <w:top w:w="0" w:type="dxa"/>
            <w:left w:w="0" w:type="dxa"/>
            <w:bottom w:w="0" w:type="dxa"/>
            <w:right w:w="0" w:type="dxa"/>
          </w:tblCellMar>
        </w:tblPrEx>
        <w:trPr>
          <w:gridAfter w:val="1"/>
          <w:wAfter w:w="2308" w:type="dxa"/>
          <w:trHeight w:val="1125" w:hRule="atLeast"/>
        </w:trPr>
        <w:tc>
          <w:tcPr>
            <w:tcW w:w="1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w:t>
            </w:r>
          </w:p>
        </w:tc>
        <w:tc>
          <w:tcPr>
            <w:tcW w:w="4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202</w:t>
            </w:r>
          </w:p>
        </w:tc>
        <w:tc>
          <w:tcPr>
            <w:tcW w:w="19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bdr w:val="none" w:color="auto" w:sz="0" w:space="0"/>
                <w:lang w:val="en-US" w:eastAsia="zh-CN" w:bidi="ar"/>
              </w:rPr>
              <w:t>中国共产党靖边县纪律检查委员会</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681,700.00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214,700.00</w:t>
            </w:r>
          </w:p>
        </w:tc>
        <w:tc>
          <w:tcPr>
            <w:tcW w:w="56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-481,700.00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-14,700.00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r>
      <w:tr>
        <w:tblPrEx>
          <w:tblCellMar>
            <w:top w:w="0" w:type="dxa"/>
            <w:left w:w="0" w:type="dxa"/>
            <w:bottom w:w="0" w:type="dxa"/>
            <w:right w:w="0" w:type="dxa"/>
          </w:tblCellMar>
        </w:tblPrEx>
        <w:trPr>
          <w:gridAfter w:val="1"/>
          <w:wAfter w:w="2308" w:type="dxa"/>
          <w:trHeight w:val="1125" w:hRule="atLeast"/>
        </w:trPr>
        <w:tc>
          <w:tcPr>
            <w:tcW w:w="19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w:t>
            </w:r>
          </w:p>
        </w:tc>
        <w:tc>
          <w:tcPr>
            <w:tcW w:w="4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bdr w:val="none" w:color="auto" w:sz="0" w:space="0"/>
                <w:lang w:val="en-US" w:eastAsia="zh-CN" w:bidi="ar"/>
              </w:rPr>
              <w:t>　　</w:t>
            </w:r>
            <w:r>
              <w:rPr>
                <w:rFonts w:hint="default" w:ascii="Arial" w:hAnsi="Arial" w:eastAsia="宋体" w:cs="Arial"/>
                <w:i w:val="0"/>
                <w:color w:val="000000"/>
                <w:kern w:val="0"/>
                <w:sz w:val="12"/>
                <w:szCs w:val="12"/>
                <w:u w:val="none"/>
                <w:bdr w:val="none" w:color="auto" w:sz="0" w:space="0"/>
                <w:lang w:val="en-US" w:eastAsia="zh-CN" w:bidi="ar"/>
              </w:rPr>
              <w:t>202001</w:t>
            </w:r>
          </w:p>
        </w:tc>
        <w:tc>
          <w:tcPr>
            <w:tcW w:w="19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bdr w:val="none" w:color="auto" w:sz="0" w:space="0"/>
                <w:lang w:val="en-US" w:eastAsia="zh-CN" w:bidi="ar"/>
              </w:rPr>
              <w:t>中国共产党靖边县纪律检查委员会</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681,700.00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629,700.00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214,700.00</w:t>
            </w:r>
          </w:p>
        </w:tc>
        <w:tc>
          <w:tcPr>
            <w:tcW w:w="56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-481,700.00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51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-429,700.00</w:t>
            </w:r>
          </w:p>
        </w:tc>
        <w:tc>
          <w:tcPr>
            <w:tcW w:w="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-415,000.00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-14,700.00</w:t>
            </w:r>
          </w:p>
        </w:tc>
        <w:tc>
          <w:tcPr>
            <w:tcW w:w="5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-32,000.00</w:t>
            </w:r>
          </w:p>
        </w:tc>
        <w:tc>
          <w:tcPr>
            <w:tcW w:w="8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2"/>
                <w:szCs w:val="12"/>
                <w:u w:val="none"/>
              </w:rPr>
            </w:pPr>
            <w:r>
              <w:rPr>
                <w:rFonts w:hint="default" w:ascii="Arial" w:hAnsi="Arial" w:eastAsia="宋体" w:cs="Arial"/>
                <w:i w:val="0"/>
                <w:color w:val="000000"/>
                <w:kern w:val="0"/>
                <w:sz w:val="12"/>
                <w:szCs w:val="12"/>
                <w:u w:val="none"/>
                <w:bdr w:val="none" w:color="auto" w:sz="0" w:space="0"/>
                <w:lang w:val="en-US" w:eastAsia="zh-CN" w:bidi="ar"/>
              </w:rPr>
              <w:t>-20,000.00</w:t>
            </w:r>
          </w:p>
        </w:tc>
      </w:tr>
      <w:tr>
        <w:tblPrEx>
          <w:tblCellMar>
            <w:top w:w="0" w:type="dxa"/>
            <w:left w:w="0" w:type="dxa"/>
            <w:bottom w:w="0" w:type="dxa"/>
            <w:right w:w="0" w:type="dxa"/>
          </w:tblCellMar>
        </w:tblPrEx>
        <w:trPr>
          <w:trHeight w:val="799" w:hRule="atLeast"/>
        </w:trPr>
        <w:tc>
          <w:tcPr>
            <w:tcW w:w="17530" w:type="dxa"/>
            <w:gridSpan w:val="35"/>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40"/>
                <w:szCs w:val="40"/>
                <w:u w:val="none"/>
              </w:rPr>
            </w:pPr>
            <w:r>
              <w:rPr>
                <w:rFonts w:hint="eastAsia" w:ascii="黑体" w:hAnsi="Arial" w:eastAsia="黑体" w:cs="黑体"/>
                <w:i w:val="0"/>
                <w:color w:val="000000"/>
                <w:kern w:val="0"/>
                <w:sz w:val="40"/>
                <w:szCs w:val="40"/>
                <w:u w:val="none"/>
                <w:bdr w:val="none" w:color="auto" w:sz="0" w:space="0"/>
                <w:lang w:val="en-US" w:eastAsia="zh-CN" w:bidi="ar"/>
              </w:rPr>
              <w:t>2021年单位综合预算专项业务经费支出表</w:t>
            </w:r>
          </w:p>
        </w:tc>
      </w:tr>
      <w:tr>
        <w:tblPrEx>
          <w:tblCellMar>
            <w:top w:w="0" w:type="dxa"/>
            <w:left w:w="0" w:type="dxa"/>
            <w:bottom w:w="0" w:type="dxa"/>
            <w:right w:w="0" w:type="dxa"/>
          </w:tblCellMar>
        </w:tblPrEx>
        <w:trPr>
          <w:trHeight w:val="499" w:hRule="atLeast"/>
        </w:trPr>
        <w:tc>
          <w:tcPr>
            <w:tcW w:w="4770" w:type="dxa"/>
            <w:gridSpan w:val="14"/>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预算单位：中国共产党靖边县纪律检查委员会</w:t>
            </w:r>
          </w:p>
        </w:tc>
        <w:tc>
          <w:tcPr>
            <w:tcW w:w="12760" w:type="dxa"/>
            <w:gridSpan w:val="2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单位：元</w:t>
            </w: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序号</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单位编码</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单位（项目）名称</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项目金额</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bdr w:val="none" w:color="auto" w:sz="0" w:space="0"/>
                <w:lang w:val="en-US" w:eastAsia="zh-CN" w:bidi="ar"/>
              </w:rPr>
              <w:t>项目简介</w:t>
            </w: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202</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中国共产党靖边县纪律检查委员会</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202001</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中国共产党靖边县纪律检查委员会</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1,669,800.00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通用项目</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5</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专项购置</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“同志式”谈话室同步录音录像设备采购</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400,000.00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全县“同志式”谈话室录音录像设备采购，资金来源为财政性资金，组织形式是部门集中采购，采购方式是竞争性谈判。</w:t>
            </w: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7</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全县纪检监察检举举报平台设备采购</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269,800.00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在县纪委监委机关、各派驻纪检组及全县各镇（街道）、便民服务中心、新桥农场实施该项目，资金来源于财政性资金，组织形式是政府集中采购，采购方式是竞争性谈判。</w:t>
            </w: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8</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专用项目</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9</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县级专项业务经费</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705" w:hRule="atLeast"/>
        </w:trPr>
        <w:tc>
          <w:tcPr>
            <w:tcW w:w="6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w:t>
            </w:r>
          </w:p>
        </w:tc>
        <w:tc>
          <w:tcPr>
            <w:tcW w:w="17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　　　　　　　　专案经费</w:t>
            </w:r>
          </w:p>
        </w:tc>
        <w:tc>
          <w:tcPr>
            <w:tcW w:w="139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1,000,000.00</w:t>
            </w:r>
          </w:p>
        </w:tc>
        <w:tc>
          <w:tcPr>
            <w:tcW w:w="12760" w:type="dxa"/>
            <w:gridSpan w:val="2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bdr w:val="none" w:color="auto" w:sz="0" w:space="0"/>
                <w:lang w:val="en-US" w:eastAsia="zh-CN" w:bidi="ar"/>
              </w:rPr>
              <w:t>按照县政府对《关于解决县纪委监委办理市纪委指定专案所需经费报告》的批复，实报实销。</w:t>
            </w:r>
          </w:p>
        </w:tc>
      </w:tr>
    </w:tbl>
    <w:p/>
    <w:p/>
    <w:p/>
    <w:p/>
    <w:tbl>
      <w:tblPr>
        <w:tblW w:w="10545" w:type="dxa"/>
        <w:tblInd w:w="0" w:type="dxa"/>
        <w:shd w:val="clear"/>
        <w:tblLayout w:type="autofit"/>
        <w:tblCellMar>
          <w:top w:w="0" w:type="dxa"/>
          <w:left w:w="0" w:type="dxa"/>
          <w:bottom w:w="0" w:type="dxa"/>
          <w:right w:w="0" w:type="dxa"/>
        </w:tblCellMar>
      </w:tblPr>
      <w:tblGrid>
        <w:gridCol w:w="1510"/>
        <w:gridCol w:w="1104"/>
        <w:gridCol w:w="1174"/>
        <w:gridCol w:w="3384"/>
        <w:gridCol w:w="2316"/>
        <w:gridCol w:w="1057"/>
      </w:tblGrid>
      <w:tr>
        <w:tblPrEx>
          <w:shd w:val="clear"/>
          <w:tblCellMar>
            <w:top w:w="0" w:type="dxa"/>
            <w:left w:w="0" w:type="dxa"/>
            <w:bottom w:w="0" w:type="dxa"/>
            <w:right w:w="0" w:type="dxa"/>
          </w:tblCellMar>
        </w:tblPrEx>
        <w:trPr>
          <w:trHeight w:val="600" w:hRule="atLeast"/>
        </w:trPr>
        <w:tc>
          <w:tcPr>
            <w:tcW w:w="10545"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2021年部门预算专项业务经费绩效目标表</w:t>
            </w:r>
          </w:p>
        </w:tc>
      </w:tr>
      <w:tr>
        <w:tblPrEx>
          <w:tblCellMar>
            <w:top w:w="0" w:type="dxa"/>
            <w:left w:w="0" w:type="dxa"/>
            <w:bottom w:w="0" w:type="dxa"/>
            <w:right w:w="0" w:type="dxa"/>
          </w:tblCellMar>
        </w:tblPrEx>
        <w:trPr>
          <w:trHeight w:val="60" w:hRule="atLeast"/>
        </w:trPr>
        <w:tc>
          <w:tcPr>
            <w:tcW w:w="10545" w:type="dxa"/>
            <w:gridSpan w:val="6"/>
            <w:tcBorders>
              <w:top w:val="nil"/>
              <w:left w:val="nil"/>
              <w:bottom w:val="nil"/>
              <w:right w:val="nil"/>
            </w:tcBorders>
            <w:shd w:val="clear"/>
            <w:tcMar>
              <w:top w:w="15" w:type="dxa"/>
              <w:left w:w="15" w:type="dxa"/>
              <w:right w:w="15" w:type="dxa"/>
            </w:tcMar>
            <w:vAlign w:val="center"/>
          </w:tcPr>
          <w:p>
            <w:pPr>
              <w:jc w:val="center"/>
              <w:rPr>
                <w:rFonts w:hint="eastAsia"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55" w:hRule="atLeast"/>
        </w:trPr>
        <w:tc>
          <w:tcPr>
            <w:tcW w:w="30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项目名称</w:t>
            </w:r>
          </w:p>
        </w:tc>
        <w:tc>
          <w:tcPr>
            <w:tcW w:w="745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“同志式”谈话室同步录音录像设备采购</w:t>
            </w:r>
          </w:p>
        </w:tc>
      </w:tr>
      <w:tr>
        <w:tblPrEx>
          <w:tblCellMar>
            <w:top w:w="0" w:type="dxa"/>
            <w:left w:w="0" w:type="dxa"/>
            <w:bottom w:w="0" w:type="dxa"/>
            <w:right w:w="0" w:type="dxa"/>
          </w:tblCellMar>
        </w:tblPrEx>
        <w:trPr>
          <w:trHeight w:val="510" w:hRule="atLeast"/>
        </w:trPr>
        <w:tc>
          <w:tcPr>
            <w:tcW w:w="309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主管部门</w:t>
            </w:r>
          </w:p>
        </w:tc>
        <w:tc>
          <w:tcPr>
            <w:tcW w:w="745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中国共产党靖边县纪律检查委员会</w:t>
            </w:r>
          </w:p>
        </w:tc>
      </w:tr>
      <w:tr>
        <w:tblPrEx>
          <w:tblCellMar>
            <w:top w:w="0" w:type="dxa"/>
            <w:left w:w="0" w:type="dxa"/>
            <w:bottom w:w="0" w:type="dxa"/>
            <w:right w:w="0" w:type="dxa"/>
          </w:tblCellMar>
        </w:tblPrEx>
        <w:trPr>
          <w:trHeight w:val="582" w:hRule="atLeast"/>
        </w:trPr>
        <w:tc>
          <w:tcPr>
            <w:tcW w:w="309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资金金额</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(万元)</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实施期资金总额：</w:t>
            </w:r>
          </w:p>
        </w:tc>
        <w:tc>
          <w:tcPr>
            <w:tcW w:w="36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40.00</w:t>
            </w:r>
          </w:p>
        </w:tc>
      </w:tr>
      <w:tr>
        <w:tblPrEx>
          <w:tblCellMar>
            <w:top w:w="0" w:type="dxa"/>
            <w:left w:w="0" w:type="dxa"/>
            <w:bottom w:w="0" w:type="dxa"/>
            <w:right w:w="0" w:type="dxa"/>
          </w:tblCellMar>
        </w:tblPrEx>
        <w:trPr>
          <w:trHeight w:val="559" w:hRule="atLeast"/>
        </w:trPr>
        <w:tc>
          <w:tcPr>
            <w:tcW w:w="309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其中：财政拨款</w:t>
            </w:r>
          </w:p>
        </w:tc>
        <w:tc>
          <w:tcPr>
            <w:tcW w:w="36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40.00</w:t>
            </w:r>
          </w:p>
        </w:tc>
      </w:tr>
      <w:tr>
        <w:tblPrEx>
          <w:tblCellMar>
            <w:top w:w="0" w:type="dxa"/>
            <w:left w:w="0" w:type="dxa"/>
            <w:bottom w:w="0" w:type="dxa"/>
            <w:right w:w="0" w:type="dxa"/>
          </w:tblCellMar>
        </w:tblPrEx>
        <w:trPr>
          <w:trHeight w:val="582" w:hRule="atLeast"/>
        </w:trPr>
        <w:tc>
          <w:tcPr>
            <w:tcW w:w="309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其他资金</w:t>
            </w:r>
          </w:p>
        </w:tc>
        <w:tc>
          <w:tcPr>
            <w:tcW w:w="36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2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总体目标</w:t>
            </w:r>
          </w:p>
        </w:tc>
        <w:tc>
          <w:tcPr>
            <w:tcW w:w="9885" w:type="dxa"/>
            <w:gridSpan w:val="5"/>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 xml:space="preserve"> </w:t>
            </w:r>
          </w:p>
        </w:tc>
      </w:tr>
      <w:tr>
        <w:tblPrEx>
          <w:tblCellMar>
            <w:top w:w="0" w:type="dxa"/>
            <w:left w:w="0" w:type="dxa"/>
            <w:bottom w:w="0" w:type="dxa"/>
            <w:right w:w="0" w:type="dxa"/>
          </w:tblCellMar>
        </w:tblPrEx>
        <w:trPr>
          <w:trHeight w:val="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9885" w:type="dxa"/>
            <w:gridSpan w:val="5"/>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firstLineChars="5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年度绩效指标</w:t>
            </w:r>
          </w:p>
        </w:tc>
        <w:tc>
          <w:tcPr>
            <w:tcW w:w="0" w:type="auto"/>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一级指标</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二级指标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指标内容</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指标值</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w:t>
            </w: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产出指标</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数量指标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购置同步录音录像设备</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29套</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质量指标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安装建成符合规定要求的“同志式”谈话室同步录音录像设备，切实保障办案安全。</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完成率100%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时效指标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2020年12月31日完成规划建设</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按期完成率100%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成本指标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县纪委规划建设</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400000元</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78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效益指标</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经济效益指标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社会效益指标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完善全县各级纪委“同志式”谈话室标准化建设，全年不发生审查调查安全事故。</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长期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生态效益指标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可持续影响指标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87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1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满意度指标</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服务对象满意度指标</w:t>
            </w:r>
          </w:p>
        </w:tc>
        <w:tc>
          <w:tcPr>
            <w:tcW w:w="37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全县各级纪委，纪检监察全体干部</w:t>
            </w:r>
          </w:p>
        </w:tc>
        <w:tc>
          <w:tcPr>
            <w:tcW w:w="25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96%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930" w:hRule="atLeast"/>
        </w:trPr>
        <w:tc>
          <w:tcPr>
            <w:tcW w:w="10545"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备注：1、绩效指标可选择填写。 2、根据需要可往下续表。 3、市县扶贫资金项目的绩效目标必须公开。</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4、市县部门也应公开。</w:t>
            </w:r>
          </w:p>
        </w:tc>
      </w:tr>
    </w:tbl>
    <w:p/>
    <w:p/>
    <w:p/>
    <w:p/>
    <w:p/>
    <w:p/>
    <w:p/>
    <w:p/>
    <w:p/>
    <w:p/>
    <w:p/>
    <w:p/>
    <w:p/>
    <w:tbl>
      <w:tblPr>
        <w:tblW w:w="10575" w:type="dxa"/>
        <w:tblInd w:w="0" w:type="dxa"/>
        <w:shd w:val="clear"/>
        <w:tblLayout w:type="autofit"/>
        <w:tblCellMar>
          <w:top w:w="0" w:type="dxa"/>
          <w:left w:w="0" w:type="dxa"/>
          <w:bottom w:w="0" w:type="dxa"/>
          <w:right w:w="0" w:type="dxa"/>
        </w:tblCellMar>
      </w:tblPr>
      <w:tblGrid>
        <w:gridCol w:w="1510"/>
        <w:gridCol w:w="1070"/>
        <w:gridCol w:w="1611"/>
        <w:gridCol w:w="3431"/>
        <w:gridCol w:w="1915"/>
        <w:gridCol w:w="1038"/>
      </w:tblGrid>
      <w:tr>
        <w:tblPrEx>
          <w:shd w:val="clear"/>
          <w:tblCellMar>
            <w:top w:w="0" w:type="dxa"/>
            <w:left w:w="0" w:type="dxa"/>
            <w:bottom w:w="0" w:type="dxa"/>
            <w:right w:w="0" w:type="dxa"/>
          </w:tblCellMar>
        </w:tblPrEx>
        <w:trPr>
          <w:trHeight w:val="540" w:hRule="atLeast"/>
        </w:trPr>
        <w:tc>
          <w:tcPr>
            <w:tcW w:w="10575"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2021年部门预算专项业务经费绩效目标表</w:t>
            </w:r>
          </w:p>
        </w:tc>
      </w:tr>
      <w:tr>
        <w:tblPrEx>
          <w:tblCellMar>
            <w:top w:w="0" w:type="dxa"/>
            <w:left w:w="0" w:type="dxa"/>
            <w:bottom w:w="0" w:type="dxa"/>
            <w:right w:w="0" w:type="dxa"/>
          </w:tblCellMar>
        </w:tblPrEx>
        <w:trPr>
          <w:trHeight w:val="480" w:hRule="atLeast"/>
        </w:trPr>
        <w:tc>
          <w:tcPr>
            <w:tcW w:w="33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项目名称</w:t>
            </w:r>
          </w:p>
        </w:tc>
        <w:tc>
          <w:tcPr>
            <w:tcW w:w="72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全县纪检监察检举举报平台设备采购</w:t>
            </w:r>
          </w:p>
        </w:tc>
      </w:tr>
      <w:tr>
        <w:tblPrEx>
          <w:tblCellMar>
            <w:top w:w="0" w:type="dxa"/>
            <w:left w:w="0" w:type="dxa"/>
            <w:bottom w:w="0" w:type="dxa"/>
            <w:right w:w="0" w:type="dxa"/>
          </w:tblCellMar>
        </w:tblPrEx>
        <w:trPr>
          <w:trHeight w:val="480" w:hRule="atLeast"/>
        </w:trPr>
        <w:tc>
          <w:tcPr>
            <w:tcW w:w="337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主管部门</w:t>
            </w:r>
          </w:p>
        </w:tc>
        <w:tc>
          <w:tcPr>
            <w:tcW w:w="72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中国共产党靖边县纪律检查委员会</w:t>
            </w:r>
          </w:p>
        </w:tc>
      </w:tr>
      <w:tr>
        <w:tblPrEx>
          <w:tblCellMar>
            <w:top w:w="0" w:type="dxa"/>
            <w:left w:w="0" w:type="dxa"/>
            <w:bottom w:w="0" w:type="dxa"/>
            <w:right w:w="0" w:type="dxa"/>
          </w:tblCellMar>
        </w:tblPrEx>
        <w:trPr>
          <w:trHeight w:val="480" w:hRule="atLeast"/>
        </w:trPr>
        <w:tc>
          <w:tcPr>
            <w:tcW w:w="3375"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资金金额</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(万元)</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实施期资金总额：</w:t>
            </w:r>
          </w:p>
        </w:tc>
        <w:tc>
          <w:tcPr>
            <w:tcW w:w="32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26.98</w:t>
            </w:r>
          </w:p>
        </w:tc>
      </w:tr>
      <w:tr>
        <w:tblPrEx>
          <w:tblCellMar>
            <w:top w:w="0" w:type="dxa"/>
            <w:left w:w="0" w:type="dxa"/>
            <w:bottom w:w="0" w:type="dxa"/>
            <w:right w:w="0" w:type="dxa"/>
          </w:tblCellMar>
        </w:tblPrEx>
        <w:trPr>
          <w:trHeight w:val="480" w:hRule="atLeast"/>
        </w:trPr>
        <w:tc>
          <w:tcPr>
            <w:tcW w:w="337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其中：财政拨款</w:t>
            </w:r>
          </w:p>
        </w:tc>
        <w:tc>
          <w:tcPr>
            <w:tcW w:w="32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26.98</w:t>
            </w:r>
          </w:p>
        </w:tc>
      </w:tr>
      <w:tr>
        <w:tblPrEx>
          <w:tblCellMar>
            <w:top w:w="0" w:type="dxa"/>
            <w:left w:w="0" w:type="dxa"/>
            <w:bottom w:w="0" w:type="dxa"/>
            <w:right w:w="0" w:type="dxa"/>
          </w:tblCellMar>
        </w:tblPrEx>
        <w:trPr>
          <w:trHeight w:val="480" w:hRule="atLeast"/>
        </w:trPr>
        <w:tc>
          <w:tcPr>
            <w:tcW w:w="337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其他资金</w:t>
            </w:r>
          </w:p>
        </w:tc>
        <w:tc>
          <w:tcPr>
            <w:tcW w:w="32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2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总体目标</w:t>
            </w:r>
          </w:p>
        </w:tc>
        <w:tc>
          <w:tcPr>
            <w:tcW w:w="10125" w:type="dxa"/>
            <w:gridSpan w:val="5"/>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确保信访举报受理、办理、处置、反馈等过程依规依纪依法和规范操作.</w:t>
            </w:r>
          </w:p>
        </w:tc>
      </w:tr>
      <w:tr>
        <w:tblPrEx>
          <w:tblCellMar>
            <w:top w:w="0" w:type="dxa"/>
            <w:left w:w="0" w:type="dxa"/>
            <w:bottom w:w="0" w:type="dxa"/>
            <w:right w:w="0" w:type="dxa"/>
          </w:tblCellMar>
        </w:tblPrEx>
        <w:trPr>
          <w:trHeight w:val="3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125" w:type="dxa"/>
            <w:gridSpan w:val="5"/>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firstLineChars="5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年度绩效指标</w:t>
            </w:r>
          </w:p>
        </w:tc>
        <w:tc>
          <w:tcPr>
            <w:tcW w:w="0" w:type="auto"/>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一级指标</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二级指标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指标内容</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指标值</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w:t>
            </w: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产出指标</w:t>
            </w:r>
          </w:p>
        </w:tc>
        <w:tc>
          <w:tcPr>
            <w:tcW w:w="18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数量指标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购置电脑</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67台</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打印机</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13台</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高拍仪</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13个</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身份证读卡器</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2个</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扫描仪</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6个</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质量指标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按照建设标准完成。</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100%完成</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时效指标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2020年底完成规划建设。</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完成率100%</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成本指标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县纪委规划建设</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269800元</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效益指标</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经济效益指标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社会效益指标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确保检举举报平台正规化运行</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长期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确保信访渠道顺畅有序</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长期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确保信访过程依规依纪依法和规范操作</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长期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生态效益指标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可持续影响指标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确保检举举报平台正规化运行</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长期</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585" w:hRule="atLeast"/>
        </w:trPr>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35"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满意度指标</w:t>
            </w:r>
          </w:p>
        </w:tc>
        <w:tc>
          <w:tcPr>
            <w:tcW w:w="18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服务对象满意度指标</w:t>
            </w:r>
          </w:p>
        </w:tc>
        <w:tc>
          <w:tcPr>
            <w:tcW w:w="3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全县各级纪委及举报人</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96%</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960" w:hRule="atLeast"/>
        </w:trPr>
        <w:tc>
          <w:tcPr>
            <w:tcW w:w="10575"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备注：1、绩效指标可选择填写。 2、根据需要可往下续表。 3、市县扶贫资金项目的绩效目标必须公开。</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4、市县部门也应公开。</w:t>
            </w:r>
          </w:p>
        </w:tc>
      </w:tr>
    </w:tbl>
    <w:p/>
    <w:p/>
    <w:p/>
    <w:p/>
    <w:p/>
    <w:p/>
    <w:p/>
    <w:p/>
    <w:p/>
    <w:p/>
    <w:p/>
    <w:p/>
    <w:p/>
    <w:p/>
    <w:p/>
    <w:p/>
    <w:p/>
    <w:tbl>
      <w:tblPr>
        <w:tblW w:w="10500" w:type="dxa"/>
        <w:tblInd w:w="0" w:type="dxa"/>
        <w:shd w:val="clear"/>
        <w:tblLayout w:type="autofit"/>
        <w:tblCellMar>
          <w:top w:w="0" w:type="dxa"/>
          <w:left w:w="0" w:type="dxa"/>
          <w:bottom w:w="0" w:type="dxa"/>
          <w:right w:w="0" w:type="dxa"/>
        </w:tblCellMar>
      </w:tblPr>
      <w:tblGrid>
        <w:gridCol w:w="1510"/>
        <w:gridCol w:w="1078"/>
        <w:gridCol w:w="1486"/>
        <w:gridCol w:w="3083"/>
        <w:gridCol w:w="2291"/>
        <w:gridCol w:w="1052"/>
      </w:tblGrid>
      <w:tr>
        <w:tblPrEx>
          <w:shd w:val="clear"/>
          <w:tblCellMar>
            <w:top w:w="0" w:type="dxa"/>
            <w:left w:w="0" w:type="dxa"/>
            <w:bottom w:w="0" w:type="dxa"/>
            <w:right w:w="0" w:type="dxa"/>
          </w:tblCellMar>
        </w:tblPrEx>
        <w:trPr>
          <w:trHeight w:val="555" w:hRule="atLeast"/>
        </w:trPr>
        <w:tc>
          <w:tcPr>
            <w:tcW w:w="10500"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2021年部门预算专项业务经费绩效目标表</w:t>
            </w:r>
          </w:p>
        </w:tc>
      </w:tr>
      <w:tr>
        <w:tblPrEx>
          <w:tblCellMar>
            <w:top w:w="0" w:type="dxa"/>
            <w:left w:w="0" w:type="dxa"/>
            <w:bottom w:w="0" w:type="dxa"/>
            <w:right w:w="0" w:type="dxa"/>
          </w:tblCellMar>
        </w:tblPrEx>
        <w:trPr>
          <w:trHeight w:val="420"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项目名称</w:t>
            </w:r>
          </w:p>
        </w:tc>
        <w:tc>
          <w:tcPr>
            <w:tcW w:w="717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专案经费</w:t>
            </w:r>
          </w:p>
        </w:tc>
      </w:tr>
      <w:tr>
        <w:tblPrEx>
          <w:tblCellMar>
            <w:top w:w="0" w:type="dxa"/>
            <w:left w:w="0" w:type="dxa"/>
            <w:bottom w:w="0" w:type="dxa"/>
            <w:right w:w="0" w:type="dxa"/>
          </w:tblCellMar>
        </w:tblPrEx>
        <w:trPr>
          <w:trHeight w:val="420" w:hRule="atLeast"/>
        </w:trPr>
        <w:tc>
          <w:tcPr>
            <w:tcW w:w="33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主管部门</w:t>
            </w:r>
          </w:p>
        </w:tc>
        <w:tc>
          <w:tcPr>
            <w:tcW w:w="717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中国共产党靖边县纪律检查委员会</w:t>
            </w:r>
          </w:p>
        </w:tc>
      </w:tr>
      <w:tr>
        <w:tblPrEx>
          <w:tblCellMar>
            <w:top w:w="0" w:type="dxa"/>
            <w:left w:w="0" w:type="dxa"/>
            <w:bottom w:w="0" w:type="dxa"/>
            <w:right w:w="0" w:type="dxa"/>
          </w:tblCellMar>
        </w:tblPrEx>
        <w:trPr>
          <w:trHeight w:val="420" w:hRule="atLeast"/>
        </w:trPr>
        <w:tc>
          <w:tcPr>
            <w:tcW w:w="333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资金金额</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(万元)</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实施期资金总额：</w:t>
            </w:r>
          </w:p>
        </w:tc>
        <w:tc>
          <w:tcPr>
            <w:tcW w:w="37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100.00</w:t>
            </w:r>
          </w:p>
        </w:tc>
      </w:tr>
      <w:tr>
        <w:tblPrEx>
          <w:tblCellMar>
            <w:top w:w="0" w:type="dxa"/>
            <w:left w:w="0" w:type="dxa"/>
            <w:bottom w:w="0" w:type="dxa"/>
            <w:right w:w="0" w:type="dxa"/>
          </w:tblCellMar>
        </w:tblPrEx>
        <w:trPr>
          <w:trHeight w:val="420" w:hRule="atLeast"/>
        </w:trPr>
        <w:tc>
          <w:tcPr>
            <w:tcW w:w="333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其中：财政拨款</w:t>
            </w:r>
          </w:p>
        </w:tc>
        <w:tc>
          <w:tcPr>
            <w:tcW w:w="37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100.00</w:t>
            </w:r>
          </w:p>
        </w:tc>
      </w:tr>
      <w:tr>
        <w:tblPrEx>
          <w:tblCellMar>
            <w:top w:w="0" w:type="dxa"/>
            <w:left w:w="0" w:type="dxa"/>
            <w:bottom w:w="0" w:type="dxa"/>
            <w:right w:w="0" w:type="dxa"/>
          </w:tblCellMar>
        </w:tblPrEx>
        <w:trPr>
          <w:trHeight w:val="420" w:hRule="atLeast"/>
        </w:trPr>
        <w:tc>
          <w:tcPr>
            <w:tcW w:w="333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0" w:type="auto"/>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其他资金</w:t>
            </w:r>
          </w:p>
        </w:tc>
        <w:tc>
          <w:tcPr>
            <w:tcW w:w="37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6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2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总体目标</w:t>
            </w:r>
          </w:p>
        </w:tc>
        <w:tc>
          <w:tcPr>
            <w:tcW w:w="9945" w:type="dxa"/>
            <w:gridSpan w:val="5"/>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 xml:space="preserve"> 加大执纪审查力度，确保完成上级交办的专案任务。</w:t>
            </w:r>
          </w:p>
        </w:tc>
      </w:tr>
      <w:tr>
        <w:tblPrEx>
          <w:tblCellMar>
            <w:top w:w="0" w:type="dxa"/>
            <w:left w:w="0" w:type="dxa"/>
            <w:bottom w:w="0" w:type="dxa"/>
            <w:right w:w="0" w:type="dxa"/>
          </w:tblCellMar>
        </w:tblPrEx>
        <w:trPr>
          <w:trHeight w:val="5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9945" w:type="dxa"/>
            <w:gridSpan w:val="5"/>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78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ind w:firstLineChars="500"/>
              <w:jc w:val="both"/>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年度绩效指标</w:t>
            </w:r>
          </w:p>
        </w:tc>
        <w:tc>
          <w:tcPr>
            <w:tcW w:w="0" w:type="auto"/>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一级指标</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二级指标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指标内容</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指标值</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w:t>
            </w: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产出指标</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数量指标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完成专案数量</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2个</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质量指标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办案质量</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符合专案要求</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时效指标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资金支付时效</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及时支付</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成本指标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投入资金</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100万</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效益指标</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经济效益指标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社会效益指标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严肃查处违法违纪案件，保持正风反腐工作的态势，全面从严治党，对腐败分子形成强有力震慑。</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不断加强</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生态效益指标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 w:hAnsi="仿宋" w:eastAsia="仿宋" w:cs="仿宋"/>
                <w:i w:val="0"/>
                <w:color w:val="000000"/>
                <w:sz w:val="26"/>
                <w:szCs w:val="26"/>
                <w:u w:val="none"/>
              </w:rPr>
            </w:pP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可持续影响指标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对腐败分子的震慑</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不断加强</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10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default" w:ascii="仿宋" w:hAnsi="仿宋" w:eastAsia="仿宋" w:cs="仿宋"/>
                <w:i w:val="0"/>
                <w:color w:val="000000"/>
                <w:sz w:val="26"/>
                <w:szCs w:val="26"/>
                <w:u w:val="none"/>
              </w:rPr>
            </w:pPr>
          </w:p>
        </w:tc>
        <w:tc>
          <w:tcPr>
            <w:tcW w:w="108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满意度指标</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服务对象满意度指标</w:t>
            </w:r>
          </w:p>
        </w:tc>
        <w:tc>
          <w:tcPr>
            <w:tcW w:w="34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广大人民群众满意度</w:t>
            </w:r>
          </w:p>
        </w:tc>
        <w:tc>
          <w:tcPr>
            <w:tcW w:w="25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大于94%</w:t>
            </w:r>
          </w:p>
        </w:tc>
        <w:tc>
          <w:tcPr>
            <w:tcW w:w="11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default" w:ascii="仿宋" w:hAnsi="仿宋" w:eastAsia="仿宋" w:cs="仿宋"/>
                <w:i w:val="0"/>
                <w:color w:val="000000"/>
                <w:sz w:val="26"/>
                <w:szCs w:val="26"/>
                <w:u w:val="none"/>
              </w:rPr>
            </w:pPr>
          </w:p>
        </w:tc>
      </w:tr>
      <w:tr>
        <w:tblPrEx>
          <w:tblCellMar>
            <w:top w:w="0" w:type="dxa"/>
            <w:left w:w="0" w:type="dxa"/>
            <w:bottom w:w="0" w:type="dxa"/>
            <w:right w:w="0" w:type="dxa"/>
          </w:tblCellMar>
        </w:tblPrEx>
        <w:trPr>
          <w:trHeight w:val="915" w:hRule="atLeast"/>
        </w:trPr>
        <w:tc>
          <w:tcPr>
            <w:tcW w:w="10500" w:type="dxa"/>
            <w:gridSpan w:val="6"/>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6"/>
                <w:szCs w:val="26"/>
                <w:u w:val="none"/>
              </w:rPr>
            </w:pPr>
            <w:r>
              <w:rPr>
                <w:rFonts w:hint="default" w:ascii="仿宋" w:hAnsi="仿宋" w:eastAsia="仿宋" w:cs="仿宋"/>
                <w:i w:val="0"/>
                <w:color w:val="000000"/>
                <w:kern w:val="0"/>
                <w:sz w:val="26"/>
                <w:szCs w:val="26"/>
                <w:u w:val="none"/>
                <w:bdr w:val="none" w:color="auto" w:sz="0" w:space="0"/>
                <w:lang w:val="en-US" w:eastAsia="zh-CN" w:bidi="ar"/>
              </w:rPr>
              <w:t>备注：1、绩效指标可选择填写。 2、根据需要可往下续表。 3、市县扶贫资金项目的绩效目标必须公开。</w:t>
            </w:r>
            <w:r>
              <w:rPr>
                <w:rFonts w:hint="default" w:ascii="仿宋" w:hAnsi="仿宋" w:eastAsia="仿宋" w:cs="仿宋"/>
                <w:i w:val="0"/>
                <w:color w:val="000000"/>
                <w:kern w:val="0"/>
                <w:sz w:val="26"/>
                <w:szCs w:val="26"/>
                <w:u w:val="none"/>
                <w:bdr w:val="none" w:color="auto" w:sz="0" w:space="0"/>
                <w:lang w:val="en-US" w:eastAsia="zh-CN" w:bidi="ar"/>
              </w:rPr>
              <w:br w:type="textWrapping"/>
            </w:r>
            <w:r>
              <w:rPr>
                <w:rFonts w:hint="default" w:ascii="仿宋" w:hAnsi="仿宋" w:eastAsia="仿宋" w:cs="仿宋"/>
                <w:i w:val="0"/>
                <w:color w:val="000000"/>
                <w:kern w:val="0"/>
                <w:sz w:val="26"/>
                <w:szCs w:val="26"/>
                <w:u w:val="none"/>
                <w:bdr w:val="none" w:color="auto" w:sz="0" w:space="0"/>
                <w:lang w:val="en-US" w:eastAsia="zh-CN" w:bidi="ar"/>
              </w:rPr>
              <w:t>4、市县部门也应公开。</w:t>
            </w:r>
          </w:p>
        </w:tc>
      </w:tr>
    </w:tbl>
    <w:p>
      <w:bookmarkStart w:id="0" w:name="_GoBack"/>
      <w:bookmarkEnd w:id="0"/>
    </w:p>
    <w:p/>
    <w:p/>
    <w:sectPr>
      <w:pgSz w:w="16840" w:h="11900" w:orient="landscape"/>
      <w:pgMar w:top="720" w:right="600" w:bottom="280" w:left="600" w:header="720" w:footer="720" w:gutter="0"/>
      <w:pgBorders w:offsetFrom="page">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CB2D42"/>
    <w:multiLevelType w:val="singleLevel"/>
    <w:tmpl w:val="C2CB2D42"/>
    <w:lvl w:ilvl="0" w:tentative="0">
      <w:start w:val="4"/>
      <w:numFmt w:val="decimal"/>
      <w:suff w:val="nothing"/>
      <w:lvlText w:val="%1、"/>
      <w:lvlJc w:val="left"/>
    </w:lvl>
  </w:abstractNum>
  <w:abstractNum w:abstractNumId="1">
    <w:nsid w:val="E185C036"/>
    <w:multiLevelType w:val="singleLevel"/>
    <w:tmpl w:val="E185C036"/>
    <w:lvl w:ilvl="0" w:tentative="0">
      <w:start w:val="1"/>
      <w:numFmt w:val="decimal"/>
      <w:suff w:val="nothing"/>
      <w:lvlText w:val="%1、"/>
      <w:lvlJc w:val="left"/>
    </w:lvl>
  </w:abstractNum>
  <w:abstractNum w:abstractNumId="2">
    <w:nsid w:val="68F8533F"/>
    <w:multiLevelType w:val="singleLevel"/>
    <w:tmpl w:val="68F8533F"/>
    <w:lvl w:ilvl="0" w:tentative="0">
      <w:start w:val="1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4A59D4"/>
    <w:rsid w:val="0AD476C3"/>
    <w:rsid w:val="131F70D7"/>
    <w:rsid w:val="1EA961B5"/>
    <w:rsid w:val="2A9C0935"/>
    <w:rsid w:val="303A7DA5"/>
    <w:rsid w:val="33260F50"/>
    <w:rsid w:val="3A0B397E"/>
    <w:rsid w:val="3B340A13"/>
    <w:rsid w:val="3E7942E6"/>
    <w:rsid w:val="41C95CDD"/>
    <w:rsid w:val="6EE94671"/>
    <w:rsid w:val="6FE2705C"/>
    <w:rsid w:val="75531357"/>
    <w:rsid w:val="77DD4D47"/>
    <w:rsid w:val="79980091"/>
    <w:rsid w:val="7F7940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0"/>
      <w:jc w:val="center"/>
      <w:outlineLvl w:val="1"/>
    </w:pPr>
    <w:rPr>
      <w:rFonts w:ascii="宋体" w:hAnsi="宋体" w:eastAsia="宋体" w:cs="宋体"/>
      <w:sz w:val="40"/>
      <w:szCs w:val="40"/>
      <w:lang w:val="zh-CN" w:eastAsia="zh-CN" w:bidi="zh-CN"/>
    </w:rPr>
  </w:style>
  <w:style w:type="paragraph" w:styleId="3">
    <w:name w:val="heading 2"/>
    <w:basedOn w:val="1"/>
    <w:next w:val="1"/>
    <w:qFormat/>
    <w:uiPriority w:val="1"/>
    <w:pPr>
      <w:spacing w:before="137"/>
      <w:ind w:left="580"/>
      <w:outlineLvl w:val="2"/>
    </w:pPr>
    <w:rPr>
      <w:rFonts w:ascii="宋体" w:hAnsi="宋体" w:eastAsia="宋体" w:cs="宋体"/>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pPr>
      <w:spacing w:before="35"/>
    </w:pPr>
    <w:rPr>
      <w:rFonts w:ascii="宋体" w:hAnsi="宋体" w:eastAsia="宋体" w:cs="宋体"/>
      <w:lang w:val="zh-CN" w:eastAsia="zh-CN" w:bidi="zh-CN"/>
    </w:rPr>
  </w:style>
  <w:style w:type="character" w:customStyle="1" w:styleId="12">
    <w:name w:val="font01"/>
    <w:basedOn w:val="8"/>
    <w:uiPriority w:val="0"/>
    <w:rPr>
      <w:rFonts w:hint="eastAsia" w:ascii="宋体" w:hAnsi="宋体" w:eastAsia="宋体" w:cs="宋体"/>
      <w:color w:val="000000"/>
      <w:sz w:val="20"/>
      <w:szCs w:val="20"/>
      <w:u w:val="none"/>
    </w:rPr>
  </w:style>
  <w:style w:type="character" w:customStyle="1" w:styleId="13">
    <w:name w:val="font31"/>
    <w:basedOn w:val="8"/>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2021-06-16T02:52:00Z</dcterms:created>
  <dc:creator>Administrator</dc:creator>
  <cp:lastModifiedBy>暗里着迷</cp:lastModifiedBy>
  <dcterms:modified xsi:type="dcterms:W3CDTF">2021-06-16T08:23:22Z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LastSaved">
    <vt:filetime>2021-06-16T00:00:00Z</vt:filetime>
  </property>
  <property fmtid="{D5CDD505-2E9C-101B-9397-08002B2CF9AE}" pid="4" name="KSOProductBuildVer">
    <vt:lpwstr>2052-11.1.0.10314</vt:lpwstr>
  </property>
  <property fmtid="{D5CDD505-2E9C-101B-9397-08002B2CF9AE}" pid="5" name="ICV">
    <vt:lpwstr>DCBFCCB5617C40DCAB9E2AD825E0EB83</vt:lpwstr>
  </property>
</Properties>
</file>