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jc w:val="center"/>
        <w:rPr>
          <w:rFonts w:ascii="Times New Roman" w:hAnsi="Times New Roman"/>
          <w:color w:val="auto"/>
          <w:sz w:val="36"/>
          <w:szCs w:val="36"/>
        </w:rPr>
      </w:pPr>
    </w:p>
    <w:p>
      <w:pPr>
        <w:widowControl w:val="0"/>
        <w:jc w:val="center"/>
        <w:rPr>
          <w:rFonts w:ascii="Times New Roman" w:hAnsi="Times New Roman"/>
          <w:color w:val="auto"/>
          <w:sz w:val="36"/>
          <w:szCs w:val="36"/>
        </w:rPr>
      </w:pPr>
      <w:r>
        <w:rPr>
          <w:rFonts w:ascii="Times New Roman" w:hAnsi="Times New Roman"/>
          <w:color w:val="auto"/>
          <w:sz w:val="36"/>
          <w:szCs w:val="36"/>
        </w:rPr>
        <w:t xml:space="preserve"> </w:t>
      </w:r>
    </w:p>
    <w:p>
      <w:pPr>
        <w:widowControl w:val="0"/>
        <w:jc w:val="center"/>
        <w:rPr>
          <w:rFonts w:ascii="Times New Roman" w:hAnsi="Times New Roman"/>
          <w:color w:val="auto"/>
          <w:sz w:val="36"/>
          <w:szCs w:val="36"/>
        </w:rPr>
      </w:pPr>
    </w:p>
    <w:p>
      <w:pPr>
        <w:widowControl w:val="0"/>
        <w:jc w:val="center"/>
        <w:rPr>
          <w:rFonts w:ascii="Times New Roman" w:hAnsi="Times New Roman"/>
          <w:color w:val="auto"/>
          <w:sz w:val="36"/>
          <w:szCs w:val="36"/>
        </w:rPr>
      </w:pPr>
    </w:p>
    <w:p>
      <w:pPr>
        <w:widowControl w:val="0"/>
        <w:adjustRightInd w:val="0"/>
        <w:snapToGrid w:val="0"/>
        <w:jc w:val="center"/>
        <w:outlineLvl w:val="0"/>
        <w:rPr>
          <w:rFonts w:ascii="Times New Roman" w:hAnsi="Times New Roman" w:eastAsia="黑体"/>
          <w:bCs/>
          <w:color w:val="auto"/>
          <w:spacing w:val="20"/>
          <w:w w:val="90"/>
          <w:sz w:val="72"/>
          <w:szCs w:val="72"/>
        </w:rPr>
      </w:pPr>
      <w:r>
        <w:rPr>
          <w:rFonts w:ascii="Times New Roman" w:hAnsi="Times New Roman" w:eastAsia="黑体"/>
          <w:bCs/>
          <w:color w:val="auto"/>
          <w:spacing w:val="20"/>
          <w:w w:val="90"/>
          <w:sz w:val="72"/>
          <w:szCs w:val="72"/>
        </w:rPr>
        <w:t>建设项目环境影响报告表</w:t>
      </w:r>
    </w:p>
    <w:p>
      <w:pPr>
        <w:widowControl w:val="0"/>
        <w:adjustRightInd w:val="0"/>
        <w:snapToGrid w:val="0"/>
        <w:spacing w:before="273" w:beforeLines="80"/>
        <w:jc w:val="center"/>
        <w:rPr>
          <w:rFonts w:ascii="Times New Roman" w:hAnsi="Times New Roman" w:eastAsia="楷体"/>
          <w:bCs/>
          <w:color w:val="auto"/>
          <w:sz w:val="44"/>
          <w:szCs w:val="44"/>
        </w:rPr>
      </w:pPr>
      <w:r>
        <w:rPr>
          <w:rFonts w:ascii="Times New Roman" w:hAnsi="Times New Roman" w:eastAsia="楷体"/>
          <w:bCs/>
          <w:color w:val="auto"/>
          <w:sz w:val="44"/>
          <w:szCs w:val="44"/>
        </w:rPr>
        <w:t>(污染影响类)</w:t>
      </w:r>
    </w:p>
    <w:p>
      <w:pPr>
        <w:widowControl w:val="0"/>
        <w:jc w:val="center"/>
        <w:rPr>
          <w:rFonts w:ascii="Times New Roman" w:hAnsi="Times New Roman"/>
          <w:color w:val="auto"/>
          <w:kern w:val="44"/>
          <w:sz w:val="44"/>
          <w:szCs w:val="44"/>
        </w:rPr>
      </w:pPr>
    </w:p>
    <w:p>
      <w:pPr>
        <w:widowControl w:val="0"/>
        <w:jc w:val="center"/>
        <w:rPr>
          <w:rFonts w:ascii="Times New Roman" w:hAnsi="Times New Roman"/>
          <w:color w:val="auto"/>
          <w:kern w:val="44"/>
          <w:sz w:val="44"/>
          <w:szCs w:val="44"/>
        </w:rPr>
      </w:pPr>
    </w:p>
    <w:p>
      <w:pPr>
        <w:widowControl w:val="0"/>
        <w:adjustRightInd w:val="0"/>
        <w:spacing w:before="342" w:beforeLines="100" w:line="360" w:lineRule="auto"/>
        <w:ind w:left="2517" w:leftChars="203" w:right="846" w:rightChars="403" w:hanging="2091" w:hangingChars="581"/>
        <w:rPr>
          <w:rFonts w:ascii="Times New Roman" w:hAnsi="Times New Roman" w:eastAsia="仿宋"/>
          <w:color w:val="auto"/>
          <w:sz w:val="36"/>
          <w:szCs w:val="36"/>
          <w:u w:val="thick"/>
        </w:rPr>
      </w:pPr>
      <w:r>
        <w:rPr>
          <w:rFonts w:ascii="Times New Roman" w:hAnsi="Times New Roman" w:eastAsia="仿宋"/>
          <w:color w:val="auto"/>
          <w:sz w:val="36"/>
          <w:szCs w:val="36"/>
        </w:rPr>
        <w:t>项目名称：</w:t>
      </w:r>
      <w:r>
        <w:rPr>
          <w:rFonts w:ascii="Times New Roman" w:hAnsi="Times New Roman" w:eastAsia="仿宋"/>
          <w:color w:val="auto"/>
          <w:sz w:val="36"/>
          <w:szCs w:val="36"/>
          <w:u w:val="thick"/>
        </w:rPr>
        <w:t>陕西靖边星源实业有限公司年生产 30 万吨车用液化天然气氦气提取技改项目</w:t>
      </w:r>
    </w:p>
    <w:p>
      <w:pPr>
        <w:widowControl w:val="0"/>
        <w:adjustRightInd w:val="0"/>
        <w:spacing w:before="342" w:beforeLines="100" w:line="360" w:lineRule="auto"/>
        <w:ind w:left="3176" w:leftChars="203" w:right="846" w:rightChars="403" w:hanging="2750" w:hangingChars="764"/>
        <w:jc w:val="both"/>
        <w:rPr>
          <w:rFonts w:ascii="Times New Roman" w:hAnsi="Times New Roman" w:eastAsia="仿宋"/>
          <w:color w:val="auto"/>
          <w:sz w:val="36"/>
          <w:szCs w:val="36"/>
          <w:u w:val="single"/>
        </w:rPr>
      </w:pPr>
      <w:r>
        <w:rPr>
          <w:rFonts w:ascii="Times New Roman" w:hAnsi="Times New Roman" w:eastAsia="仿宋"/>
          <w:color w:val="auto"/>
          <w:sz w:val="36"/>
          <w:szCs w:val="36"/>
        </w:rPr>
        <w:t>建设单位(盖章)：</w:t>
      </w:r>
      <w:r>
        <w:rPr>
          <w:rFonts w:ascii="Times New Roman" w:hAnsi="Times New Roman" w:eastAsia="仿宋"/>
          <w:color w:val="auto"/>
          <w:sz w:val="36"/>
          <w:szCs w:val="36"/>
          <w:u w:val="thick"/>
        </w:rPr>
        <w:t xml:space="preserve">  陕西靖边星源实业有限公司        </w:t>
      </w:r>
    </w:p>
    <w:p>
      <w:pPr>
        <w:widowControl w:val="0"/>
        <w:adjustRightInd w:val="0"/>
        <w:spacing w:before="342" w:beforeLines="100" w:line="360" w:lineRule="auto"/>
        <w:ind w:left="2517" w:leftChars="203" w:right="846" w:rightChars="403" w:hanging="2091" w:hangingChars="581"/>
        <w:jc w:val="both"/>
        <w:rPr>
          <w:rFonts w:ascii="Times New Roman" w:hAnsi="Times New Roman" w:eastAsia="仿宋"/>
          <w:color w:val="auto"/>
          <w:sz w:val="36"/>
          <w:szCs w:val="36"/>
          <w:u w:val="single"/>
        </w:rPr>
      </w:pPr>
      <w:r>
        <w:rPr>
          <w:rFonts w:ascii="Times New Roman" w:hAnsi="Times New Roman" w:eastAsia="仿宋"/>
          <w:color w:val="auto"/>
          <w:sz w:val="36"/>
          <w:szCs w:val="36"/>
        </w:rPr>
        <w:t>编制日期：</w:t>
      </w:r>
      <w:r>
        <w:rPr>
          <w:rFonts w:ascii="Times New Roman" w:hAnsi="Times New Roman" w:eastAsia="仿宋"/>
          <w:color w:val="auto"/>
          <w:sz w:val="36"/>
          <w:szCs w:val="36"/>
          <w:u w:val="thick"/>
        </w:rPr>
        <w:t xml:space="preserve">           二〇二</w:t>
      </w:r>
      <w:r>
        <w:rPr>
          <w:rFonts w:hint="eastAsia" w:ascii="Times New Roman" w:hAnsi="Times New Roman" w:eastAsia="仿宋"/>
          <w:color w:val="auto"/>
          <w:sz w:val="36"/>
          <w:szCs w:val="36"/>
          <w:u w:val="thick"/>
        </w:rPr>
        <w:t>三</w:t>
      </w:r>
      <w:r>
        <w:rPr>
          <w:rFonts w:ascii="Times New Roman" w:hAnsi="Times New Roman" w:eastAsia="仿宋"/>
          <w:color w:val="auto"/>
          <w:sz w:val="36"/>
          <w:szCs w:val="36"/>
          <w:u w:val="thick"/>
        </w:rPr>
        <w:t>年</w:t>
      </w:r>
      <w:r>
        <w:rPr>
          <w:rFonts w:hint="eastAsia" w:ascii="Times New Roman" w:hAnsi="Times New Roman" w:eastAsia="仿宋"/>
          <w:color w:val="auto"/>
          <w:sz w:val="36"/>
          <w:szCs w:val="36"/>
          <w:u w:val="thick"/>
          <w:lang w:eastAsia="zh-CN"/>
        </w:rPr>
        <w:t>二</w:t>
      </w:r>
      <w:r>
        <w:rPr>
          <w:rFonts w:ascii="Times New Roman" w:hAnsi="Times New Roman" w:eastAsia="仿宋"/>
          <w:color w:val="auto"/>
          <w:sz w:val="36"/>
          <w:szCs w:val="36"/>
          <w:u w:val="thick"/>
        </w:rPr>
        <w:t xml:space="preserve">月             </w:t>
      </w:r>
    </w:p>
    <w:p>
      <w:pPr>
        <w:widowControl w:val="0"/>
        <w:adjustRightInd w:val="0"/>
        <w:snapToGrid w:val="0"/>
        <w:spacing w:line="288" w:lineRule="auto"/>
        <w:jc w:val="center"/>
        <w:rPr>
          <w:rFonts w:ascii="Times New Roman" w:hAnsi="Times New Roman"/>
          <w:color w:val="auto"/>
          <w:sz w:val="36"/>
          <w:szCs w:val="36"/>
          <w:u w:val="single"/>
        </w:rPr>
      </w:pPr>
      <w:bookmarkStart w:id="0" w:name="_Hlk57884087"/>
    </w:p>
    <w:p>
      <w:pPr>
        <w:widowControl w:val="0"/>
        <w:adjustRightInd w:val="0"/>
        <w:snapToGrid w:val="0"/>
        <w:spacing w:line="288" w:lineRule="auto"/>
        <w:jc w:val="center"/>
        <w:rPr>
          <w:rFonts w:ascii="Times New Roman" w:hAnsi="Times New Roman"/>
          <w:color w:val="auto"/>
          <w:sz w:val="36"/>
          <w:szCs w:val="36"/>
        </w:rPr>
      </w:pPr>
    </w:p>
    <w:p>
      <w:pPr>
        <w:widowControl w:val="0"/>
        <w:adjustRightInd w:val="0"/>
        <w:snapToGrid w:val="0"/>
        <w:spacing w:line="288" w:lineRule="auto"/>
        <w:jc w:val="center"/>
        <w:rPr>
          <w:rFonts w:ascii="Times New Roman" w:hAnsi="Times New Roman"/>
          <w:color w:val="auto"/>
          <w:sz w:val="36"/>
          <w:szCs w:val="36"/>
        </w:rPr>
      </w:pPr>
    </w:p>
    <w:p>
      <w:pPr>
        <w:widowControl w:val="0"/>
        <w:adjustRightInd w:val="0"/>
        <w:snapToGrid w:val="0"/>
        <w:spacing w:line="288" w:lineRule="auto"/>
        <w:jc w:val="center"/>
        <w:rPr>
          <w:rFonts w:ascii="Times New Roman" w:hAnsi="Times New Roman"/>
          <w:color w:val="auto"/>
          <w:sz w:val="36"/>
          <w:szCs w:val="36"/>
        </w:rPr>
      </w:pPr>
    </w:p>
    <w:p>
      <w:pPr>
        <w:widowControl w:val="0"/>
        <w:adjustRightInd w:val="0"/>
        <w:snapToGrid w:val="0"/>
        <w:spacing w:line="288" w:lineRule="auto"/>
        <w:jc w:val="center"/>
        <w:rPr>
          <w:rFonts w:ascii="Times New Roman" w:hAnsi="Times New Roman"/>
          <w:color w:val="auto"/>
          <w:sz w:val="36"/>
          <w:szCs w:val="36"/>
        </w:rPr>
      </w:pPr>
    </w:p>
    <w:p>
      <w:pPr>
        <w:widowControl w:val="0"/>
        <w:adjustRightInd w:val="0"/>
        <w:snapToGrid w:val="0"/>
        <w:spacing w:line="288" w:lineRule="auto"/>
        <w:jc w:val="center"/>
        <w:rPr>
          <w:rFonts w:ascii="Times New Roman" w:hAnsi="Times New Roman"/>
          <w:color w:val="auto"/>
          <w:sz w:val="36"/>
          <w:szCs w:val="36"/>
        </w:rPr>
      </w:pPr>
    </w:p>
    <w:bookmarkEnd w:id="0"/>
    <w:p>
      <w:pPr>
        <w:widowControl w:val="0"/>
        <w:tabs>
          <w:tab w:val="left" w:pos="4140"/>
        </w:tabs>
        <w:spacing w:line="520" w:lineRule="exact"/>
        <w:jc w:val="center"/>
        <w:rPr>
          <w:rFonts w:ascii="Times New Roman" w:hAnsi="Times New Roman" w:eastAsia="楷体"/>
          <w:snapToGrid w:val="0"/>
          <w:color w:val="auto"/>
          <w:szCs w:val="24"/>
        </w:rPr>
      </w:pPr>
      <w:r>
        <w:rPr>
          <w:rFonts w:ascii="Times New Roman" w:hAnsi="Times New Roman" w:eastAsia="楷体"/>
          <w:color w:val="auto"/>
          <w:sz w:val="36"/>
          <w:szCs w:val="36"/>
        </w:rPr>
        <w:t>中华人民共和国生态环境部制</w:t>
      </w:r>
    </w:p>
    <w:p>
      <w:pPr>
        <w:jc w:val="center"/>
        <w:rPr>
          <w:rFonts w:ascii="Times New Roman" w:hAnsi="Times New Roman" w:eastAsia="楷体"/>
          <w:b/>
          <w:snapToGrid w:val="0"/>
          <w:color w:val="auto"/>
          <w:sz w:val="32"/>
          <w:szCs w:val="32"/>
        </w:rPr>
        <w:sectPr>
          <w:headerReference r:id="rId3" w:type="default"/>
          <w:footerReference r:id="rId4" w:type="default"/>
          <w:footerReference r:id="rId5" w:type="even"/>
          <w:pgSz w:w="11906" w:h="16838"/>
          <w:pgMar w:top="1418" w:right="1418" w:bottom="1418" w:left="1418" w:header="851" w:footer="992" w:gutter="0"/>
          <w:cols w:space="720" w:num="1"/>
          <w:docGrid w:type="lines" w:linePitch="342" w:charSpace="0"/>
        </w:sectPr>
      </w:pPr>
    </w:p>
    <w:p>
      <w:pPr>
        <w:pStyle w:val="329"/>
        <w:keepNext/>
        <w:keepLines/>
        <w:pageBreakBefore/>
        <w:numPr>
          <w:ilvl w:val="0"/>
          <w:numId w:val="12"/>
        </w:numPr>
        <w:snapToGrid w:val="0"/>
        <w:ind w:firstLineChars="0"/>
        <w:jc w:val="center"/>
        <w:outlineLvl w:val="0"/>
        <w:rPr>
          <w:rFonts w:ascii="Times New Roman" w:hAnsi="Times New Roman"/>
          <w:b/>
          <w:bCs/>
          <w:color w:val="auto"/>
        </w:rPr>
      </w:pPr>
      <w:r>
        <w:rPr>
          <w:rFonts w:ascii="Times New Roman" w:hAnsi="Times New Roman"/>
          <w:b/>
          <w:bCs/>
          <w:snapToGrid w:val="0"/>
          <w:color w:val="auto"/>
          <w:sz w:val="32"/>
          <w:szCs w:val="32"/>
        </w:rPr>
        <w:t>建设项目基本情况</w:t>
      </w:r>
    </w:p>
    <w:tbl>
      <w:tblPr>
        <w:tblStyle w:val="90"/>
        <w:tblW w:w="924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19"/>
        <w:gridCol w:w="2695"/>
        <w:gridCol w:w="1701"/>
        <w:gridCol w:w="37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建设项目</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名称</w:t>
            </w:r>
          </w:p>
        </w:tc>
        <w:tc>
          <w:tcPr>
            <w:tcW w:w="8129" w:type="dxa"/>
            <w:gridSpan w:val="3"/>
            <w:vAlign w:val="center"/>
          </w:tcPr>
          <w:p>
            <w:pPr>
              <w:rPr>
                <w:rFonts w:ascii="Times New Roman" w:hAnsi="Times New Roman"/>
                <w:color w:val="auto"/>
                <w:sz w:val="24"/>
                <w:szCs w:val="24"/>
              </w:rPr>
            </w:pPr>
            <w:r>
              <w:rPr>
                <w:rFonts w:ascii="Times New Roman" w:hAnsi="Times New Roman"/>
                <w:color w:val="auto"/>
                <w:kern w:val="0"/>
                <w:sz w:val="24"/>
                <w:szCs w:val="24"/>
                <w:lang w:bidi="ar"/>
              </w:rPr>
              <w:t>陕西靖边星源实业有限公司年生产30万吨车用液化天然气氦气提取技改项目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项目代码</w:t>
            </w:r>
          </w:p>
        </w:tc>
        <w:tc>
          <w:tcPr>
            <w:tcW w:w="8129" w:type="dxa"/>
            <w:gridSpan w:val="3"/>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2206-610824-04-02-302377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建设单位</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联系人</w:t>
            </w:r>
          </w:p>
        </w:tc>
        <w:tc>
          <w:tcPr>
            <w:tcW w:w="2695"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刘</w:t>
            </w:r>
            <w:r>
              <w:rPr>
                <w:rFonts w:hint="eastAsia" w:ascii="Times New Roman" w:hAnsi="Times New Roman"/>
                <w:color w:val="auto"/>
                <w:sz w:val="24"/>
                <w:szCs w:val="24"/>
                <w:lang w:val="en-US" w:eastAsia="zh-CN"/>
              </w:rPr>
              <w:t>*</w:t>
            </w:r>
            <w:r>
              <w:rPr>
                <w:rFonts w:ascii="Times New Roman" w:hAnsi="Times New Roman"/>
                <w:color w:val="auto"/>
                <w:sz w:val="24"/>
                <w:szCs w:val="24"/>
              </w:rPr>
              <w:t>武</w:t>
            </w:r>
          </w:p>
        </w:tc>
        <w:tc>
          <w:tcPr>
            <w:tcW w:w="1701" w:type="dxa"/>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联系方式</w:t>
            </w:r>
          </w:p>
        </w:tc>
        <w:tc>
          <w:tcPr>
            <w:tcW w:w="3733"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158</w:t>
            </w:r>
            <w:r>
              <w:rPr>
                <w:rFonts w:hint="eastAsia" w:ascii="Times New Roman" w:hAnsi="Times New Roman"/>
                <w:color w:val="auto"/>
                <w:sz w:val="24"/>
                <w:szCs w:val="24"/>
                <w:lang w:val="en-US" w:eastAsia="zh-CN"/>
              </w:rPr>
              <w:t>****</w:t>
            </w:r>
            <w:bookmarkStart w:id="33" w:name="_GoBack"/>
            <w:bookmarkEnd w:id="33"/>
            <w:r>
              <w:rPr>
                <w:rFonts w:ascii="Times New Roman" w:hAnsi="Times New Roman"/>
                <w:color w:val="auto"/>
                <w:sz w:val="24"/>
                <w:szCs w:val="24"/>
              </w:rPr>
              <w:t>6910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建设地点</w:t>
            </w:r>
          </w:p>
        </w:tc>
        <w:tc>
          <w:tcPr>
            <w:tcW w:w="8129" w:type="dxa"/>
            <w:gridSpan w:val="3"/>
            <w:vAlign w:val="center"/>
          </w:tcPr>
          <w:p>
            <w:pPr>
              <w:widowControl w:val="0"/>
              <w:jc w:val="center"/>
              <w:rPr>
                <w:rFonts w:ascii="Times New Roman" w:hAnsi="Times New Roman"/>
                <w:color w:val="auto"/>
                <w:sz w:val="24"/>
                <w:szCs w:val="24"/>
              </w:rPr>
            </w:pPr>
            <w:r>
              <w:rPr>
                <w:rFonts w:ascii="Times New Roman" w:hAnsi="Times New Roman"/>
                <w:snapToGrid w:val="0"/>
                <w:color w:val="auto"/>
                <w:sz w:val="24"/>
              </w:rPr>
              <w:t>陕西省榆林市靖边县杨桥畔镇能源化工综合利用产业园区迎宾大道陕西</w:t>
            </w:r>
            <w:r>
              <w:rPr>
                <w:rFonts w:ascii="Times New Roman" w:hAnsi="Times New Roman"/>
                <w:color w:val="auto"/>
                <w:kern w:val="0"/>
                <w:sz w:val="24"/>
                <w:szCs w:val="24"/>
                <w:lang w:bidi="ar"/>
              </w:rPr>
              <w:t>靖边星源实业有限公司</w:t>
            </w:r>
            <w:r>
              <w:rPr>
                <w:rFonts w:hint="eastAsia" w:ascii="Times New Roman" w:hAnsi="Times New Roman"/>
                <w:color w:val="auto"/>
                <w:kern w:val="0"/>
                <w:sz w:val="24"/>
                <w:szCs w:val="24"/>
                <w:lang w:eastAsia="zh-CN" w:bidi="ar"/>
              </w:rPr>
              <w:t>场地</w:t>
            </w:r>
            <w:r>
              <w:rPr>
                <w:rFonts w:ascii="Times New Roman" w:hAnsi="Times New Roman"/>
                <w:color w:val="auto"/>
                <w:kern w:val="0"/>
                <w:sz w:val="24"/>
                <w:szCs w:val="24"/>
                <w:lang w:bidi="ar"/>
              </w:rPr>
              <w:t>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地理坐标</w:t>
            </w:r>
          </w:p>
        </w:tc>
        <w:tc>
          <w:tcPr>
            <w:tcW w:w="8129" w:type="dxa"/>
            <w:gridSpan w:val="3"/>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w:t>
            </w:r>
            <w:r>
              <w:rPr>
                <w:rFonts w:ascii="Times New Roman" w:hAnsi="Times New Roman"/>
                <w:color w:val="auto"/>
                <w:sz w:val="24"/>
                <w:szCs w:val="24"/>
                <w:u w:val="single"/>
              </w:rPr>
              <w:t>108</w:t>
            </w:r>
            <w:r>
              <w:rPr>
                <w:rFonts w:ascii="Times New Roman" w:hAnsi="Times New Roman"/>
                <w:color w:val="auto"/>
                <w:sz w:val="24"/>
                <w:szCs w:val="24"/>
              </w:rPr>
              <w:t xml:space="preserve">度 </w:t>
            </w:r>
            <w:r>
              <w:rPr>
                <w:rFonts w:ascii="Times New Roman" w:hAnsi="Times New Roman"/>
                <w:color w:val="auto"/>
                <w:sz w:val="24"/>
                <w:szCs w:val="24"/>
                <w:u w:val="single"/>
              </w:rPr>
              <w:t>53</w:t>
            </w:r>
            <w:r>
              <w:rPr>
                <w:rFonts w:ascii="Times New Roman" w:hAnsi="Times New Roman"/>
                <w:color w:val="auto"/>
                <w:sz w:val="24"/>
                <w:szCs w:val="24"/>
              </w:rPr>
              <w:t xml:space="preserve">分 </w:t>
            </w:r>
            <w:r>
              <w:rPr>
                <w:rFonts w:ascii="Times New Roman" w:hAnsi="Times New Roman"/>
                <w:color w:val="auto"/>
                <w:sz w:val="24"/>
                <w:szCs w:val="24"/>
                <w:u w:val="single"/>
              </w:rPr>
              <w:t>556</w:t>
            </w:r>
            <w:r>
              <w:rPr>
                <w:rFonts w:ascii="Times New Roman" w:hAnsi="Times New Roman"/>
                <w:color w:val="auto"/>
                <w:sz w:val="24"/>
                <w:szCs w:val="24"/>
              </w:rPr>
              <w:t>秒，</w:t>
            </w:r>
            <w:r>
              <w:rPr>
                <w:rFonts w:ascii="Times New Roman" w:hAnsi="Times New Roman"/>
                <w:color w:val="auto"/>
                <w:sz w:val="24"/>
                <w:szCs w:val="24"/>
                <w:u w:val="single"/>
              </w:rPr>
              <w:t>37</w:t>
            </w:r>
            <w:r>
              <w:rPr>
                <w:rFonts w:ascii="Times New Roman" w:hAnsi="Times New Roman"/>
                <w:color w:val="auto"/>
                <w:sz w:val="24"/>
                <w:szCs w:val="24"/>
              </w:rPr>
              <w:t xml:space="preserve">度 </w:t>
            </w:r>
            <w:r>
              <w:rPr>
                <w:rFonts w:ascii="Times New Roman" w:hAnsi="Times New Roman"/>
                <w:color w:val="auto"/>
                <w:sz w:val="24"/>
                <w:szCs w:val="24"/>
                <w:u w:val="single"/>
              </w:rPr>
              <w:t>39</w:t>
            </w:r>
            <w:r>
              <w:rPr>
                <w:rFonts w:ascii="Times New Roman" w:hAnsi="Times New Roman"/>
                <w:color w:val="auto"/>
                <w:sz w:val="24"/>
                <w:szCs w:val="24"/>
              </w:rPr>
              <w:t xml:space="preserve">分 </w:t>
            </w:r>
            <w:r>
              <w:rPr>
                <w:rFonts w:ascii="Times New Roman" w:hAnsi="Times New Roman"/>
                <w:color w:val="auto"/>
                <w:sz w:val="24"/>
                <w:szCs w:val="24"/>
                <w:u w:val="single"/>
              </w:rPr>
              <w:t>395</w:t>
            </w:r>
            <w:r>
              <w:rPr>
                <w:rFonts w:ascii="Times New Roman" w:hAnsi="Times New Roman"/>
                <w:color w:val="auto"/>
                <w:sz w:val="24"/>
                <w:szCs w:val="24"/>
              </w:rPr>
              <w:t>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国民经济</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行业类别</w:t>
            </w:r>
          </w:p>
        </w:tc>
        <w:tc>
          <w:tcPr>
            <w:tcW w:w="2695" w:type="dxa"/>
            <w:vAlign w:val="center"/>
          </w:tcPr>
          <w:p>
            <w:pPr>
              <w:jc w:val="center"/>
              <w:rPr>
                <w:rFonts w:ascii="Times New Roman" w:hAnsi="Times New Roman"/>
                <w:color w:val="auto"/>
              </w:rPr>
            </w:pPr>
            <w:r>
              <w:rPr>
                <w:rFonts w:ascii="Times New Roman" w:hAnsi="Times New Roman"/>
                <w:color w:val="auto"/>
                <w:kern w:val="0"/>
                <w:sz w:val="24"/>
                <w:szCs w:val="24"/>
                <w:lang w:bidi="ar"/>
              </w:rPr>
              <w:t>其他基础化学原料制造</w:t>
            </w:r>
          </w:p>
          <w:p>
            <w:pPr>
              <w:jc w:val="center"/>
              <w:rPr>
                <w:rFonts w:ascii="Times New Roman" w:hAnsi="Times New Roman"/>
                <w:color w:val="auto"/>
                <w:sz w:val="24"/>
                <w:szCs w:val="24"/>
              </w:rPr>
            </w:pPr>
            <w:r>
              <w:rPr>
                <w:rFonts w:ascii="Times New Roman" w:hAnsi="Times New Roman"/>
                <w:color w:val="auto"/>
                <w:kern w:val="0"/>
                <w:sz w:val="24"/>
                <w:szCs w:val="24"/>
                <w:lang w:bidi="ar"/>
              </w:rPr>
              <w:t>（C2619）</w:t>
            </w:r>
          </w:p>
        </w:tc>
        <w:tc>
          <w:tcPr>
            <w:tcW w:w="1701" w:type="dxa"/>
            <w:vAlign w:val="center"/>
          </w:tcPr>
          <w:p>
            <w:pPr>
              <w:widowControl w:val="0"/>
              <w:jc w:val="center"/>
              <w:rPr>
                <w:rFonts w:ascii="Times New Roman" w:hAnsi="Times New Roman"/>
                <w:b/>
                <w:bCs/>
                <w:color w:val="auto"/>
                <w:sz w:val="24"/>
                <w:szCs w:val="24"/>
              </w:rPr>
            </w:pPr>
            <w:bookmarkStart w:id="1" w:name="_Hlk49843745"/>
            <w:r>
              <w:rPr>
                <w:rFonts w:ascii="Times New Roman" w:hAnsi="Times New Roman"/>
                <w:b/>
                <w:bCs/>
                <w:color w:val="auto"/>
                <w:sz w:val="24"/>
                <w:szCs w:val="24"/>
              </w:rPr>
              <w:t>建设项目</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行业类别</w:t>
            </w:r>
            <w:bookmarkEnd w:id="1"/>
          </w:p>
        </w:tc>
        <w:tc>
          <w:tcPr>
            <w:tcW w:w="3733" w:type="dxa"/>
            <w:vAlign w:val="center"/>
          </w:tcPr>
          <w:p>
            <w:pPr>
              <w:widowControl w:val="0"/>
              <w:jc w:val="center"/>
              <w:rPr>
                <w:rFonts w:ascii="Times New Roman" w:hAnsi="Times New Roman"/>
                <w:color w:val="auto"/>
                <w:sz w:val="24"/>
                <w:szCs w:val="24"/>
              </w:rPr>
            </w:pPr>
            <w:r>
              <w:rPr>
                <w:rFonts w:ascii="Times New Roman" w:hAnsi="Times New Roman"/>
                <w:color w:val="auto"/>
                <w:sz w:val="24"/>
              </w:rPr>
              <w:t>二十三、化学原料和化学制品制造业26-44.基础化学原料制造261中单纯物理分离、物理提纯、混合、分装的（不产生废水或挥发性有机物的除外）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建设性质</w:t>
            </w:r>
          </w:p>
        </w:tc>
        <w:tc>
          <w:tcPr>
            <w:tcW w:w="2695" w:type="dxa"/>
            <w:vAlign w:val="center"/>
          </w:tcPr>
          <w:p>
            <w:pPr>
              <w:widowControl w:val="0"/>
              <w:rPr>
                <w:rFonts w:ascii="Times New Roman" w:hAnsi="Times New Roman"/>
                <w:color w:val="auto"/>
                <w:sz w:val="24"/>
                <w:szCs w:val="24"/>
              </w:rPr>
            </w:pPr>
            <w:r>
              <w:rPr>
                <w:rFonts w:ascii="Times New Roman" w:hAnsi="Times New Roman"/>
                <w:color w:val="auto"/>
                <w:sz w:val="24"/>
                <w:szCs w:val="24"/>
              </w:rPr>
              <w:t>□新建(迁建)</w:t>
            </w:r>
          </w:p>
          <w:p>
            <w:pPr>
              <w:widowControl w:val="0"/>
              <w:rPr>
                <w:rFonts w:ascii="Times New Roman" w:hAnsi="Times New Roman"/>
                <w:color w:val="auto"/>
                <w:sz w:val="24"/>
                <w:szCs w:val="24"/>
              </w:rPr>
            </w:pPr>
            <w:r>
              <w:rPr>
                <w:rFonts w:ascii="Times New Roman" w:hAnsi="Times New Roman"/>
                <w:color w:val="auto"/>
                <w:sz w:val="24"/>
                <w:szCs w:val="24"/>
              </w:rPr>
              <w:t>□改建</w:t>
            </w:r>
          </w:p>
          <w:p>
            <w:pPr>
              <w:widowControl w:val="0"/>
              <w:rPr>
                <w:rFonts w:ascii="Times New Roman" w:hAnsi="Times New Roman"/>
                <w:color w:val="auto"/>
                <w:sz w:val="24"/>
                <w:szCs w:val="24"/>
              </w:rPr>
            </w:pPr>
            <w:r>
              <w:rPr>
                <w:rFonts w:ascii="Times New Roman" w:hAnsi="Times New Roman"/>
                <w:color w:val="auto"/>
                <w:sz w:val="24"/>
                <w:szCs w:val="24"/>
              </w:rPr>
              <w:t>□</w:t>
            </w:r>
            <w:r>
              <w:rPr>
                <w:rFonts w:hint="eastAsia" w:ascii="Times New Roman" w:hAnsi="Times New Roman"/>
                <w:color w:val="auto"/>
                <w:sz w:val="24"/>
                <w:szCs w:val="24"/>
              </w:rPr>
              <w:t>技改</w:t>
            </w:r>
          </w:p>
          <w:p>
            <w:pPr>
              <w:widowControl w:val="0"/>
              <w:rPr>
                <w:rFonts w:ascii="Times New Roman" w:hAnsi="Times New Roman"/>
                <w:color w:val="auto"/>
                <w:sz w:val="24"/>
                <w:szCs w:val="24"/>
              </w:rPr>
            </w:pPr>
            <w:r>
              <w:rPr>
                <w:rFonts w:hint="eastAsia" w:ascii="MS Gothic" w:hAnsi="MS Gothic" w:eastAsia="MS Gothic" w:cs="MS Gothic"/>
                <w:color w:val="auto"/>
                <w:sz w:val="24"/>
                <w:szCs w:val="24"/>
              </w:rPr>
              <w:t>☑</w:t>
            </w:r>
            <w:r>
              <w:rPr>
                <w:rFonts w:ascii="Times New Roman" w:hAnsi="Times New Roman"/>
                <w:color w:val="auto"/>
                <w:sz w:val="24"/>
                <w:szCs w:val="24"/>
              </w:rPr>
              <w:t>技术改造</w:t>
            </w:r>
          </w:p>
        </w:tc>
        <w:tc>
          <w:tcPr>
            <w:tcW w:w="1701" w:type="dxa"/>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建设项目</w:t>
            </w:r>
          </w:p>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申报情形</w:t>
            </w:r>
          </w:p>
        </w:tc>
        <w:tc>
          <w:tcPr>
            <w:tcW w:w="3733" w:type="dxa"/>
            <w:vAlign w:val="center"/>
          </w:tcPr>
          <w:p>
            <w:pPr>
              <w:widowControl w:val="0"/>
              <w:rPr>
                <w:rFonts w:ascii="Times New Roman" w:hAnsi="Times New Roman"/>
                <w:color w:val="auto"/>
                <w:sz w:val="24"/>
                <w:szCs w:val="24"/>
              </w:rPr>
            </w:pPr>
            <w:r>
              <w:rPr>
                <w:rFonts w:hint="eastAsia" w:ascii="MS Gothic" w:hAnsi="MS Gothic" w:eastAsia="MS Gothic" w:cs="MS Gothic"/>
                <w:color w:val="auto"/>
                <w:sz w:val="24"/>
                <w:szCs w:val="24"/>
              </w:rPr>
              <w:t>☑</w:t>
            </w:r>
            <w:r>
              <w:rPr>
                <w:rFonts w:ascii="Times New Roman" w:hAnsi="Times New Roman"/>
                <w:color w:val="auto"/>
                <w:sz w:val="24"/>
                <w:szCs w:val="24"/>
              </w:rPr>
              <w:t>首次申报项目</w:t>
            </w:r>
          </w:p>
          <w:p>
            <w:pPr>
              <w:widowControl w:val="0"/>
              <w:rPr>
                <w:rFonts w:ascii="Times New Roman" w:hAnsi="Times New Roman"/>
                <w:color w:val="auto"/>
                <w:sz w:val="24"/>
                <w:szCs w:val="24"/>
              </w:rPr>
            </w:pPr>
            <w:r>
              <w:rPr>
                <w:rFonts w:ascii="Times New Roman" w:hAnsi="Times New Roman"/>
                <w:color w:val="auto"/>
                <w:sz w:val="24"/>
                <w:szCs w:val="24"/>
              </w:rPr>
              <w:t>□不予批准后再次申报项目</w:t>
            </w:r>
          </w:p>
          <w:p>
            <w:pPr>
              <w:widowControl w:val="0"/>
              <w:rPr>
                <w:rFonts w:ascii="Times New Roman" w:hAnsi="Times New Roman"/>
                <w:color w:val="auto"/>
                <w:sz w:val="24"/>
                <w:szCs w:val="24"/>
              </w:rPr>
            </w:pPr>
            <w:r>
              <w:rPr>
                <w:rFonts w:ascii="Times New Roman" w:hAnsi="Times New Roman"/>
                <w:color w:val="auto"/>
                <w:sz w:val="24"/>
                <w:szCs w:val="24"/>
              </w:rPr>
              <w:t>□超五年重新审核项目</w:t>
            </w:r>
          </w:p>
          <w:p>
            <w:pPr>
              <w:widowControl w:val="0"/>
              <w:rPr>
                <w:rFonts w:ascii="Times New Roman" w:hAnsi="Times New Roman"/>
                <w:color w:val="auto"/>
                <w:sz w:val="24"/>
                <w:szCs w:val="24"/>
              </w:rPr>
            </w:pPr>
            <w:r>
              <w:rPr>
                <w:rFonts w:ascii="Times New Roman" w:hAnsi="Times New Roman"/>
                <w:color w:val="auto"/>
                <w:sz w:val="24"/>
                <w:szCs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4" w:hRule="atLeast"/>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项目审批(核准/备案)部门</w:t>
            </w:r>
          </w:p>
        </w:tc>
        <w:tc>
          <w:tcPr>
            <w:tcW w:w="2695" w:type="dxa"/>
            <w:vAlign w:val="center"/>
          </w:tcPr>
          <w:p>
            <w:pPr>
              <w:widowControl w:val="0"/>
              <w:jc w:val="center"/>
              <w:rPr>
                <w:rFonts w:ascii="Times New Roman" w:hAnsi="Times New Roman"/>
                <w:color w:val="auto"/>
                <w:sz w:val="24"/>
                <w:szCs w:val="24"/>
              </w:rPr>
            </w:pPr>
            <w:r>
              <w:rPr>
                <w:rFonts w:ascii="Times New Roman" w:hAnsi="Times New Roman"/>
                <w:color w:val="auto"/>
                <w:sz w:val="24"/>
                <w:szCs w:val="24"/>
              </w:rPr>
              <w:t>靖边县工业商贸局</w:t>
            </w:r>
          </w:p>
        </w:tc>
        <w:tc>
          <w:tcPr>
            <w:tcW w:w="1701" w:type="dxa"/>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项目审批</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(核准/备案)</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文号</w:t>
            </w:r>
          </w:p>
        </w:tc>
        <w:tc>
          <w:tcPr>
            <w:tcW w:w="3733"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靖政工贸发〔2022〕45号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总投资</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(万元)</w:t>
            </w:r>
          </w:p>
        </w:tc>
        <w:tc>
          <w:tcPr>
            <w:tcW w:w="2695"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2000</w:t>
            </w:r>
          </w:p>
        </w:tc>
        <w:tc>
          <w:tcPr>
            <w:tcW w:w="1701"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环保投资</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(万元)</w:t>
            </w:r>
          </w:p>
        </w:tc>
        <w:tc>
          <w:tcPr>
            <w:tcW w:w="3733"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环保投资</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占比(%)</w:t>
            </w:r>
          </w:p>
        </w:tc>
        <w:tc>
          <w:tcPr>
            <w:tcW w:w="2695"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2.15</w:t>
            </w:r>
          </w:p>
        </w:tc>
        <w:tc>
          <w:tcPr>
            <w:tcW w:w="1701" w:type="dxa"/>
            <w:tcMar>
              <w:top w:w="16" w:type="dxa"/>
              <w:left w:w="16" w:type="dxa"/>
              <w:right w:w="16" w:type="dxa"/>
            </w:tcMar>
            <w:vAlign w:val="center"/>
          </w:tcPr>
          <w:p>
            <w:pPr>
              <w:widowControl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施工工期</w:t>
            </w:r>
          </w:p>
        </w:tc>
        <w:tc>
          <w:tcPr>
            <w:tcW w:w="3733" w:type="dxa"/>
            <w:vAlign w:val="center"/>
          </w:tcPr>
          <w:p>
            <w:pPr>
              <w:widowControl w:val="0"/>
              <w:spacing w:line="360" w:lineRule="auto"/>
              <w:jc w:val="center"/>
              <w:rPr>
                <w:rFonts w:ascii="Times New Roman" w:hAnsi="Times New Roman"/>
                <w:color w:val="auto"/>
                <w:sz w:val="24"/>
                <w:szCs w:val="24"/>
              </w:rPr>
            </w:pPr>
            <w:r>
              <w:rPr>
                <w:rFonts w:ascii="Times New Roman" w:hAnsi="Times New Roman"/>
                <w:color w:val="auto"/>
                <w:sz w:val="24"/>
                <w:szCs w:val="24"/>
              </w:rPr>
              <w:t>9个月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119" w:type="dxa"/>
            <w:tcMar>
              <w:top w:w="16" w:type="dxa"/>
              <w:left w:w="16" w:type="dxa"/>
              <w:right w:w="16" w:type="dxa"/>
            </w:tcMar>
            <w:vAlign w:val="center"/>
          </w:tcPr>
          <w:p>
            <w:pPr>
              <w:widowControl w:val="0"/>
              <w:jc w:val="center"/>
              <w:rPr>
                <w:rFonts w:ascii="Times New Roman" w:hAnsi="Times New Roman"/>
                <w:b/>
                <w:bCs/>
                <w:color w:val="auto"/>
                <w:sz w:val="24"/>
                <w:szCs w:val="24"/>
              </w:rPr>
            </w:pPr>
            <w:r>
              <w:rPr>
                <w:rFonts w:ascii="Times New Roman" w:hAnsi="Times New Roman"/>
                <w:b/>
                <w:bCs/>
                <w:color w:val="auto"/>
                <w:sz w:val="24"/>
                <w:szCs w:val="24"/>
              </w:rPr>
              <w:t>是否开工</w:t>
            </w:r>
          </w:p>
          <w:p>
            <w:pPr>
              <w:widowControl w:val="0"/>
              <w:jc w:val="center"/>
              <w:rPr>
                <w:rFonts w:ascii="Times New Roman" w:hAnsi="Times New Roman"/>
                <w:b/>
                <w:bCs/>
                <w:color w:val="auto"/>
                <w:sz w:val="24"/>
                <w:szCs w:val="24"/>
              </w:rPr>
            </w:pPr>
            <w:r>
              <w:rPr>
                <w:rFonts w:ascii="Times New Roman" w:hAnsi="Times New Roman"/>
                <w:b/>
                <w:bCs/>
                <w:color w:val="auto"/>
                <w:sz w:val="24"/>
                <w:szCs w:val="24"/>
              </w:rPr>
              <w:t>建设</w:t>
            </w:r>
          </w:p>
        </w:tc>
        <w:tc>
          <w:tcPr>
            <w:tcW w:w="2695" w:type="dxa"/>
            <w:vAlign w:val="center"/>
          </w:tcPr>
          <w:p>
            <w:pPr>
              <w:widowControl w:val="0"/>
              <w:rPr>
                <w:rFonts w:ascii="Times New Roman" w:hAnsi="Times New Roman"/>
                <w:color w:val="auto"/>
                <w:sz w:val="24"/>
                <w:szCs w:val="24"/>
              </w:rPr>
            </w:pPr>
            <w:r>
              <w:rPr>
                <w:rFonts w:hint="eastAsia" w:ascii="MS Gothic" w:hAnsi="MS Gothic" w:eastAsia="MS Gothic" w:cs="MS Gothic"/>
                <w:color w:val="auto"/>
                <w:sz w:val="24"/>
                <w:szCs w:val="24"/>
              </w:rPr>
              <w:t>☑</w:t>
            </w:r>
            <w:r>
              <w:rPr>
                <w:rFonts w:ascii="Times New Roman" w:hAnsi="Times New Roman"/>
                <w:color w:val="auto"/>
                <w:sz w:val="24"/>
                <w:szCs w:val="24"/>
              </w:rPr>
              <w:t>否</w:t>
            </w:r>
          </w:p>
          <w:p>
            <w:pPr>
              <w:widowControl w:val="0"/>
              <w:rPr>
                <w:rFonts w:ascii="Times New Roman" w:hAnsi="Times New Roman"/>
                <w:color w:val="auto"/>
                <w:sz w:val="24"/>
                <w:szCs w:val="24"/>
              </w:rPr>
            </w:pPr>
            <w:r>
              <w:rPr>
                <w:rFonts w:ascii="Times New Roman" w:hAnsi="Times New Roman"/>
                <w:color w:val="auto"/>
                <w:sz w:val="24"/>
                <w:szCs w:val="24"/>
              </w:rPr>
              <w:t>□是：</w:t>
            </w:r>
            <w:r>
              <w:rPr>
                <w:rFonts w:ascii="Times New Roman" w:hAnsi="Times New Roman"/>
                <w:color w:val="auto"/>
                <w:sz w:val="24"/>
                <w:szCs w:val="24"/>
                <w:u w:val="single"/>
              </w:rPr>
              <w:t xml:space="preserve">           </w:t>
            </w:r>
          </w:p>
        </w:tc>
        <w:tc>
          <w:tcPr>
            <w:tcW w:w="1701" w:type="dxa"/>
            <w:tcMar>
              <w:top w:w="16" w:type="dxa"/>
              <w:left w:w="16" w:type="dxa"/>
              <w:right w:w="16" w:type="dxa"/>
            </w:tcMar>
            <w:vAlign w:val="center"/>
          </w:tcPr>
          <w:p>
            <w:pPr>
              <w:widowControl w:val="0"/>
              <w:jc w:val="center"/>
              <w:rPr>
                <w:rFonts w:ascii="Times New Roman" w:hAnsi="Times New Roman"/>
                <w:b/>
                <w:bCs/>
                <w:color w:val="auto"/>
                <w:spacing w:val="-6"/>
                <w:sz w:val="24"/>
                <w:szCs w:val="24"/>
              </w:rPr>
            </w:pPr>
            <w:r>
              <w:rPr>
                <w:rFonts w:ascii="Times New Roman" w:hAnsi="Times New Roman"/>
                <w:b/>
                <w:bCs/>
                <w:color w:val="auto"/>
                <w:spacing w:val="-6"/>
                <w:sz w:val="24"/>
                <w:szCs w:val="24"/>
              </w:rPr>
              <w:t>用地(用海)</w:t>
            </w:r>
          </w:p>
          <w:p>
            <w:pPr>
              <w:widowControl w:val="0"/>
              <w:jc w:val="center"/>
              <w:rPr>
                <w:rFonts w:ascii="Times New Roman" w:hAnsi="Times New Roman"/>
                <w:b/>
                <w:bCs/>
                <w:color w:val="auto"/>
                <w:sz w:val="24"/>
                <w:szCs w:val="24"/>
              </w:rPr>
            </w:pPr>
            <w:r>
              <w:rPr>
                <w:rFonts w:ascii="Times New Roman" w:hAnsi="Times New Roman"/>
                <w:b/>
                <w:bCs/>
                <w:color w:val="auto"/>
                <w:spacing w:val="-6"/>
                <w:sz w:val="24"/>
                <w:szCs w:val="24"/>
              </w:rPr>
              <w:t>面积(m</w:t>
            </w:r>
            <w:r>
              <w:rPr>
                <w:rFonts w:ascii="Times New Roman" w:hAnsi="Times New Roman"/>
                <w:b/>
                <w:bCs/>
                <w:color w:val="auto"/>
                <w:spacing w:val="-6"/>
                <w:sz w:val="24"/>
                <w:szCs w:val="24"/>
                <w:vertAlign w:val="superscript"/>
              </w:rPr>
              <w:t>2</w:t>
            </w:r>
            <w:r>
              <w:rPr>
                <w:rFonts w:ascii="Times New Roman" w:hAnsi="Times New Roman"/>
                <w:b/>
                <w:bCs/>
                <w:color w:val="auto"/>
                <w:spacing w:val="-6"/>
                <w:sz w:val="24"/>
                <w:szCs w:val="24"/>
              </w:rPr>
              <w:t>)</w:t>
            </w:r>
          </w:p>
        </w:tc>
        <w:tc>
          <w:tcPr>
            <w:tcW w:w="3733" w:type="dxa"/>
            <w:vAlign w:val="center"/>
          </w:tcPr>
          <w:p>
            <w:pPr>
              <w:widowControl w:val="0"/>
              <w:jc w:val="center"/>
              <w:rPr>
                <w:rFonts w:ascii="Times New Roman" w:hAnsi="Times New Roman"/>
                <w:color w:val="auto"/>
                <w:sz w:val="24"/>
                <w:szCs w:val="24"/>
              </w:rPr>
            </w:pPr>
            <w:r>
              <w:rPr>
                <w:rFonts w:ascii="Times New Roman" w:hAnsi="Times New Roman"/>
                <w:snapToGrid w:val="0"/>
                <w:color w:val="auto"/>
                <w:sz w:val="24"/>
              </w:rPr>
              <w:t>在现有场地内建设，不新增用地（项目占地6267m</w:t>
            </w:r>
            <w:r>
              <w:rPr>
                <w:rFonts w:ascii="Times New Roman" w:hAnsi="Times New Roman"/>
                <w:snapToGrid w:val="0"/>
                <w:color w:val="auto"/>
                <w:sz w:val="24"/>
                <w:vertAlign w:val="superscript"/>
              </w:rPr>
              <w:t>2</w:t>
            </w:r>
            <w:r>
              <w:rPr>
                <w:rFonts w:ascii="Times New Roman" w:hAnsi="Times New Roman"/>
                <w:snapToGrid w:val="0"/>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19" w:type="dxa"/>
            <w:vAlign w:val="center"/>
          </w:tcPr>
          <w:p>
            <w:pPr>
              <w:widowControl w:val="0"/>
              <w:autoSpaceDE w:val="0"/>
              <w:autoSpaceDN w:val="0"/>
              <w:spacing w:line="360" w:lineRule="auto"/>
              <w:jc w:val="center"/>
              <w:rPr>
                <w:rFonts w:ascii="Times New Roman" w:hAnsi="Times New Roman"/>
                <w:color w:val="auto"/>
                <w:kern w:val="0"/>
                <w:sz w:val="24"/>
                <w:szCs w:val="24"/>
              </w:rPr>
            </w:pPr>
            <w:r>
              <w:rPr>
                <w:rFonts w:ascii="Times New Roman" w:hAnsi="Times New Roman"/>
                <w:b/>
                <w:bCs/>
                <w:color w:val="auto"/>
                <w:sz w:val="24"/>
                <w:szCs w:val="24"/>
              </w:rPr>
              <w:t>专项评价设置情况</w:t>
            </w:r>
          </w:p>
        </w:tc>
        <w:tc>
          <w:tcPr>
            <w:tcW w:w="8129" w:type="dxa"/>
            <w:gridSpan w:val="3"/>
            <w:vAlign w:val="center"/>
          </w:tcPr>
          <w:p>
            <w:pPr>
              <w:widowControl w:val="0"/>
              <w:autoSpaceDE w:val="0"/>
              <w:autoSpaceDN w:val="0"/>
              <w:adjustRightInd w:val="0"/>
              <w:snapToGrid w:val="0"/>
              <w:spacing w:line="360" w:lineRule="auto"/>
              <w:ind w:firstLine="480" w:firstLineChars="200"/>
              <w:jc w:val="both"/>
              <w:rPr>
                <w:rFonts w:ascii="Times New Roman" w:hAnsi="Times New Roman"/>
                <w:color w:val="auto"/>
                <w:kern w:val="0"/>
                <w:sz w:val="24"/>
              </w:rPr>
            </w:pPr>
            <w:r>
              <w:rPr>
                <w:rFonts w:ascii="Times New Roman" w:hAnsi="Times New Roman"/>
                <w:color w:val="auto"/>
                <w:kern w:val="0"/>
                <w:sz w:val="24"/>
              </w:rPr>
              <w:t>根据《建设项目环境影响报告表编制技术指南（污染影响类）（试行）》中专项评价设置原则</w:t>
            </w:r>
            <w:r>
              <w:rPr>
                <w:rFonts w:hint="eastAsia" w:ascii="Times New Roman" w:hAnsi="Times New Roman"/>
                <w:color w:val="auto"/>
                <w:kern w:val="0"/>
                <w:sz w:val="24"/>
              </w:rPr>
              <w:t>，判别见表1</w:t>
            </w:r>
            <w:r>
              <w:rPr>
                <w:rFonts w:ascii="Times New Roman" w:hAnsi="Times New Roman"/>
                <w:color w:val="auto"/>
                <w:kern w:val="0"/>
                <w:sz w:val="24"/>
              </w:rPr>
              <w:t>。</w:t>
            </w:r>
          </w:p>
          <w:p>
            <w:pPr>
              <w:widowControl w:val="0"/>
              <w:numPr>
                <w:ilvl w:val="0"/>
                <w:numId w:val="13"/>
              </w:numPr>
              <w:jc w:val="center"/>
              <w:rPr>
                <w:rFonts w:ascii="Times New Roman" w:hAnsi="Times New Roman"/>
                <w:b/>
                <w:color w:val="auto"/>
                <w:sz w:val="24"/>
                <w:szCs w:val="24"/>
              </w:rPr>
            </w:pPr>
            <w:r>
              <w:rPr>
                <w:rFonts w:hint="eastAsia" w:ascii="Times New Roman" w:hAnsi="Times New Roman"/>
                <w:b/>
                <w:color w:val="auto"/>
                <w:sz w:val="24"/>
                <w:szCs w:val="24"/>
              </w:rPr>
              <w:t>专项评价设置原则表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067"/>
              <w:gridCol w:w="2552"/>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7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专项评价的类别</w:t>
                  </w:r>
                </w:p>
              </w:tc>
              <w:tc>
                <w:tcPr>
                  <w:tcW w:w="1940"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设置原则</w:t>
                  </w:r>
                </w:p>
              </w:tc>
              <w:tc>
                <w:tcPr>
                  <w:tcW w:w="1614" w:type="pct"/>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本改建项目</w:t>
                  </w:r>
                  <w:r>
                    <w:rPr>
                      <w:rFonts w:ascii="Times New Roman" w:hAnsi="Times New Roman"/>
                      <w:color w:val="auto"/>
                      <w:kern w:val="0"/>
                      <w:szCs w:val="21"/>
                    </w:rPr>
                    <w:t>情况</w:t>
                  </w:r>
                </w:p>
              </w:tc>
              <w:tc>
                <w:tcPr>
                  <w:tcW w:w="6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是否设置专题评价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大气</w:t>
                  </w:r>
                </w:p>
              </w:tc>
              <w:tc>
                <w:tcPr>
                  <w:tcW w:w="1940" w:type="pct"/>
                  <w:vAlign w:val="center"/>
                </w:tcPr>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排放废气含有毒有害污染物、二噁英、苯并[a]芘、氰化物、氯气且厂界外500米范围内有环境空气保护目标的建设项目。</w:t>
                  </w:r>
                </w:p>
              </w:tc>
              <w:tc>
                <w:tcPr>
                  <w:tcW w:w="1614" w:type="pct"/>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本项目</w:t>
                  </w:r>
                  <w:r>
                    <w:rPr>
                      <w:rFonts w:ascii="Times New Roman" w:hAnsi="Times New Roman"/>
                      <w:color w:val="auto"/>
                      <w:kern w:val="0"/>
                      <w:szCs w:val="21"/>
                    </w:rPr>
                    <w:t>废气主要为富甲烷解析气和污氮气，不排放有毒有害污染物、二噁英、苯并[a]芘、氰化物、氯气等。</w:t>
                  </w:r>
                  <w:r>
                    <w:rPr>
                      <w:rFonts w:hint="eastAsia" w:ascii="Times New Roman" w:hAnsi="Times New Roman"/>
                      <w:color w:val="auto"/>
                      <w:kern w:val="0"/>
                      <w:szCs w:val="21"/>
                    </w:rPr>
                    <w:t>拟建项目所在厂界外500米范围内无环境空气保护目标。</w:t>
                  </w:r>
                </w:p>
              </w:tc>
              <w:tc>
                <w:tcPr>
                  <w:tcW w:w="6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地表水</w:t>
                  </w:r>
                </w:p>
              </w:tc>
              <w:tc>
                <w:tcPr>
                  <w:tcW w:w="1940" w:type="pct"/>
                  <w:vAlign w:val="center"/>
                </w:tcPr>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新增工业废水直排建设项目（槽罐车外送污水处理厂的除外）；</w:t>
                  </w:r>
                </w:p>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新增废水直排的污水集中处理厂。</w:t>
                  </w:r>
                </w:p>
              </w:tc>
              <w:tc>
                <w:tcPr>
                  <w:tcW w:w="1614" w:type="pct"/>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本项目</w:t>
                  </w:r>
                  <w:r>
                    <w:rPr>
                      <w:rFonts w:ascii="Times New Roman" w:hAnsi="Times New Roman"/>
                      <w:color w:val="auto"/>
                      <w:kern w:val="0"/>
                      <w:szCs w:val="21"/>
                    </w:rPr>
                    <w:t>生活污水</w:t>
                  </w:r>
                  <w:r>
                    <w:rPr>
                      <w:rFonts w:hint="eastAsia" w:ascii="Times New Roman" w:hAnsi="Times New Roman"/>
                      <w:color w:val="auto"/>
                      <w:kern w:val="0"/>
                      <w:szCs w:val="21"/>
                    </w:rPr>
                    <w:t>及生产废水</w:t>
                  </w:r>
                  <w:r>
                    <w:rPr>
                      <w:rFonts w:ascii="Times New Roman" w:hAnsi="Times New Roman"/>
                      <w:color w:val="auto"/>
                      <w:kern w:val="0"/>
                      <w:szCs w:val="21"/>
                    </w:rPr>
                    <w:t>依托</w:t>
                  </w:r>
                  <w:r>
                    <w:rPr>
                      <w:rFonts w:hint="eastAsia" w:ascii="Times New Roman" w:hAnsi="Times New Roman"/>
                      <w:color w:val="auto"/>
                      <w:kern w:val="0"/>
                      <w:szCs w:val="21"/>
                    </w:rPr>
                    <w:t>现有污水处理设施处理。</w:t>
                  </w:r>
                </w:p>
              </w:tc>
              <w:tc>
                <w:tcPr>
                  <w:tcW w:w="6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环境风险</w:t>
                  </w:r>
                </w:p>
              </w:tc>
              <w:tc>
                <w:tcPr>
                  <w:tcW w:w="1940" w:type="pct"/>
                  <w:vAlign w:val="center"/>
                </w:tcPr>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有毒有害和易燃易爆危险物质存储量超过临界量的建设项目。</w:t>
                  </w:r>
                </w:p>
              </w:tc>
              <w:tc>
                <w:tcPr>
                  <w:tcW w:w="1614" w:type="pct"/>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本项目</w:t>
                  </w:r>
                  <w:r>
                    <w:rPr>
                      <w:rFonts w:ascii="Times New Roman" w:hAnsi="Times New Roman"/>
                      <w:color w:val="auto"/>
                      <w:kern w:val="0"/>
                      <w:szCs w:val="21"/>
                    </w:rPr>
                    <w:t>涉及的有毒有害和易燃易爆危险物质为</w:t>
                  </w:r>
                  <w:r>
                    <w:rPr>
                      <w:rFonts w:hint="eastAsia" w:ascii="Times New Roman" w:hAnsi="Times New Roman"/>
                      <w:color w:val="auto"/>
                      <w:kern w:val="0"/>
                      <w:szCs w:val="21"/>
                    </w:rPr>
                    <w:t>BOG和富甲烷解析气</w:t>
                  </w:r>
                  <w:r>
                    <w:rPr>
                      <w:rFonts w:ascii="Times New Roman" w:hAnsi="Times New Roman"/>
                      <w:color w:val="auto"/>
                      <w:kern w:val="0"/>
                      <w:szCs w:val="21"/>
                    </w:rPr>
                    <w:t>，存储量</w:t>
                  </w:r>
                  <w:r>
                    <w:rPr>
                      <w:rFonts w:hint="eastAsia" w:ascii="Times New Roman" w:hAnsi="Times New Roman"/>
                      <w:color w:val="auto"/>
                      <w:kern w:val="0"/>
                      <w:szCs w:val="21"/>
                    </w:rPr>
                    <w:t>（0.02658t）</w:t>
                  </w:r>
                  <w:r>
                    <w:rPr>
                      <w:rFonts w:ascii="Times New Roman" w:hAnsi="Times New Roman"/>
                      <w:color w:val="auto"/>
                      <w:kern w:val="0"/>
                      <w:szCs w:val="21"/>
                    </w:rPr>
                    <w:t>远小于临界量</w:t>
                  </w:r>
                  <w:r>
                    <w:rPr>
                      <w:rFonts w:hint="eastAsia" w:ascii="Times New Roman" w:hAnsi="Times New Roman"/>
                      <w:color w:val="auto"/>
                      <w:kern w:val="0"/>
                      <w:szCs w:val="21"/>
                    </w:rPr>
                    <w:t>（10t）</w:t>
                  </w:r>
                  <w:r>
                    <w:rPr>
                      <w:rFonts w:ascii="Times New Roman" w:hAnsi="Times New Roman"/>
                      <w:color w:val="auto"/>
                      <w:kern w:val="0"/>
                      <w:szCs w:val="21"/>
                    </w:rPr>
                    <w:t>。</w:t>
                  </w:r>
                </w:p>
              </w:tc>
              <w:tc>
                <w:tcPr>
                  <w:tcW w:w="6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生态</w:t>
                  </w:r>
                </w:p>
              </w:tc>
              <w:tc>
                <w:tcPr>
                  <w:tcW w:w="1940" w:type="pct"/>
                  <w:vAlign w:val="center"/>
                </w:tcPr>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取水口下游500米范围内有重要水生生物的自然产卵场、索饵场、越冬场和洄游通道的新增河道取水的污染类建设项目。</w:t>
                  </w:r>
                </w:p>
              </w:tc>
              <w:tc>
                <w:tcPr>
                  <w:tcW w:w="1614" w:type="pct"/>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本项目不属于河道取水项目</w:t>
                  </w:r>
                  <w:r>
                    <w:rPr>
                      <w:rFonts w:ascii="Times New Roman" w:hAnsi="Times New Roman"/>
                      <w:color w:val="auto"/>
                      <w:kern w:val="0"/>
                      <w:szCs w:val="21"/>
                    </w:rPr>
                    <w:t>。</w:t>
                  </w:r>
                </w:p>
              </w:tc>
              <w:tc>
                <w:tcPr>
                  <w:tcW w:w="6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海洋</w:t>
                  </w:r>
                </w:p>
              </w:tc>
              <w:tc>
                <w:tcPr>
                  <w:tcW w:w="1940" w:type="pct"/>
                  <w:vAlign w:val="center"/>
                </w:tcPr>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直接向海排放污染物的海洋工程建设项目。</w:t>
                  </w:r>
                </w:p>
              </w:tc>
              <w:tc>
                <w:tcPr>
                  <w:tcW w:w="1614" w:type="pct"/>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本项目</w:t>
                  </w:r>
                  <w:r>
                    <w:rPr>
                      <w:rFonts w:ascii="Times New Roman" w:hAnsi="Times New Roman"/>
                      <w:color w:val="auto"/>
                      <w:kern w:val="0"/>
                      <w:szCs w:val="21"/>
                    </w:rPr>
                    <w:t>不涉及海洋工程。</w:t>
                  </w:r>
                </w:p>
              </w:tc>
              <w:tc>
                <w:tcPr>
                  <w:tcW w:w="6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否</w:t>
                  </w:r>
                </w:p>
              </w:tc>
            </w:tr>
          </w:tbl>
          <w:p>
            <w:pPr>
              <w:widowControl w:val="0"/>
              <w:autoSpaceDE w:val="0"/>
              <w:autoSpaceDN w:val="0"/>
              <w:spacing w:line="360" w:lineRule="auto"/>
              <w:ind w:firstLine="480" w:firstLineChars="200"/>
              <w:jc w:val="both"/>
              <w:rPr>
                <w:rFonts w:ascii="Times New Roman" w:hAnsi="Times New Roman"/>
                <w:color w:val="auto"/>
                <w:kern w:val="0"/>
                <w:sz w:val="24"/>
                <w:szCs w:val="24"/>
              </w:rPr>
            </w:pPr>
            <w:r>
              <w:rPr>
                <w:color w:val="auto"/>
                <w:sz w:val="24"/>
                <w:szCs w:val="24"/>
                <w:lang w:bidi="zh-CN"/>
              </w:rPr>
              <w:t>综上所述，本项目不设置专项评价。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19" w:type="dxa"/>
            <w:vAlign w:val="center"/>
          </w:tcPr>
          <w:p>
            <w:pPr>
              <w:widowControl w:val="0"/>
              <w:autoSpaceDE w:val="0"/>
              <w:autoSpaceDN w:val="0"/>
              <w:spacing w:line="360" w:lineRule="auto"/>
              <w:jc w:val="center"/>
              <w:rPr>
                <w:rFonts w:ascii="Times New Roman" w:hAnsi="Times New Roman"/>
                <w:b/>
                <w:bCs/>
                <w:color w:val="auto"/>
                <w:kern w:val="0"/>
                <w:sz w:val="24"/>
                <w:szCs w:val="24"/>
              </w:rPr>
            </w:pPr>
            <w:r>
              <w:rPr>
                <w:rFonts w:ascii="Times New Roman" w:hAnsi="Times New Roman"/>
                <w:b/>
                <w:bCs/>
                <w:color w:val="auto"/>
                <w:sz w:val="24"/>
                <w:szCs w:val="24"/>
              </w:rPr>
              <w:t>规划情况</w:t>
            </w:r>
          </w:p>
        </w:tc>
        <w:tc>
          <w:tcPr>
            <w:tcW w:w="8129" w:type="dxa"/>
            <w:gridSpan w:val="3"/>
            <w:vAlign w:val="center"/>
          </w:tcPr>
          <w:p>
            <w:pPr>
              <w:widowControl w:val="0"/>
              <w:autoSpaceDE w:val="0"/>
              <w:autoSpaceDN w:val="0"/>
              <w:spacing w:line="360" w:lineRule="auto"/>
              <w:jc w:val="both"/>
              <w:rPr>
                <w:rFonts w:ascii="Times New Roman" w:hAnsi="Times New Roman"/>
                <w:color w:val="auto"/>
                <w:kern w:val="0"/>
                <w:sz w:val="24"/>
                <w:szCs w:val="24"/>
              </w:rPr>
            </w:pPr>
            <w:r>
              <w:rPr>
                <w:rFonts w:ascii="Times New Roman" w:hAnsi="Times New Roman"/>
                <w:color w:val="auto"/>
                <w:kern w:val="0"/>
                <w:sz w:val="24"/>
                <w:szCs w:val="24"/>
              </w:rPr>
              <w:t>规划名称：《靖边能源化工综合利用产业园区发展规划》</w:t>
            </w:r>
          </w:p>
          <w:p>
            <w:pPr>
              <w:widowControl w:val="0"/>
              <w:autoSpaceDE w:val="0"/>
              <w:autoSpaceDN w:val="0"/>
              <w:spacing w:line="360" w:lineRule="auto"/>
              <w:jc w:val="both"/>
              <w:rPr>
                <w:rFonts w:ascii="Times New Roman" w:hAnsi="Times New Roman"/>
                <w:color w:val="auto"/>
                <w:kern w:val="0"/>
                <w:sz w:val="24"/>
                <w:szCs w:val="24"/>
              </w:rPr>
            </w:pPr>
            <w:r>
              <w:rPr>
                <w:rFonts w:ascii="Times New Roman" w:hAnsi="Times New Roman"/>
                <w:color w:val="auto"/>
                <w:kern w:val="0"/>
                <w:sz w:val="24"/>
                <w:szCs w:val="24"/>
              </w:rPr>
              <w:t>审批机关：榆林市人民政府</w:t>
            </w:r>
          </w:p>
          <w:p>
            <w:pPr>
              <w:widowControl w:val="0"/>
              <w:autoSpaceDE w:val="0"/>
              <w:autoSpaceDN w:val="0"/>
              <w:spacing w:line="360" w:lineRule="auto"/>
              <w:jc w:val="both"/>
              <w:rPr>
                <w:rFonts w:ascii="Times New Roman" w:hAnsi="Times New Roman"/>
                <w:color w:val="auto"/>
                <w:kern w:val="0"/>
                <w:sz w:val="24"/>
                <w:szCs w:val="24"/>
                <w:highlight w:val="yellow"/>
              </w:rPr>
            </w:pPr>
            <w:r>
              <w:rPr>
                <w:rFonts w:ascii="Times New Roman" w:hAnsi="Times New Roman"/>
                <w:color w:val="auto"/>
                <w:kern w:val="0"/>
                <w:sz w:val="24"/>
                <w:szCs w:val="24"/>
              </w:rPr>
              <w:t>审批文件及文号：《榆林市人民政府关于靖边能源化工综合利用产业园区发展规划（修编）的批复》（榆政函〔2017〕54号）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19" w:type="dxa"/>
            <w:vAlign w:val="center"/>
          </w:tcPr>
          <w:p>
            <w:pPr>
              <w:widowControl w:val="0"/>
              <w:autoSpaceDE w:val="0"/>
              <w:autoSpaceDN w:val="0"/>
              <w:ind w:left="-84" w:leftChars="-40" w:right="-84" w:rightChars="-40"/>
              <w:jc w:val="center"/>
              <w:rPr>
                <w:rFonts w:ascii="Times New Roman" w:hAnsi="Times New Roman"/>
                <w:b/>
                <w:bCs/>
                <w:color w:val="auto"/>
                <w:kern w:val="0"/>
                <w:sz w:val="24"/>
                <w:szCs w:val="24"/>
              </w:rPr>
            </w:pPr>
            <w:r>
              <w:rPr>
                <w:rFonts w:ascii="Times New Roman" w:hAnsi="Times New Roman"/>
                <w:b/>
                <w:bCs/>
                <w:color w:val="auto"/>
                <w:sz w:val="24"/>
                <w:szCs w:val="24"/>
              </w:rPr>
              <w:t>规划环境影响评价情况</w:t>
            </w:r>
          </w:p>
        </w:tc>
        <w:tc>
          <w:tcPr>
            <w:tcW w:w="8129" w:type="dxa"/>
            <w:gridSpan w:val="3"/>
            <w:vAlign w:val="center"/>
          </w:tcPr>
          <w:p>
            <w:pPr>
              <w:widowControl w:val="0"/>
              <w:autoSpaceDE w:val="0"/>
              <w:autoSpaceDN w:val="0"/>
              <w:spacing w:line="360" w:lineRule="auto"/>
              <w:jc w:val="both"/>
              <w:rPr>
                <w:rFonts w:ascii="Times New Roman" w:hAnsi="Times New Roman"/>
                <w:color w:val="auto"/>
                <w:kern w:val="0"/>
                <w:sz w:val="24"/>
                <w:szCs w:val="24"/>
              </w:rPr>
            </w:pPr>
            <w:r>
              <w:rPr>
                <w:rFonts w:ascii="Times New Roman" w:hAnsi="Times New Roman"/>
                <w:color w:val="auto"/>
                <w:kern w:val="0"/>
                <w:sz w:val="24"/>
                <w:szCs w:val="24"/>
              </w:rPr>
              <w:t>规划环评名称：《靖边能源化工综合利用产业园区发展规划（修编）环境影响报告书》</w:t>
            </w:r>
          </w:p>
          <w:p>
            <w:pPr>
              <w:widowControl w:val="0"/>
              <w:autoSpaceDE w:val="0"/>
              <w:autoSpaceDN w:val="0"/>
              <w:spacing w:line="360" w:lineRule="auto"/>
              <w:jc w:val="both"/>
              <w:rPr>
                <w:rFonts w:ascii="Times New Roman" w:hAnsi="Times New Roman"/>
                <w:color w:val="auto"/>
                <w:kern w:val="0"/>
                <w:sz w:val="24"/>
                <w:szCs w:val="24"/>
              </w:rPr>
            </w:pPr>
            <w:r>
              <w:rPr>
                <w:rFonts w:ascii="Times New Roman" w:hAnsi="Times New Roman"/>
                <w:color w:val="auto"/>
                <w:kern w:val="0"/>
                <w:sz w:val="24"/>
                <w:szCs w:val="24"/>
              </w:rPr>
              <w:t>审查机关：陕西省环境保护厅</w:t>
            </w:r>
          </w:p>
          <w:p>
            <w:pPr>
              <w:widowControl w:val="0"/>
              <w:autoSpaceDE w:val="0"/>
              <w:autoSpaceDN w:val="0"/>
              <w:spacing w:line="360" w:lineRule="auto"/>
              <w:jc w:val="both"/>
              <w:rPr>
                <w:rFonts w:ascii="Times New Roman" w:hAnsi="Times New Roman"/>
                <w:color w:val="auto"/>
                <w:kern w:val="0"/>
                <w:sz w:val="24"/>
                <w:szCs w:val="24"/>
              </w:rPr>
            </w:pPr>
            <w:r>
              <w:rPr>
                <w:rFonts w:ascii="Times New Roman" w:hAnsi="Times New Roman"/>
                <w:color w:val="auto"/>
                <w:kern w:val="0"/>
                <w:sz w:val="24"/>
                <w:szCs w:val="24"/>
              </w:rPr>
              <w:t>审查文件及文号：《陕西省生态环境厅关于靖边能源化工综合利用产业园区（修编）规划环境影响报告书审查意见的函》（陕环函〔2017〕318号）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19" w:type="dxa"/>
            <w:vAlign w:val="center"/>
          </w:tcPr>
          <w:p>
            <w:pPr>
              <w:widowControl w:val="0"/>
              <w:autoSpaceDE w:val="0"/>
              <w:autoSpaceDN w:val="0"/>
              <w:ind w:right="-84" w:rightChars="-40"/>
              <w:jc w:val="both"/>
              <w:rPr>
                <w:rFonts w:ascii="Times New Roman" w:hAnsi="Times New Roman"/>
                <w:b/>
                <w:bCs/>
                <w:color w:val="auto"/>
                <w:kern w:val="0"/>
                <w:sz w:val="24"/>
                <w:szCs w:val="24"/>
              </w:rPr>
            </w:pPr>
            <w:r>
              <w:rPr>
                <w:rFonts w:ascii="Times New Roman" w:hAnsi="Times New Roman"/>
                <w:b/>
                <w:bCs/>
                <w:color w:val="auto"/>
                <w:kern w:val="0"/>
                <w:sz w:val="24"/>
                <w:szCs w:val="24"/>
              </w:rPr>
              <w:t>规划及规划环境影响评价符合性分析</w:t>
            </w:r>
          </w:p>
        </w:tc>
        <w:tc>
          <w:tcPr>
            <w:tcW w:w="8129" w:type="dxa"/>
            <w:gridSpan w:val="3"/>
            <w:vAlign w:val="center"/>
          </w:tcPr>
          <w:p>
            <w:pPr>
              <w:widowControl w:val="0"/>
              <w:autoSpaceDE w:val="0"/>
              <w:autoSpaceDN w:val="0"/>
              <w:spacing w:line="360" w:lineRule="auto"/>
              <w:jc w:val="both"/>
              <w:rPr>
                <w:rFonts w:ascii="Times New Roman" w:hAnsi="Times New Roman"/>
                <w:b/>
                <w:bCs/>
                <w:color w:val="auto"/>
                <w:kern w:val="0"/>
                <w:sz w:val="24"/>
                <w:szCs w:val="24"/>
              </w:rPr>
            </w:pPr>
            <w:r>
              <w:rPr>
                <w:rFonts w:ascii="Times New Roman" w:hAnsi="Times New Roman"/>
                <w:b/>
                <w:bCs/>
                <w:color w:val="auto"/>
                <w:kern w:val="0"/>
                <w:sz w:val="24"/>
                <w:szCs w:val="24"/>
              </w:rPr>
              <w:t>1、规划符合性分析</w:t>
            </w:r>
          </w:p>
          <w:p>
            <w:pPr>
              <w:widowControl w:val="0"/>
              <w:autoSpaceDE w:val="0"/>
              <w:autoSpaceDN w:val="0"/>
              <w:spacing w:line="360" w:lineRule="auto"/>
              <w:ind w:firstLine="480" w:firstLineChars="200"/>
              <w:jc w:val="both"/>
              <w:rPr>
                <w:rFonts w:ascii="Times New Roman" w:hAnsi="Times New Roman"/>
                <w:color w:val="auto"/>
                <w:kern w:val="0"/>
                <w:sz w:val="24"/>
                <w:szCs w:val="24"/>
              </w:rPr>
            </w:pPr>
            <w:r>
              <w:rPr>
                <w:rFonts w:ascii="Times New Roman" w:hAnsi="Times New Roman"/>
                <w:color w:val="auto"/>
                <w:kern w:val="0"/>
                <w:sz w:val="24"/>
                <w:szCs w:val="24"/>
              </w:rPr>
              <w:t>本项目规划符合性分析见表</w:t>
            </w:r>
            <w:r>
              <w:rPr>
                <w:rFonts w:hint="eastAsia" w:ascii="Times New Roman" w:hAnsi="Times New Roman"/>
                <w:color w:val="auto"/>
                <w:kern w:val="0"/>
                <w:sz w:val="24"/>
                <w:szCs w:val="24"/>
              </w:rPr>
              <w:t>2</w:t>
            </w:r>
            <w:r>
              <w:rPr>
                <w:rFonts w:ascii="Times New Roman" w:hAnsi="Times New Roman"/>
                <w:color w:val="auto"/>
                <w:kern w:val="0"/>
                <w:sz w:val="24"/>
                <w:szCs w:val="24"/>
              </w:rPr>
              <w:t>，项目在靖边能源化工综合利用产业园区的位置见附图</w:t>
            </w:r>
            <w:r>
              <w:rPr>
                <w:rFonts w:hint="eastAsia" w:ascii="Times New Roman" w:hAnsi="Times New Roman"/>
                <w:color w:val="auto"/>
                <w:kern w:val="0"/>
                <w:sz w:val="24"/>
                <w:szCs w:val="24"/>
              </w:rPr>
              <w:t>5</w:t>
            </w:r>
            <w:r>
              <w:rPr>
                <w:rFonts w:ascii="Times New Roman" w:hAnsi="Times New Roman"/>
                <w:color w:val="auto"/>
                <w:kern w:val="0"/>
                <w:sz w:val="24"/>
                <w:szCs w:val="24"/>
              </w:rPr>
              <w:t>。</w:t>
            </w:r>
          </w:p>
          <w:p>
            <w:pPr>
              <w:widowControl w:val="0"/>
              <w:numPr>
                <w:ilvl w:val="0"/>
                <w:numId w:val="13"/>
              </w:numPr>
              <w:jc w:val="center"/>
              <w:rPr>
                <w:rFonts w:ascii="Times New Roman" w:hAnsi="Times New Roman"/>
                <w:b/>
                <w:color w:val="auto"/>
                <w:sz w:val="24"/>
                <w:szCs w:val="24"/>
              </w:rPr>
            </w:pPr>
            <w:r>
              <w:rPr>
                <w:rFonts w:ascii="Times New Roman" w:hAnsi="Times New Roman"/>
                <w:b/>
                <w:color w:val="auto"/>
                <w:sz w:val="24"/>
                <w:szCs w:val="24"/>
              </w:rPr>
              <w:t>规划符合性分析表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3"/>
              <w:gridCol w:w="1758"/>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313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《靖边能源化工综合利用产业园区发展规划》</w:t>
                  </w:r>
                </w:p>
              </w:tc>
              <w:tc>
                <w:tcPr>
                  <w:tcW w:w="1112"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项目情况</w:t>
                  </w:r>
                </w:p>
              </w:tc>
              <w:tc>
                <w:tcPr>
                  <w:tcW w:w="75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园区发展定位：立足园区内榆能化已投产一期启动项目的产业基础条件，坚持“煤油气资源综合利用循环经济发展”这一战略主线，积极实施近期的“榆能化一期启动项目填平补齐工程”和远期的“煤基多联产创新示范工程”两大创新产业工程，加快培育“高端石化产品及加工制品”一个特色产业集群，重点打造“大宗合成树酯、基础有机原料、大宗合纤原料、新能源配套高端化学品、化工新材料、高端精细化工产品、新型塑料制品”。</w:t>
                  </w:r>
                </w:p>
              </w:tc>
              <w:tc>
                <w:tcPr>
                  <w:tcW w:w="1112"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根据园区规划方案，本项目原料、产品属于新能源配套高端化学品，是园区发展的七大类优势产品之一，为技术改造项目，符合园区发展定位。</w:t>
                  </w:r>
                </w:p>
              </w:tc>
              <w:tc>
                <w:tcPr>
                  <w:tcW w:w="75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3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本次规划园区形成“一轴三区一中心”的空间结构：</w:t>
                  </w:r>
                </w:p>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“一轴”：南北向迎宾大道景观轴；</w:t>
                  </w:r>
                </w:p>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“三区”：规划项目区、基础设施区、物流仓储区；</w:t>
                  </w:r>
                </w:p>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“一中心”：管理服务中心。</w:t>
                  </w:r>
                </w:p>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规划项目区为工业用地，在现有一期启动项目区的西侧布置高端化学品及加工制品区；在一期启动项目区的北部布置煤基多联产创新示范工程区；在煤基多联产创新示范工程区的西部为预留用地。在园区西北部布置装备制造区，园区东部布置物流仓储区。</w:t>
                  </w:r>
                </w:p>
              </w:tc>
              <w:tc>
                <w:tcPr>
                  <w:tcW w:w="1112"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本项目为现有厂区内的技术改造项目，根据园区土地利用规划图（见附图5），现有工程用地属于园区规划</w:t>
                  </w:r>
                  <w:r>
                    <w:rPr>
                      <w:rFonts w:hint="eastAsia" w:ascii="Times New Roman" w:hAnsi="Times New Roman"/>
                      <w:color w:val="auto"/>
                      <w:kern w:val="0"/>
                      <w:szCs w:val="21"/>
                    </w:rPr>
                    <w:t>中的</w:t>
                  </w:r>
                  <w:r>
                    <w:rPr>
                      <w:rFonts w:ascii="Times New Roman" w:hAnsi="Times New Roman"/>
                      <w:color w:val="auto"/>
                      <w:kern w:val="0"/>
                      <w:szCs w:val="21"/>
                    </w:rPr>
                    <w:t>其他项目用地，属于规划“三区”中的规划项目区。</w:t>
                  </w:r>
                </w:p>
              </w:tc>
              <w:tc>
                <w:tcPr>
                  <w:tcW w:w="75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bl>
          <w:p>
            <w:pPr>
              <w:widowControl w:val="0"/>
              <w:autoSpaceDE w:val="0"/>
              <w:autoSpaceDN w:val="0"/>
              <w:spacing w:line="360" w:lineRule="auto"/>
              <w:jc w:val="both"/>
              <w:rPr>
                <w:rFonts w:ascii="Times New Roman" w:hAnsi="Times New Roman"/>
                <w:b/>
                <w:bCs/>
                <w:color w:val="auto"/>
                <w:kern w:val="0"/>
                <w:sz w:val="24"/>
                <w:szCs w:val="24"/>
              </w:rPr>
            </w:pPr>
            <w:r>
              <w:rPr>
                <w:rFonts w:hint="eastAsia" w:ascii="Times New Roman" w:hAnsi="Times New Roman"/>
                <w:b/>
                <w:bCs/>
                <w:color w:val="auto"/>
                <w:kern w:val="0"/>
                <w:sz w:val="24"/>
                <w:szCs w:val="24"/>
              </w:rPr>
              <w:t>2、</w:t>
            </w:r>
            <w:r>
              <w:rPr>
                <w:rFonts w:ascii="Times New Roman" w:hAnsi="Times New Roman"/>
                <w:b/>
                <w:bCs/>
                <w:color w:val="auto"/>
                <w:kern w:val="0"/>
                <w:sz w:val="24"/>
                <w:szCs w:val="24"/>
              </w:rPr>
              <w:t>规划环境影响评价符合性分析</w:t>
            </w:r>
          </w:p>
          <w:p>
            <w:pPr>
              <w:pStyle w:val="56"/>
              <w:ind w:firstLine="480"/>
              <w:rPr>
                <w:rFonts w:ascii="Times New Roman" w:hAnsi="Times New Roman"/>
                <w:color w:val="auto"/>
                <w:kern w:val="0"/>
                <w:sz w:val="24"/>
                <w:szCs w:val="24"/>
              </w:rPr>
            </w:pPr>
            <w:r>
              <w:rPr>
                <w:rFonts w:ascii="Times New Roman" w:hAnsi="Times New Roman"/>
                <w:color w:val="auto"/>
                <w:kern w:val="0"/>
                <w:sz w:val="24"/>
                <w:szCs w:val="24"/>
              </w:rPr>
              <w:t>本项目规划环境影响评价符合性分析见表</w:t>
            </w:r>
            <w:r>
              <w:rPr>
                <w:rFonts w:hint="eastAsia" w:ascii="Times New Roman" w:hAnsi="Times New Roman"/>
                <w:color w:val="auto"/>
                <w:kern w:val="0"/>
                <w:sz w:val="24"/>
                <w:szCs w:val="24"/>
              </w:rPr>
              <w:t>3</w:t>
            </w:r>
            <w:r>
              <w:rPr>
                <w:rFonts w:ascii="Times New Roman" w:hAnsi="Times New Roman"/>
                <w:color w:val="auto"/>
                <w:kern w:val="0"/>
                <w:sz w:val="24"/>
                <w:szCs w:val="24"/>
              </w:rPr>
              <w:t>。</w:t>
            </w:r>
          </w:p>
          <w:p>
            <w:pPr>
              <w:widowControl w:val="0"/>
              <w:numPr>
                <w:ilvl w:val="0"/>
                <w:numId w:val="13"/>
              </w:numPr>
              <w:jc w:val="center"/>
              <w:rPr>
                <w:rFonts w:ascii="Times New Roman" w:hAnsi="Times New Roman"/>
                <w:b/>
                <w:color w:val="auto"/>
                <w:sz w:val="24"/>
                <w:szCs w:val="24"/>
              </w:rPr>
            </w:pPr>
            <w:r>
              <w:rPr>
                <w:rFonts w:ascii="Times New Roman" w:hAnsi="Times New Roman"/>
                <w:b/>
                <w:color w:val="auto"/>
                <w:sz w:val="24"/>
                <w:szCs w:val="24"/>
              </w:rPr>
              <w:t>规划环境影响评价符合性分析表</w:t>
            </w:r>
          </w:p>
          <w:tbl>
            <w:tblPr>
              <w:tblStyle w:val="90"/>
              <w:tblW w:w="78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4"/>
              <w:gridCol w:w="2041"/>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《靖边能源化工综合利用产业园区（修编）规划环境影响报告书审查意见》</w:t>
                  </w:r>
                </w:p>
              </w:tc>
              <w:tc>
                <w:tcPr>
                  <w:tcW w:w="12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项目情况</w:t>
                  </w:r>
                </w:p>
              </w:tc>
              <w:tc>
                <w:tcPr>
                  <w:tcW w:w="756"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2944" w:type="pct"/>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一）详细规划并优先实施园区污水处理厂项目，能源化工区内企业内部自建污水处理设施，处理达标废水全部回用不外排；物流仓储区、装备制造区等区内企业废水全部纳入园区污水处理厂统一处理，处理达标废水全部回用，不外排。补充规划区域雨水排放系统规划内容，对化工项目区域初期雨水应依托各厂收集处理，不得外排。</w:t>
                  </w:r>
                </w:p>
              </w:tc>
              <w:tc>
                <w:tcPr>
                  <w:tcW w:w="12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本项目生产过程产生少量生产废水，</w:t>
                  </w:r>
                  <w:r>
                    <w:rPr>
                      <w:rFonts w:hint="eastAsia" w:ascii="Times New Roman" w:hAnsi="Times New Roman"/>
                      <w:color w:val="auto"/>
                      <w:kern w:val="0"/>
                      <w:szCs w:val="21"/>
                      <w:lang w:eastAsia="zh-CN"/>
                    </w:rPr>
                    <w:t>采用水桶盛装后回用于厂区绿化和洒扫</w:t>
                  </w:r>
                  <w:r>
                    <w:rPr>
                      <w:rFonts w:ascii="Times New Roman" w:hAnsi="Times New Roman"/>
                      <w:color w:val="auto"/>
                      <w:kern w:val="0"/>
                      <w:szCs w:val="21"/>
                    </w:rPr>
                    <w:t>。</w:t>
                  </w:r>
                </w:p>
              </w:tc>
              <w:tc>
                <w:tcPr>
                  <w:tcW w:w="756"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pct"/>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二）园区针对固体废物按照“减量化、资源化、无害化”的原则利用和处置。园区内一般固体废物积极寻求综合利用途径，无法利用时依托渣场；危险废物应交有有资质单位处理。积极推行浓盐水分盐处置，减少浓盐水回收处置产生的杂盐量。</w:t>
                  </w:r>
                </w:p>
              </w:tc>
              <w:tc>
                <w:tcPr>
                  <w:tcW w:w="12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本项目生产过程产生的固体废物</w:t>
                  </w:r>
                  <w:r>
                    <w:rPr>
                      <w:rFonts w:hint="eastAsia" w:ascii="Times New Roman" w:hAnsi="Times New Roman"/>
                      <w:color w:val="auto"/>
                      <w:kern w:val="0"/>
                      <w:szCs w:val="21"/>
                      <w:lang w:eastAsia="zh-CN"/>
                    </w:rPr>
                    <w:t>更换后</w:t>
                  </w:r>
                  <w:r>
                    <w:rPr>
                      <w:rFonts w:ascii="Times New Roman" w:hAnsi="Times New Roman"/>
                      <w:color w:val="auto"/>
                      <w:kern w:val="0"/>
                      <w:szCs w:val="21"/>
                    </w:rPr>
                    <w:t>交由有资质的单位处理</w:t>
                  </w:r>
                  <w:r>
                    <w:rPr>
                      <w:rFonts w:hint="eastAsia" w:ascii="Times New Roman" w:hAnsi="Times New Roman"/>
                      <w:color w:val="auto"/>
                      <w:kern w:val="0"/>
                      <w:szCs w:val="21"/>
                      <w:lang w:eastAsia="zh-CN"/>
                    </w:rPr>
                    <w:t>，不在厂区暂存</w:t>
                  </w:r>
                  <w:r>
                    <w:rPr>
                      <w:rFonts w:ascii="Times New Roman" w:hAnsi="Times New Roman"/>
                      <w:color w:val="auto"/>
                      <w:kern w:val="0"/>
                      <w:szCs w:val="21"/>
                    </w:rPr>
                    <w:t>。</w:t>
                  </w:r>
                </w:p>
              </w:tc>
              <w:tc>
                <w:tcPr>
                  <w:tcW w:w="756"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pct"/>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三）按照《关于加强化工园区环境保护工作的意见》（环发[2012]54号）、《关于进一步加强环境影响评价管理防范环境风险的通知》（环发[2012]77号）、《陕西省加强化工园区环境保护工作实施方案》（陕环发[2012]83号）等要求，完善环境管理和环境风险防范规划内容，成立园区环境管理机构，建设园区环境风险预警体系，制定园区环境风险应急预案。规划应健全园区环境风险防控工程。建立企业与园区环境风险防控体系。建立完善有效的环境风险防控设施和有效的拦截、降污、导流等措施。入园各企业必须建设严格的“三级防控”体系。</w:t>
                  </w:r>
                </w:p>
              </w:tc>
              <w:tc>
                <w:tcPr>
                  <w:tcW w:w="12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w:t>
                  </w:r>
                  <w:r>
                    <w:rPr>
                      <w:rFonts w:hint="eastAsia" w:ascii="Times New Roman" w:hAnsi="Times New Roman"/>
                      <w:color w:val="auto"/>
                      <w:kern w:val="0"/>
                      <w:szCs w:val="21"/>
                    </w:rPr>
                    <w:t>已纳入全厂</w:t>
                  </w:r>
                  <w:r>
                    <w:rPr>
                      <w:rFonts w:ascii="Times New Roman" w:hAnsi="Times New Roman"/>
                      <w:color w:val="auto"/>
                      <w:kern w:val="0"/>
                      <w:szCs w:val="21"/>
                    </w:rPr>
                    <w:t>“三级防控”体系</w:t>
                  </w:r>
                  <w:r>
                    <w:rPr>
                      <w:rFonts w:hint="eastAsia" w:ascii="Times New Roman" w:hAnsi="Times New Roman"/>
                      <w:color w:val="auto"/>
                      <w:kern w:val="0"/>
                      <w:szCs w:val="21"/>
                    </w:rPr>
                    <w:t>内</w:t>
                  </w:r>
                  <w:r>
                    <w:rPr>
                      <w:rFonts w:ascii="Times New Roman" w:hAnsi="Times New Roman"/>
                      <w:color w:val="auto"/>
                      <w:kern w:val="0"/>
                      <w:szCs w:val="21"/>
                    </w:rPr>
                    <w:t>，并</w:t>
                  </w:r>
                  <w:r>
                    <w:rPr>
                      <w:rFonts w:hint="eastAsia" w:ascii="Times New Roman" w:hAnsi="Times New Roman"/>
                      <w:color w:val="auto"/>
                      <w:kern w:val="0"/>
                      <w:szCs w:val="21"/>
                    </w:rPr>
                    <w:t>与</w:t>
                  </w:r>
                  <w:r>
                    <w:rPr>
                      <w:rFonts w:ascii="Times New Roman" w:hAnsi="Times New Roman"/>
                      <w:color w:val="auto"/>
                      <w:kern w:val="0"/>
                      <w:szCs w:val="21"/>
                    </w:rPr>
                    <w:t>园区风险防控体</w:t>
                  </w:r>
                  <w:r>
                    <w:rPr>
                      <w:rFonts w:hint="eastAsia" w:ascii="Times New Roman" w:hAnsi="Times New Roman"/>
                      <w:color w:val="auto"/>
                      <w:kern w:val="0"/>
                      <w:szCs w:val="21"/>
                    </w:rPr>
                    <w:t>系</w:t>
                  </w:r>
                  <w:r>
                    <w:rPr>
                      <w:rFonts w:ascii="Times New Roman" w:hAnsi="Times New Roman"/>
                      <w:color w:val="auto"/>
                      <w:kern w:val="0"/>
                      <w:szCs w:val="21"/>
                    </w:rPr>
                    <w:t>相衔接</w:t>
                  </w:r>
                  <w:r>
                    <w:rPr>
                      <w:rFonts w:hint="eastAsia" w:ascii="Times New Roman" w:hAnsi="Times New Roman"/>
                      <w:color w:val="auto"/>
                      <w:kern w:val="0"/>
                      <w:szCs w:val="21"/>
                    </w:rPr>
                    <w:t>，严格落实环境风险防控措施</w:t>
                  </w:r>
                  <w:r>
                    <w:rPr>
                      <w:rFonts w:ascii="Times New Roman" w:hAnsi="Times New Roman"/>
                      <w:color w:val="auto"/>
                      <w:kern w:val="0"/>
                      <w:szCs w:val="21"/>
                    </w:rPr>
                    <w:t>。</w:t>
                  </w:r>
                </w:p>
              </w:tc>
              <w:tc>
                <w:tcPr>
                  <w:tcW w:w="756"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pct"/>
                </w:tcPr>
                <w:p>
                  <w:pPr>
                    <w:autoSpaceDE w:val="0"/>
                    <w:autoSpaceDN w:val="0"/>
                    <w:snapToGrid w:val="0"/>
                    <w:rPr>
                      <w:rFonts w:ascii="Times New Roman" w:hAnsi="Times New Roman"/>
                      <w:color w:val="auto"/>
                      <w:kern w:val="0"/>
                      <w:szCs w:val="21"/>
                    </w:rPr>
                  </w:pPr>
                  <w:r>
                    <w:rPr>
                      <w:rFonts w:ascii="Times New Roman" w:hAnsi="Times New Roman"/>
                      <w:color w:val="auto"/>
                      <w:kern w:val="0"/>
                      <w:szCs w:val="21"/>
                    </w:rPr>
                    <w:t>（四）园区设立环境空气自动监测点（</w:t>
                  </w:r>
                  <w:r>
                    <w:rPr>
                      <w:rFonts w:hint="eastAsia" w:ascii="Times New Roman" w:hAnsi="Times New Roman"/>
                      <w:color w:val="auto"/>
                      <w:kern w:val="0"/>
                      <w:szCs w:val="21"/>
                    </w:rPr>
                    <w:t>SO</w:t>
                  </w:r>
                  <w:r>
                    <w:rPr>
                      <w:rFonts w:hint="eastAsia" w:ascii="Times New Roman" w:hAnsi="Times New Roman"/>
                      <w:color w:val="auto"/>
                      <w:kern w:val="0"/>
                      <w:szCs w:val="21"/>
                      <w:vertAlign w:val="subscript"/>
                    </w:rPr>
                    <w:t>2</w:t>
                  </w:r>
                  <w:r>
                    <w:rPr>
                      <w:rFonts w:hint="eastAsia" w:ascii="Times New Roman" w:hAnsi="Times New Roman"/>
                      <w:color w:val="auto"/>
                      <w:kern w:val="0"/>
                      <w:szCs w:val="21"/>
                    </w:rPr>
                    <w:t>、NO</w:t>
                  </w:r>
                  <w:r>
                    <w:rPr>
                      <w:rFonts w:hint="eastAsia" w:ascii="Times New Roman" w:hAnsi="Times New Roman"/>
                      <w:color w:val="auto"/>
                      <w:kern w:val="0"/>
                      <w:szCs w:val="21"/>
                      <w:vertAlign w:val="subscript"/>
                    </w:rPr>
                    <w:t>2</w:t>
                  </w:r>
                  <w:r>
                    <w:rPr>
                      <w:rFonts w:hint="eastAsia" w:ascii="Times New Roman" w:hAnsi="Times New Roman"/>
                      <w:color w:val="auto"/>
                      <w:kern w:val="0"/>
                      <w:szCs w:val="21"/>
                    </w:rPr>
                    <w:t>、PM</w:t>
                  </w:r>
                  <w:r>
                    <w:rPr>
                      <w:rFonts w:hint="eastAsia" w:ascii="Times New Roman" w:hAnsi="Times New Roman"/>
                      <w:color w:val="auto"/>
                      <w:kern w:val="0"/>
                      <w:szCs w:val="21"/>
                      <w:vertAlign w:val="subscript"/>
                    </w:rPr>
                    <w:t>10</w:t>
                  </w:r>
                  <w:r>
                    <w:rPr>
                      <w:rFonts w:ascii="Times New Roman" w:hAnsi="Times New Roman"/>
                      <w:color w:val="auto"/>
                      <w:kern w:val="0"/>
                      <w:szCs w:val="21"/>
                    </w:rPr>
                    <w:t>）、设立地下水自动监测点，开展跟踪监测。按相关规范要求，设置规划控制范围，规划控制范围内不得新建住宅、学校和医院等敏感建筑。</w:t>
                  </w:r>
                </w:p>
              </w:tc>
              <w:tc>
                <w:tcPr>
                  <w:tcW w:w="12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w:t>
                  </w:r>
                  <w:r>
                    <w:rPr>
                      <w:rFonts w:hint="eastAsia" w:ascii="Times New Roman" w:hAnsi="Times New Roman"/>
                      <w:color w:val="auto"/>
                      <w:kern w:val="0"/>
                      <w:szCs w:val="21"/>
                    </w:rPr>
                    <w:t>及现有工程</w:t>
                  </w:r>
                  <w:r>
                    <w:rPr>
                      <w:rFonts w:ascii="Times New Roman" w:hAnsi="Times New Roman"/>
                      <w:color w:val="auto"/>
                      <w:kern w:val="0"/>
                      <w:szCs w:val="21"/>
                    </w:rPr>
                    <w:t>防护距离内无住宅、学校和医院等敏感建筑。</w:t>
                  </w:r>
                </w:p>
              </w:tc>
              <w:tc>
                <w:tcPr>
                  <w:tcW w:w="756"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44"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规划所包含的近期建设项目在开展环境影响评价时，区域环境现状评价内容可以结合实际情况适当简化，重点论证建设项目对大气环境、地下水环境、地表水环境的影响，并制定可行的污染防治措施和保护措施。</w:t>
                  </w:r>
                </w:p>
              </w:tc>
              <w:tc>
                <w:tcPr>
                  <w:tcW w:w="1299"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本项目对大气、地表水、声环境、固废、地下水及土壤、环境风险等进行了环境影响分析，并制定了可行的污染防治措施和保护措施。</w:t>
                  </w:r>
                </w:p>
              </w:tc>
              <w:tc>
                <w:tcPr>
                  <w:tcW w:w="756" w:type="pct"/>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符合</w:t>
                  </w:r>
                </w:p>
              </w:tc>
            </w:tr>
          </w:tbl>
          <w:p>
            <w:pPr>
              <w:widowControl w:val="0"/>
              <w:autoSpaceDE w:val="0"/>
              <w:autoSpaceDN w:val="0"/>
              <w:spacing w:line="360" w:lineRule="auto"/>
              <w:ind w:firstLine="480" w:firstLineChars="200"/>
              <w:jc w:val="both"/>
              <w:rPr>
                <w:rFonts w:ascii="Times New Roman" w:hAnsi="Times New Roman"/>
                <w:color w:val="auto"/>
              </w:rPr>
            </w:pPr>
            <w:r>
              <w:rPr>
                <w:rFonts w:ascii="Times New Roman" w:hAnsi="Times New Roman"/>
                <w:color w:val="auto"/>
                <w:kern w:val="0"/>
                <w:sz w:val="24"/>
                <w:szCs w:val="24"/>
              </w:rPr>
              <w:t>本项目为技术改造项目，在现有场地内建设，不新增用地，符合《靖边能源化工综合利用产业园区发展规划》和《靖边能源化工综合利用产业园区（修编）规划环境影响报告书审查意见》的相关要求。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19" w:type="dxa"/>
            <w:vAlign w:val="center"/>
          </w:tcPr>
          <w:p>
            <w:pPr>
              <w:widowControl w:val="0"/>
              <w:autoSpaceDE w:val="0"/>
              <w:autoSpaceDN w:val="0"/>
              <w:spacing w:line="360" w:lineRule="auto"/>
              <w:ind w:left="-84" w:leftChars="-40" w:right="-84" w:rightChars="-40"/>
              <w:jc w:val="center"/>
              <w:rPr>
                <w:rFonts w:ascii="Times New Roman" w:hAnsi="Times New Roman"/>
                <w:b/>
                <w:bCs/>
                <w:color w:val="auto"/>
                <w:kern w:val="0"/>
                <w:sz w:val="24"/>
                <w:szCs w:val="24"/>
                <w:highlight w:val="yellow"/>
              </w:rPr>
            </w:pPr>
            <w:r>
              <w:rPr>
                <w:rFonts w:ascii="Times New Roman" w:hAnsi="Times New Roman"/>
                <w:b/>
                <w:bCs/>
                <w:color w:val="auto"/>
                <w:kern w:val="0"/>
                <w:sz w:val="24"/>
                <w:szCs w:val="24"/>
              </w:rPr>
              <w:t>其他符合性分析</w:t>
            </w:r>
          </w:p>
        </w:tc>
        <w:tc>
          <w:tcPr>
            <w:tcW w:w="8129" w:type="dxa"/>
            <w:gridSpan w:val="3"/>
          </w:tcPr>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1、产业政策符合性分析</w:t>
            </w:r>
          </w:p>
          <w:p>
            <w:pPr>
              <w:widowControl w:val="0"/>
              <w:spacing w:line="360" w:lineRule="auto"/>
              <w:ind w:firstLine="470" w:firstLineChars="196"/>
              <w:jc w:val="both"/>
              <w:rPr>
                <w:rFonts w:ascii="Times New Roman" w:hAnsi="Times New Roman"/>
                <w:color w:val="auto"/>
                <w:sz w:val="24"/>
                <w:szCs w:val="24"/>
              </w:rPr>
            </w:pPr>
            <w:r>
              <w:rPr>
                <w:rFonts w:ascii="Times New Roman" w:hAnsi="Times New Roman"/>
                <w:color w:val="auto"/>
                <w:sz w:val="24"/>
                <w:szCs w:val="24"/>
              </w:rPr>
              <w:t>本项目为液化天然气提取氦气技术改造项目，不属于《产业结构调整指导目录（2019年本）》中的鼓励类、限制类及淘汰类项目，属于允许类范畴，符合国家产业政策。</w:t>
            </w:r>
          </w:p>
          <w:p>
            <w:pPr>
              <w:widowControl w:val="0"/>
              <w:spacing w:line="360" w:lineRule="auto"/>
              <w:ind w:firstLine="470" w:firstLineChars="196"/>
              <w:jc w:val="both"/>
              <w:rPr>
                <w:rFonts w:ascii="Times New Roman" w:hAnsi="Times New Roman"/>
                <w:color w:val="auto"/>
                <w:sz w:val="24"/>
                <w:szCs w:val="24"/>
              </w:rPr>
            </w:pPr>
            <w:r>
              <w:rPr>
                <w:rFonts w:ascii="Times New Roman" w:hAnsi="Times New Roman"/>
                <w:color w:val="auto"/>
                <w:sz w:val="24"/>
                <w:szCs w:val="24"/>
              </w:rPr>
              <w:t>本技改项目</w:t>
            </w:r>
            <w:r>
              <w:rPr>
                <w:rFonts w:ascii="Times New Roman" w:hAnsi="Times New Roman"/>
                <w:color w:val="auto"/>
                <w:kern w:val="0"/>
                <w:sz w:val="24"/>
                <w:szCs w:val="24"/>
              </w:rPr>
              <w:t>符合《陕西省企业投资项目核准和备案管理办法》的相关规定，经靖边县工业商贸局审查，于2022年6月20日同意本技改项目备案，备案文号为靖政工贸发〔2022〕45号（备案文件见附件2），</w:t>
            </w:r>
            <w:r>
              <w:rPr>
                <w:rFonts w:ascii="Times New Roman" w:hAnsi="Times New Roman"/>
                <w:color w:val="auto"/>
                <w:sz w:val="24"/>
                <w:szCs w:val="24"/>
              </w:rPr>
              <w:t>项目建设符合地方产业政策要求。</w:t>
            </w:r>
          </w:p>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2、其它政策符合性分析</w:t>
            </w:r>
          </w:p>
          <w:p>
            <w:pPr>
              <w:widowControl w:val="0"/>
              <w:spacing w:line="360" w:lineRule="auto"/>
              <w:ind w:firstLine="470" w:firstLineChars="196"/>
              <w:jc w:val="both"/>
              <w:rPr>
                <w:rFonts w:ascii="Times New Roman" w:hAnsi="Times New Roman"/>
                <w:color w:val="auto"/>
                <w:kern w:val="0"/>
                <w:sz w:val="24"/>
                <w:szCs w:val="24"/>
              </w:rPr>
            </w:pPr>
            <w:r>
              <w:rPr>
                <w:rFonts w:ascii="Times New Roman" w:hAnsi="Times New Roman"/>
                <w:color w:val="auto"/>
                <w:kern w:val="0"/>
                <w:sz w:val="24"/>
                <w:szCs w:val="24"/>
              </w:rPr>
              <w:t>本项目与相关政策符合性分析</w:t>
            </w:r>
            <w:r>
              <w:rPr>
                <w:rFonts w:hint="eastAsia" w:ascii="Times New Roman" w:hAnsi="Times New Roman"/>
                <w:color w:val="auto"/>
                <w:kern w:val="0"/>
                <w:sz w:val="24"/>
                <w:szCs w:val="24"/>
              </w:rPr>
              <w:t>见表4。</w:t>
            </w:r>
          </w:p>
          <w:p>
            <w:pPr>
              <w:widowControl w:val="0"/>
              <w:numPr>
                <w:ilvl w:val="0"/>
                <w:numId w:val="13"/>
              </w:numPr>
              <w:jc w:val="center"/>
              <w:rPr>
                <w:color w:val="auto"/>
              </w:rPr>
            </w:pPr>
            <w:r>
              <w:rPr>
                <w:rFonts w:ascii="Times New Roman" w:hAnsi="Times New Roman"/>
                <w:b/>
                <w:color w:val="auto"/>
                <w:sz w:val="24"/>
                <w:szCs w:val="24"/>
                <w:highlight w:val="none"/>
              </w:rPr>
              <w:t>相关政策符合性分析表</w:t>
            </w:r>
          </w:p>
          <w:tbl>
            <w:tblPr>
              <w:tblStyle w:val="831"/>
              <w:tblpPr w:leftFromText="180" w:rightFromText="180" w:vertAnchor="text" w:horzAnchor="page" w:tblpX="75" w:tblpY="19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3136"/>
              <w:gridCol w:w="2305"/>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986"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文件名称</w:t>
                  </w:r>
                </w:p>
              </w:tc>
              <w:tc>
                <w:tcPr>
                  <w:tcW w:w="1984"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相关内容(摘录)</w:t>
                  </w:r>
                </w:p>
              </w:tc>
              <w:tc>
                <w:tcPr>
                  <w:tcW w:w="1458" w:type="pct"/>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本项目情况</w:t>
                  </w:r>
                </w:p>
              </w:tc>
              <w:tc>
                <w:tcPr>
                  <w:tcW w:w="570" w:type="pct"/>
                  <w:vAlign w:val="center"/>
                </w:tcPr>
                <w:p>
                  <w:pPr>
                    <w:autoSpaceDE w:val="0"/>
                    <w:autoSpaceDN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6" w:type="pct"/>
                  <w:vMerge w:val="restar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《国务院关于印发“十四五”节能减排综合工作方案的通知》（国发〔202</w:t>
                  </w:r>
                  <w:r>
                    <w:rPr>
                      <w:rFonts w:hint="eastAsia" w:ascii="Times New Roman" w:hAnsi="Times New Roman" w:cs="Times New Roman"/>
                      <w:color w:val="auto"/>
                      <w:kern w:val="0"/>
                      <w:szCs w:val="21"/>
                      <w:lang w:val="en-US" w:eastAsia="zh-CN"/>
                    </w:rPr>
                    <w:t>1</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33</w:t>
                  </w:r>
                  <w:r>
                    <w:rPr>
                      <w:rFonts w:hint="eastAsia" w:ascii="Times New Roman" w:hAnsi="Times New Roman" w:cs="Times New Roman"/>
                      <w:color w:val="auto"/>
                      <w:kern w:val="0"/>
                      <w:szCs w:val="21"/>
                      <w:lang w:eastAsia="zh-CN"/>
                    </w:rPr>
                    <w:t>号）</w:t>
                  </w:r>
                </w:p>
              </w:tc>
              <w:tc>
                <w:tcPr>
                  <w:tcW w:w="1984"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eastAsia" w:ascii="Times New Roman" w:hAnsi="Times New Roman" w:cs="Times New Roman"/>
                      <w:color w:val="auto"/>
                      <w:kern w:val="0"/>
                      <w:szCs w:val="21"/>
                      <w:lang w:val="en-US" w:eastAsia="zh-CN"/>
                    </w:rPr>
                    <w:t>2、</w:t>
                  </w:r>
                  <w:r>
                    <w:rPr>
                      <w:rFonts w:hint="default" w:ascii="Times New Roman" w:hAnsi="Times New Roman" w:eastAsia="宋体" w:cs="Times New Roman"/>
                      <w:color w:val="auto"/>
                      <w:kern w:val="0"/>
                      <w:szCs w:val="21"/>
                    </w:rPr>
                    <w:t>园区节能环保提升工程</w:t>
                  </w:r>
                  <w:r>
                    <w:rPr>
                      <w:rFonts w:hint="eastAsia" w:ascii="Times New Roman" w:hAnsi="Times New Roman" w:cs="Times New Roman"/>
                      <w:color w:val="auto"/>
                      <w:kern w:val="0"/>
                      <w:szCs w:val="21"/>
                      <w:lang w:eastAsia="zh-CN"/>
                    </w:rPr>
                    <w:t>：</w:t>
                  </w:r>
                  <w:r>
                    <w:rPr>
                      <w:rFonts w:hint="default" w:ascii="Times New Roman" w:hAnsi="Times New Roman" w:eastAsia="宋体" w:cs="Times New Roman"/>
                      <w:color w:val="auto"/>
                      <w:kern w:val="0"/>
                      <w:szCs w:val="21"/>
                    </w:rPr>
                    <w:t>引导工业企业向园区集聚，推动工业园区能源系统整体优化和污染综合整治，鼓励工业企业、园区优先利用可再生能源。以省级以上工业园区为重点，推进供热、供电、污水处理、中水回用等公共基础设施共建共享，对进水浓度异常的污水处理厂开展片区管网系统化整治，加强一般固体废物、危险废物集中贮存和处置，推动挥发性有机物、电镀废水及特征污染物集中治理等“绿岛”项目建设。到2025年，建成一批节能环保示范园区。</w:t>
                  </w:r>
                </w:p>
              </w:tc>
              <w:tc>
                <w:tcPr>
                  <w:tcW w:w="1458"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本项目位于</w:t>
                  </w:r>
                  <w:r>
                    <w:rPr>
                      <w:rFonts w:hint="default" w:ascii="Times New Roman" w:hAnsi="Times New Roman" w:eastAsia="宋体" w:cs="Times New Roman"/>
                      <w:color w:val="auto"/>
                      <w:kern w:val="0"/>
                      <w:szCs w:val="21"/>
                    </w:rPr>
                    <w:t>陕西省榆林市靖边县杨桥畔镇能源化工综合利用产业园区迎宾大道陕西靖边星源实业有限公司场地内</w:t>
                  </w:r>
                  <w:r>
                    <w:rPr>
                      <w:rFonts w:hint="eastAsia" w:ascii="Times New Roman" w:hAnsi="Times New Roman" w:cs="Times New Roman"/>
                      <w:color w:val="auto"/>
                      <w:kern w:val="0"/>
                      <w:szCs w:val="21"/>
                      <w:lang w:eastAsia="zh-CN"/>
                    </w:rPr>
                    <w:t>，企业能将厂区内资源与园区公共基础设施资源较好的整合，以满足厂区生产及环保要求，且企业将提氦过程产生的富甲烷解析气回用于厂区燃料气系统；</w:t>
                  </w:r>
                  <w:r>
                    <w:rPr>
                      <w:rFonts w:hint="eastAsia" w:ascii="Times New Roman" w:hAnsi="Times New Roman" w:cs="Times New Roman"/>
                      <w:color w:val="auto"/>
                      <w:kern w:val="0"/>
                      <w:szCs w:val="21"/>
                      <w:highlight w:val="none"/>
                      <w:lang w:eastAsia="zh-CN"/>
                    </w:rPr>
                    <w:t>脱氢冷凝水</w:t>
                  </w:r>
                  <w:r>
                    <w:rPr>
                      <w:rFonts w:hint="eastAsia" w:ascii="Times New Roman" w:hAnsi="Times New Roman" w:cs="Times New Roman"/>
                      <w:color w:val="auto"/>
                      <w:kern w:val="0"/>
                      <w:szCs w:val="21"/>
                      <w:lang w:eastAsia="zh-CN"/>
                    </w:rPr>
                    <w:t>用水桶盛装后用于厂区绿化或洒扫；基本能满足节能环保的相关要求。</w:t>
                  </w:r>
                </w:p>
              </w:tc>
              <w:tc>
                <w:tcPr>
                  <w:tcW w:w="570"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6" w:type="pct"/>
                  <w:vMerge w:val="continue"/>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p>
              </w:tc>
              <w:tc>
                <w:tcPr>
                  <w:tcW w:w="1984"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eastAsia" w:ascii="Times New Roman" w:hAnsi="Times New Roman" w:cs="Times New Roman"/>
                      <w:color w:val="auto"/>
                      <w:kern w:val="0"/>
                      <w:szCs w:val="21"/>
                      <w:lang w:val="en-US" w:eastAsia="zh-CN"/>
                    </w:rPr>
                    <w:t>9、</w:t>
                  </w:r>
                  <w:r>
                    <w:rPr>
                      <w:rFonts w:hint="default" w:ascii="Times New Roman" w:hAnsi="Times New Roman" w:eastAsia="宋体" w:cs="Times New Roman"/>
                      <w:color w:val="auto"/>
                      <w:kern w:val="0"/>
                      <w:szCs w:val="21"/>
                    </w:rPr>
                    <w:t>挥发性有机物综合整治工程</w:t>
                  </w:r>
                  <w:r>
                    <w:rPr>
                      <w:rFonts w:hint="eastAsia" w:ascii="Times New Roman" w:hAnsi="Times New Roman" w:cs="Times New Roman"/>
                      <w:color w:val="auto"/>
                      <w:kern w:val="0"/>
                      <w:szCs w:val="21"/>
                      <w:lang w:eastAsia="zh-CN"/>
                    </w:rPr>
                    <w:t>：</w:t>
                  </w:r>
                  <w:r>
                    <w:rPr>
                      <w:rFonts w:hint="default" w:ascii="Times New Roman" w:hAnsi="Times New Roman" w:eastAsia="宋体" w:cs="Times New Roman"/>
                      <w:color w:val="auto"/>
                      <w:kern w:val="0"/>
                      <w:szCs w:val="21"/>
                    </w:rPr>
                    <w:t>推进原辅材料和产品源头替代工程，实施全过程污染物治理。以工业涂装、包装印刷等行业为重点，推动使用低挥发性有机物含量的涂料、油墨、胶粘剂、清洗剂。深化石化化工等行业挥发性有机物污染治理，全面提升废气收集率、治理设施同步运行率和去除率。对易挥发有机液体储罐实施改造，对浮顶罐推广采用全接液浮盘和高效双重密封技术，对废水系统高浓度废气实施单独收集处理。</w:t>
                  </w:r>
                </w:p>
              </w:tc>
              <w:tc>
                <w:tcPr>
                  <w:tcW w:w="1458" w:type="pct"/>
                  <w:vAlign w:val="center"/>
                </w:tcPr>
                <w:p>
                  <w:pPr>
                    <w:autoSpaceDE w:val="0"/>
                    <w:autoSpaceDN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本项目基本不涉及含有挥发性有机物的原辅材料及挥发性有机物的存储等阶段，项目所在厂区现有工程废气收集率、治理设施同步运行率和去除率效果均较好，能满足节能减排的相关要求。</w:t>
                  </w:r>
                </w:p>
              </w:tc>
              <w:tc>
                <w:tcPr>
                  <w:tcW w:w="570" w:type="pct"/>
                  <w:vAlign w:val="center"/>
                </w:tcPr>
                <w:p>
                  <w:pPr>
                    <w:autoSpaceDE w:val="0"/>
                    <w:autoSpaceDN w:val="0"/>
                    <w:snapToGrid w:val="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6" w:type="pct"/>
                  <w:vAlign w:val="center"/>
                </w:tcPr>
                <w:p>
                  <w:pPr>
                    <w:autoSpaceDE w:val="0"/>
                    <w:autoSpaceDN w:val="0"/>
                    <w:snapToGrid w:val="0"/>
                    <w:jc w:val="center"/>
                    <w:rPr>
                      <w:rFonts w:hint="eastAsia" w:ascii="Times New Roman" w:hAnsi="Times New Roman" w:eastAsia="宋体" w:cs="Times New Roman"/>
                      <w:color w:val="auto"/>
                      <w:kern w:val="0"/>
                      <w:szCs w:val="21"/>
                      <w:highlight w:val="yellow"/>
                      <w:lang w:eastAsia="zh-CN"/>
                    </w:rPr>
                  </w:pPr>
                  <w:r>
                    <w:rPr>
                      <w:rFonts w:hint="eastAsia" w:ascii="Times New Roman" w:hAnsi="Times New Roman" w:eastAsia="宋体" w:cs="Times New Roman"/>
                      <w:color w:val="auto"/>
                      <w:kern w:val="0"/>
                      <w:szCs w:val="21"/>
                      <w:lang w:eastAsia="zh-CN"/>
                    </w:rPr>
                    <w:t>《关于加快解决当前挥发性有机物治理突出问题的通知》（环大气</w:t>
                  </w:r>
                  <w:r>
                    <w:rPr>
                      <w:rFonts w:hint="default" w:ascii="Times New Roman" w:hAnsi="Times New Roman" w:eastAsia="宋体" w:cs="Times New Roman"/>
                      <w:color w:val="auto"/>
                      <w:kern w:val="0"/>
                      <w:szCs w:val="21"/>
                    </w:rPr>
                    <w:t>〔202</w:t>
                  </w:r>
                  <w:r>
                    <w:rPr>
                      <w:rFonts w:hint="eastAsia"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65</w:t>
                  </w:r>
                  <w:r>
                    <w:rPr>
                      <w:rFonts w:hint="default" w:ascii="Times New Roman" w:hAnsi="Times New Roman" w:eastAsia="宋体" w:cs="Times New Roman"/>
                      <w:color w:val="auto"/>
                      <w:kern w:val="0"/>
                      <w:szCs w:val="21"/>
                    </w:rPr>
                    <w:t>号</w:t>
                  </w:r>
                  <w:r>
                    <w:rPr>
                      <w:rFonts w:hint="eastAsia" w:ascii="Times New Roman" w:hAnsi="Times New Roman" w:eastAsia="宋体" w:cs="Times New Roman"/>
                      <w:color w:val="auto"/>
                      <w:kern w:val="0"/>
                      <w:szCs w:val="21"/>
                      <w:lang w:eastAsia="zh-CN"/>
                    </w:rPr>
                    <w:t>）</w:t>
                  </w:r>
                </w:p>
              </w:tc>
              <w:tc>
                <w:tcPr>
                  <w:tcW w:w="1984"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各地生态环境局结合本地特色产业，组织企业针对挥发性有机液体储罐、装卸、敞开液面、泄漏检测与修复（LDAR）、废气收集、废气旁路、治理设施、加油站、非正常工况、产品VOCs含量等10个关键环节，认真对照大气污染防治法、排污许可证、相关排放标准和产品VOCs含量限值标准等开展排查整治。</w:t>
                  </w:r>
                </w:p>
              </w:tc>
              <w:tc>
                <w:tcPr>
                  <w:tcW w:w="1458" w:type="pct"/>
                  <w:vAlign w:val="center"/>
                </w:tcPr>
                <w:p>
                  <w:pPr>
                    <w:autoSpaceDE w:val="0"/>
                    <w:autoSpaceDN w:val="0"/>
                    <w:snapToGrid w:val="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eastAsia="zh-CN"/>
                    </w:rPr>
                    <w:t>项目所在厂区按照当地要求对厂区内现有工程的十个关键环节开展了排查工作，未发现泄漏等问题，污染物也均能够达标排放，本项目施工过程将严格按照前期的标准执行，确保项目对环境的影响降至最低。</w:t>
                  </w:r>
                </w:p>
              </w:tc>
              <w:tc>
                <w:tcPr>
                  <w:tcW w:w="570"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6"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《榆林市人民政府关于印发榆林市国民经济和社会发展第十四个五年规划和二〇三五年远景目标纲要的通知》（榆政发</w:t>
                  </w:r>
                  <w:r>
                    <w:rPr>
                      <w:rFonts w:hint="default" w:ascii="Times New Roman" w:hAnsi="Times New Roman" w:eastAsia="宋体" w:cs="Times New Roman"/>
                      <w:color w:val="auto"/>
                      <w:kern w:val="0"/>
                      <w:szCs w:val="21"/>
                    </w:rPr>
                    <w:t>〔202</w:t>
                  </w:r>
                  <w:r>
                    <w:rPr>
                      <w:rFonts w:hint="eastAsia" w:ascii="Times New Roman" w:hAnsi="Times New Roman" w:eastAsia="宋体" w:cs="Times New Roman"/>
                      <w:color w:val="auto"/>
                      <w:kern w:val="0"/>
                      <w:szCs w:val="21"/>
                      <w:lang w:val="en-US" w:eastAsia="zh-CN"/>
                    </w:rPr>
                    <w:t>1</w:t>
                  </w:r>
                  <w:r>
                    <w:rPr>
                      <w:rFonts w:hint="default" w:ascii="Times New Roman" w:hAnsi="Times New Roman" w:eastAsia="宋体" w:cs="Times New Roman"/>
                      <w:color w:val="auto"/>
                      <w:kern w:val="0"/>
                      <w:szCs w:val="21"/>
                    </w:rPr>
                    <w:t>〕</w:t>
                  </w:r>
                  <w:r>
                    <w:rPr>
                      <w:rFonts w:hint="eastAsia" w:ascii="Times New Roman" w:hAnsi="Times New Roman" w:cs="Times New Roman"/>
                      <w:color w:val="auto"/>
                      <w:kern w:val="0"/>
                      <w:szCs w:val="21"/>
                      <w:lang w:val="en-US" w:eastAsia="zh-CN"/>
                    </w:rPr>
                    <w:t>12</w:t>
                  </w:r>
                  <w:r>
                    <w:rPr>
                      <w:rFonts w:hint="default" w:ascii="Times New Roman" w:hAnsi="Times New Roman" w:eastAsia="宋体" w:cs="Times New Roman"/>
                      <w:color w:val="auto"/>
                      <w:kern w:val="0"/>
                      <w:szCs w:val="21"/>
                    </w:rPr>
                    <w:t>号</w:t>
                  </w:r>
                  <w:r>
                    <w:rPr>
                      <w:rFonts w:hint="eastAsia" w:ascii="Times New Roman" w:hAnsi="Times New Roman" w:cs="Times New Roman"/>
                      <w:color w:val="auto"/>
                      <w:kern w:val="0"/>
                      <w:szCs w:val="21"/>
                      <w:lang w:eastAsia="zh-CN"/>
                    </w:rPr>
                    <w:t>）</w:t>
                  </w:r>
                </w:p>
              </w:tc>
              <w:tc>
                <w:tcPr>
                  <w:tcW w:w="1984"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推进资源多层次循环利用</w:t>
                  </w:r>
                  <w:r>
                    <w:rPr>
                      <w:rFonts w:hint="eastAsia" w:ascii="Times New Roman" w:hAnsi="Times New Roman" w:cs="Times New Roman"/>
                      <w:color w:val="auto"/>
                      <w:kern w:val="0"/>
                      <w:szCs w:val="21"/>
                      <w:lang w:eastAsia="zh-CN"/>
                    </w:rPr>
                    <w:t>：</w:t>
                  </w:r>
                  <w:r>
                    <w:rPr>
                      <w:rFonts w:hint="default" w:ascii="Times New Roman" w:hAnsi="Times New Roman" w:eastAsia="宋体" w:cs="Times New Roman"/>
                      <w:color w:val="auto"/>
                      <w:kern w:val="0"/>
                      <w:szCs w:val="21"/>
                    </w:rPr>
                    <w:t>坚持源头减量、循环利用、安全处置，建立能源从开采到转化到废弃物综合利用“吃干榨净”全产业链，突出大宗工业固废、化工危废综合利用，构建企业内部小循环、产业园区中循环、社会系统大循环的多层次资源循环利用体系。建设园区公用热岛、废弃物集中处置等资源综合利用平台，促进园区能源梯级利用、水资源循环利用、废物交换利用，支持榆横工业区、榆神工业区、靖边能化园区等创建国家级循环化改造示范园区、国家级绿色产业示范基地。</w:t>
                  </w:r>
                </w:p>
              </w:tc>
              <w:tc>
                <w:tcPr>
                  <w:tcW w:w="1458"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本项目提氦过程产生的富甲烷解析气回用于厂区燃料气系统充当燃料气；</w:t>
                  </w:r>
                  <w:r>
                    <w:rPr>
                      <w:rFonts w:hint="eastAsia" w:ascii="Times New Roman" w:hAnsi="Times New Roman" w:cs="Times New Roman"/>
                      <w:color w:val="auto"/>
                      <w:kern w:val="0"/>
                      <w:szCs w:val="21"/>
                      <w:highlight w:val="none"/>
                      <w:lang w:eastAsia="zh-CN"/>
                    </w:rPr>
                    <w:t>脱氢冷凝水</w:t>
                  </w:r>
                  <w:r>
                    <w:rPr>
                      <w:rFonts w:hint="eastAsia" w:ascii="Times New Roman" w:hAnsi="Times New Roman" w:cs="Times New Roman"/>
                      <w:color w:val="auto"/>
                      <w:kern w:val="0"/>
                      <w:szCs w:val="21"/>
                      <w:lang w:eastAsia="zh-CN"/>
                    </w:rPr>
                    <w:t>用水桶盛装后用于厂区绿化或洒扫；基本能做到</w:t>
                  </w:r>
                  <w:r>
                    <w:rPr>
                      <w:rFonts w:hint="default" w:ascii="Times New Roman" w:hAnsi="Times New Roman" w:eastAsia="宋体" w:cs="Times New Roman"/>
                      <w:color w:val="auto"/>
                      <w:kern w:val="0"/>
                      <w:szCs w:val="21"/>
                    </w:rPr>
                    <w:t>资源多层次循环利用</w:t>
                  </w:r>
                  <w:r>
                    <w:rPr>
                      <w:rFonts w:hint="eastAsia" w:ascii="Times New Roman" w:hAnsi="Times New Roman" w:cs="Times New Roman"/>
                      <w:color w:val="auto"/>
                      <w:kern w:val="0"/>
                      <w:szCs w:val="21"/>
                      <w:lang w:eastAsia="zh-CN"/>
                    </w:rPr>
                    <w:t>。</w:t>
                  </w:r>
                </w:p>
              </w:tc>
              <w:tc>
                <w:tcPr>
                  <w:tcW w:w="570" w:type="pct"/>
                  <w:vAlign w:val="center"/>
                </w:tcPr>
                <w:p>
                  <w:pPr>
                    <w:autoSpaceDE w:val="0"/>
                    <w:autoSpaceDN w:val="0"/>
                    <w:snapToGrid w:val="0"/>
                    <w:jc w:val="center"/>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6"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《榆林市2022年生态环境保护52项攻坚行动方案》（榆办字〔2022〕11号）</w:t>
                  </w:r>
                </w:p>
              </w:tc>
              <w:tc>
                <w:tcPr>
                  <w:tcW w:w="1984"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控新上高污染、高耗水、高耗能项目；榆林中心城区和各县市区域及周边所有建筑（道路工程、商砼站）施工做到工地周边围挡、物料裸土覆盖、土方开挖（拆迁）湿法作业、路面硬化、出入车辆清洗、渣土车辆密闭运输“六个百分之百”；严格按照《榆林市冬季清洁取暖工作实施方案（2021-2023）》要求，加快构建以集中供热、天然气供热为主，以电热、光热、风热等为辅的清洁取暖体系；严格执行《噪声污染防治法》等有关法律法规规定；各县市区加快实施城市现有合流制排水系统雨污分流改造，按照“分类改造、分区推进、分年实施”的原则制定工作计划；加强危险废物监督管理，涉汽油开发企业污油泥定期转移至有资质单位处理处置；</w:t>
                  </w:r>
                </w:p>
              </w:tc>
              <w:tc>
                <w:tcPr>
                  <w:tcW w:w="1458"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属于高污染、高耗水、高耗能项目；项目施工期土地平整及设备安装均按相关要求进行；本项目取暖依托现有工程，并且项目析出的富甲烷解析气去往燃料气管网充当燃料气；本项目运营期噪声均能达标排放；本项目排水系统依托现有，厂区已建成雨污分流排放体系；项目危废5年产生一次，主要包括废催化剂、废分子筛、废活性炭、废吸附剂，项目产生的危废</w:t>
                  </w:r>
                  <w:r>
                    <w:rPr>
                      <w:rFonts w:hint="eastAsia" w:ascii="Times New Roman" w:hAnsi="Times New Roman" w:cs="Times New Roman"/>
                      <w:color w:val="auto"/>
                      <w:kern w:val="0"/>
                      <w:szCs w:val="21"/>
                      <w:lang w:eastAsia="zh-CN"/>
                    </w:rPr>
                    <w:t>由厂家替换后送至有资质单位处置，不在厂区内暂存</w:t>
                  </w:r>
                  <w:r>
                    <w:rPr>
                      <w:rFonts w:hint="default" w:ascii="Times New Roman" w:hAnsi="Times New Roman" w:eastAsia="宋体" w:cs="Times New Roman"/>
                      <w:color w:val="auto"/>
                      <w:kern w:val="0"/>
                      <w:szCs w:val="21"/>
                    </w:rPr>
                    <w:t>。</w:t>
                  </w:r>
                </w:p>
              </w:tc>
              <w:tc>
                <w:tcPr>
                  <w:tcW w:w="570"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986"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《靖边县2022年生态环境保护四十三项攻坚行动方案》</w:t>
                  </w:r>
                </w:p>
              </w:tc>
              <w:tc>
                <w:tcPr>
                  <w:tcW w:w="1984"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严控新上高污染、高耗水、高耗能项目；协同控制挥发性有机物和氮氧化物排放，强化中心城区抽样污染防治；对危化品重大危险源监控工作实施监督检查，指导监督涉油气开发重点企业开展事故隐患排查治理；规范建筑垃圾处置，鼓励优先对建筑垃圾进行回收再利用；</w:t>
                  </w:r>
                </w:p>
              </w:tc>
              <w:tc>
                <w:tcPr>
                  <w:tcW w:w="1458"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本项目不属于高污染、高耗水、高耗能项目；项目废气包括污氮气和富甲烷解析气；项目生活垃圾、建筑垃圾均能在建设期及运营期合理处置，项目产生的危废</w:t>
                  </w:r>
                  <w:r>
                    <w:rPr>
                      <w:rFonts w:hint="eastAsia" w:ascii="Times New Roman" w:hAnsi="Times New Roman" w:cs="Times New Roman"/>
                      <w:color w:val="auto"/>
                      <w:kern w:val="0"/>
                      <w:szCs w:val="21"/>
                      <w:lang w:eastAsia="zh-CN"/>
                    </w:rPr>
                    <w:t>由厂家替换后送至有资质单位处置，不在厂区内暂存</w:t>
                  </w:r>
                  <w:r>
                    <w:rPr>
                      <w:rFonts w:hint="default" w:ascii="Times New Roman" w:hAnsi="Times New Roman" w:eastAsia="宋体" w:cs="Times New Roman"/>
                      <w:color w:val="auto"/>
                      <w:kern w:val="0"/>
                      <w:szCs w:val="21"/>
                    </w:rPr>
                    <w:t>。</w:t>
                  </w:r>
                </w:p>
              </w:tc>
              <w:tc>
                <w:tcPr>
                  <w:tcW w:w="570" w:type="pct"/>
                  <w:vAlign w:val="center"/>
                </w:tcPr>
                <w:p>
                  <w:pPr>
                    <w:autoSpaceDE w:val="0"/>
                    <w:autoSpaceDN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符合</w:t>
                  </w:r>
                </w:p>
              </w:tc>
            </w:tr>
          </w:tbl>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3、与榆林市“多规合一”符合性分析</w:t>
            </w:r>
          </w:p>
          <w:p>
            <w:pPr>
              <w:widowControl w:val="0"/>
              <w:spacing w:line="360" w:lineRule="auto"/>
              <w:ind w:firstLine="470" w:firstLineChars="196"/>
              <w:jc w:val="both"/>
              <w:rPr>
                <w:rFonts w:ascii="Times New Roman" w:hAnsi="Times New Roman"/>
                <w:color w:val="auto"/>
                <w:sz w:val="24"/>
                <w:szCs w:val="24"/>
              </w:rPr>
            </w:pPr>
            <w:r>
              <w:rPr>
                <w:rFonts w:ascii="Times New Roman" w:hAnsi="Times New Roman"/>
                <w:color w:val="auto"/>
                <w:sz w:val="24"/>
                <w:szCs w:val="24"/>
              </w:rPr>
              <w:t>根据榆林市人民政府办公室榆政发〔201</w:t>
            </w:r>
            <w:r>
              <w:rPr>
                <w:rFonts w:hint="eastAsia" w:ascii="Times New Roman" w:hAnsi="Times New Roman"/>
                <w:color w:val="auto"/>
                <w:sz w:val="24"/>
                <w:szCs w:val="24"/>
              </w:rPr>
              <w:t>6</w:t>
            </w:r>
            <w:r>
              <w:rPr>
                <w:rFonts w:ascii="Times New Roman" w:hAnsi="Times New Roman"/>
                <w:color w:val="auto"/>
                <w:sz w:val="24"/>
                <w:szCs w:val="24"/>
              </w:rPr>
              <w:t>〕</w:t>
            </w:r>
            <w:r>
              <w:rPr>
                <w:rFonts w:hint="eastAsia" w:ascii="Times New Roman" w:hAnsi="Times New Roman"/>
                <w:color w:val="auto"/>
                <w:sz w:val="24"/>
                <w:szCs w:val="24"/>
              </w:rPr>
              <w:t>40</w:t>
            </w:r>
            <w:r>
              <w:rPr>
                <w:rFonts w:ascii="Times New Roman" w:hAnsi="Times New Roman"/>
                <w:color w:val="auto"/>
                <w:sz w:val="24"/>
                <w:szCs w:val="24"/>
              </w:rPr>
              <w:t>号关于印发《榆林市</w:t>
            </w:r>
            <w:r>
              <w:rPr>
                <w:rFonts w:hint="eastAsia" w:ascii="Times New Roman" w:hAnsi="Times New Roman"/>
                <w:color w:val="auto"/>
                <w:sz w:val="24"/>
                <w:szCs w:val="24"/>
              </w:rPr>
              <w:t>“</w:t>
            </w:r>
            <w:r>
              <w:rPr>
                <w:rFonts w:ascii="Times New Roman" w:hAnsi="Times New Roman"/>
                <w:color w:val="auto"/>
                <w:sz w:val="24"/>
                <w:szCs w:val="24"/>
              </w:rPr>
              <w:t>多规合一</w:t>
            </w:r>
            <w:r>
              <w:rPr>
                <w:rFonts w:hint="eastAsia" w:ascii="Times New Roman" w:hAnsi="Times New Roman"/>
                <w:color w:val="auto"/>
                <w:sz w:val="24"/>
                <w:szCs w:val="24"/>
              </w:rPr>
              <w:t>”</w:t>
            </w:r>
            <w:r>
              <w:rPr>
                <w:rFonts w:ascii="Times New Roman" w:hAnsi="Times New Roman"/>
                <w:color w:val="auto"/>
                <w:sz w:val="24"/>
                <w:szCs w:val="24"/>
              </w:rPr>
              <w:t>工作管理办法的通知》中相关规定，本项目位于陕西省榆林市靖边能源化工综合利用产业园，用地位于现有厂区内，</w:t>
            </w:r>
            <w:r>
              <w:rPr>
                <w:rFonts w:ascii="Times New Roman" w:hAnsi="Times New Roman"/>
                <w:color w:val="auto"/>
                <w:sz w:val="24"/>
                <w:szCs w:val="24"/>
                <w:highlight w:val="none"/>
              </w:rPr>
              <w:t>用地性质为工业用地，</w:t>
            </w:r>
            <w:r>
              <w:rPr>
                <w:rFonts w:ascii="Times New Roman" w:hAnsi="Times New Roman"/>
                <w:color w:val="auto"/>
                <w:sz w:val="24"/>
                <w:szCs w:val="24"/>
              </w:rPr>
              <w:t>项目不新增用地。项目</w:t>
            </w:r>
            <w:r>
              <w:rPr>
                <w:rFonts w:hint="eastAsia" w:ascii="Times New Roman" w:hAnsi="Times New Roman"/>
                <w:color w:val="auto"/>
                <w:sz w:val="24"/>
                <w:szCs w:val="24"/>
              </w:rPr>
              <w:t>选址不涉及</w:t>
            </w:r>
            <w:r>
              <w:rPr>
                <w:rFonts w:ascii="Times New Roman" w:hAnsi="Times New Roman"/>
                <w:color w:val="auto"/>
                <w:sz w:val="24"/>
                <w:szCs w:val="24"/>
              </w:rPr>
              <w:t>榆林市生态保护红线、环境质量底线、资源利用上线，不在环境准入负面清单中，符合榆林市</w:t>
            </w:r>
            <w:r>
              <w:rPr>
                <w:rFonts w:hint="eastAsia" w:ascii="Times New Roman" w:hAnsi="Times New Roman"/>
                <w:color w:val="auto"/>
                <w:sz w:val="24"/>
                <w:szCs w:val="24"/>
              </w:rPr>
              <w:t>“</w:t>
            </w:r>
            <w:r>
              <w:rPr>
                <w:rFonts w:ascii="Times New Roman" w:hAnsi="Times New Roman"/>
                <w:color w:val="auto"/>
                <w:sz w:val="24"/>
                <w:szCs w:val="24"/>
              </w:rPr>
              <w:t>多规合一</w:t>
            </w:r>
            <w:r>
              <w:rPr>
                <w:rFonts w:hint="eastAsia" w:ascii="Times New Roman" w:hAnsi="Times New Roman"/>
                <w:color w:val="auto"/>
                <w:sz w:val="24"/>
                <w:szCs w:val="24"/>
              </w:rPr>
              <w:t>”</w:t>
            </w:r>
            <w:r>
              <w:rPr>
                <w:rFonts w:ascii="Times New Roman" w:hAnsi="Times New Roman"/>
                <w:color w:val="auto"/>
                <w:sz w:val="24"/>
                <w:szCs w:val="24"/>
              </w:rPr>
              <w:t>工作管理要求。</w:t>
            </w:r>
          </w:p>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4、“三线一单”符合性分析</w:t>
            </w:r>
          </w:p>
          <w:p>
            <w:pPr>
              <w:widowControl w:val="0"/>
              <w:spacing w:line="360" w:lineRule="auto"/>
              <w:ind w:firstLine="470" w:firstLineChars="196"/>
              <w:jc w:val="both"/>
              <w:rPr>
                <w:rFonts w:ascii="Times New Roman" w:hAnsi="Times New Roman"/>
                <w:color w:val="auto"/>
                <w:sz w:val="24"/>
                <w:szCs w:val="24"/>
              </w:rPr>
            </w:pPr>
            <w:r>
              <w:rPr>
                <w:rFonts w:hint="eastAsia" w:ascii="Times New Roman" w:hAnsi="Times New Roman"/>
                <w:color w:val="auto"/>
                <w:sz w:val="24"/>
                <w:szCs w:val="24"/>
              </w:rPr>
              <w:t>本项目与《榆林市“三线一单”生态环境分区管控方案》</w:t>
            </w:r>
            <w:r>
              <w:rPr>
                <w:rFonts w:ascii="Times New Roman" w:hAnsi="Times New Roman"/>
                <w:color w:val="auto"/>
                <w:sz w:val="24"/>
                <w:szCs w:val="24"/>
              </w:rPr>
              <w:t>（榆政发〔2021〕17号）</w:t>
            </w:r>
            <w:r>
              <w:rPr>
                <w:rFonts w:hint="eastAsia" w:ascii="Times New Roman" w:hAnsi="Times New Roman"/>
                <w:color w:val="auto"/>
                <w:sz w:val="24"/>
                <w:szCs w:val="24"/>
              </w:rPr>
              <w:t>的符合性分析见表5，项目在</w:t>
            </w:r>
            <w:r>
              <w:rPr>
                <w:rFonts w:ascii="Times New Roman" w:hAnsi="Times New Roman"/>
                <w:color w:val="auto"/>
                <w:sz w:val="24"/>
                <w:szCs w:val="24"/>
              </w:rPr>
              <w:t>榆林市生态环境管控单元分布示意图</w:t>
            </w:r>
            <w:r>
              <w:rPr>
                <w:rFonts w:hint="eastAsia" w:ascii="Times New Roman" w:hAnsi="Times New Roman"/>
                <w:color w:val="auto"/>
                <w:sz w:val="24"/>
                <w:szCs w:val="24"/>
              </w:rPr>
              <w:t>中位置关系附图6，从图中可知，</w:t>
            </w:r>
            <w:r>
              <w:rPr>
                <w:rFonts w:ascii="Times New Roman" w:hAnsi="Times New Roman"/>
                <w:color w:val="auto"/>
                <w:sz w:val="24"/>
                <w:szCs w:val="24"/>
              </w:rPr>
              <w:t>本技改项目位于重点管控单元</w:t>
            </w:r>
            <w:r>
              <w:rPr>
                <w:rFonts w:hint="eastAsia" w:ascii="Times New Roman" w:hAnsi="Times New Roman"/>
                <w:color w:val="auto"/>
                <w:sz w:val="24"/>
                <w:szCs w:val="24"/>
              </w:rPr>
              <w:t>。</w:t>
            </w:r>
          </w:p>
          <w:p>
            <w:pPr>
              <w:widowControl w:val="0"/>
              <w:numPr>
                <w:ilvl w:val="0"/>
                <w:numId w:val="13"/>
              </w:numPr>
              <w:jc w:val="center"/>
              <w:rPr>
                <w:rFonts w:ascii="Times New Roman" w:hAnsi="Times New Roman"/>
                <w:b/>
                <w:color w:val="auto"/>
                <w:sz w:val="24"/>
                <w:szCs w:val="24"/>
              </w:rPr>
            </w:pPr>
            <w:r>
              <w:rPr>
                <w:rFonts w:hint="eastAsia" w:ascii="Times New Roman" w:hAnsi="Times New Roman"/>
                <w:b/>
                <w:color w:val="auto"/>
                <w:sz w:val="24"/>
                <w:szCs w:val="24"/>
              </w:rPr>
              <w:t>项目与《榆林市“三线一单”生态环境分区管控方案》的符合性分析</w:t>
            </w:r>
          </w:p>
          <w:tbl>
            <w:tblPr>
              <w:tblStyle w:val="9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3"/>
              <w:gridCol w:w="2881"/>
              <w:gridCol w:w="2829"/>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45" w:type="pct"/>
                  <w:vAlign w:val="center"/>
                </w:tcPr>
                <w:p>
                  <w:pPr>
                    <w:adjustRightInd w:val="0"/>
                    <w:snapToGrid w:val="0"/>
                    <w:spacing w:line="240" w:lineRule="exact"/>
                    <w:jc w:val="center"/>
                    <w:rPr>
                      <w:rFonts w:ascii="Times New Roman" w:hAnsi="Times New Roman"/>
                      <w:color w:val="auto"/>
                    </w:rPr>
                  </w:pPr>
                  <w:r>
                    <w:rPr>
                      <w:rFonts w:ascii="Times New Roman" w:hAnsi="Times New Roman"/>
                      <w:color w:val="auto"/>
                    </w:rPr>
                    <w:t>文件名称</w:t>
                  </w:r>
                </w:p>
              </w:tc>
              <w:tc>
                <w:tcPr>
                  <w:tcW w:w="1823" w:type="pct"/>
                  <w:vAlign w:val="center"/>
                </w:tcPr>
                <w:p>
                  <w:pPr>
                    <w:adjustRightInd w:val="0"/>
                    <w:snapToGrid w:val="0"/>
                    <w:spacing w:line="240" w:lineRule="exact"/>
                    <w:jc w:val="center"/>
                    <w:rPr>
                      <w:rFonts w:ascii="Times New Roman" w:hAnsi="Times New Roman"/>
                      <w:color w:val="auto"/>
                    </w:rPr>
                  </w:pPr>
                  <w:r>
                    <w:rPr>
                      <w:rFonts w:ascii="Times New Roman" w:hAnsi="Times New Roman"/>
                      <w:color w:val="auto"/>
                    </w:rPr>
                    <w:t>相关要求</w:t>
                  </w:r>
                </w:p>
              </w:tc>
              <w:tc>
                <w:tcPr>
                  <w:tcW w:w="1790" w:type="pct"/>
                  <w:vAlign w:val="center"/>
                </w:tcPr>
                <w:p>
                  <w:pPr>
                    <w:adjustRightInd w:val="0"/>
                    <w:snapToGrid w:val="0"/>
                    <w:spacing w:line="240" w:lineRule="exact"/>
                    <w:jc w:val="center"/>
                    <w:rPr>
                      <w:rFonts w:ascii="Times New Roman" w:hAnsi="Times New Roman"/>
                      <w:color w:val="auto"/>
                    </w:rPr>
                  </w:pPr>
                  <w:r>
                    <w:rPr>
                      <w:rFonts w:ascii="Times New Roman" w:hAnsi="Times New Roman"/>
                      <w:color w:val="auto"/>
                    </w:rPr>
                    <w:t>本项目情况</w:t>
                  </w:r>
                </w:p>
              </w:tc>
              <w:tc>
                <w:tcPr>
                  <w:tcW w:w="439" w:type="pct"/>
                  <w:vAlign w:val="center"/>
                </w:tcPr>
                <w:p>
                  <w:pPr>
                    <w:adjustRightInd w:val="0"/>
                    <w:snapToGrid w:val="0"/>
                    <w:spacing w:line="240" w:lineRule="exact"/>
                    <w:jc w:val="center"/>
                    <w:rPr>
                      <w:rFonts w:ascii="Times New Roman" w:hAnsi="Times New Roman"/>
                      <w:color w:val="auto"/>
                    </w:rPr>
                  </w:pPr>
                  <w:r>
                    <w:rPr>
                      <w:rFonts w:ascii="Times New Roman" w:hAnsi="Times New Roman"/>
                      <w:color w:val="auto"/>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1" w:hRule="atLeast"/>
                <w:jc w:val="center"/>
              </w:trPr>
              <w:tc>
                <w:tcPr>
                  <w:tcW w:w="945" w:type="pct"/>
                  <w:vAlign w:val="center"/>
                </w:tcPr>
                <w:p>
                  <w:pPr>
                    <w:adjustRightInd w:val="0"/>
                    <w:snapToGrid w:val="0"/>
                    <w:spacing w:line="240" w:lineRule="exact"/>
                    <w:jc w:val="center"/>
                    <w:rPr>
                      <w:rFonts w:ascii="Times New Roman" w:hAnsi="Times New Roman"/>
                      <w:color w:val="auto"/>
                    </w:rPr>
                  </w:pPr>
                  <w:r>
                    <w:rPr>
                      <w:rFonts w:ascii="Times New Roman" w:hAnsi="Times New Roman"/>
                      <w:color w:val="auto"/>
                    </w:rPr>
                    <w:t>榆林市“三线一单”生态环境分区管控方案的通知（榆政发〔2021〕17号）</w:t>
                  </w:r>
                </w:p>
              </w:tc>
              <w:tc>
                <w:tcPr>
                  <w:tcW w:w="1823" w:type="pct"/>
                  <w:vAlign w:val="center"/>
                </w:tcPr>
                <w:p>
                  <w:pPr>
                    <w:pStyle w:val="627"/>
                    <w:spacing w:line="240" w:lineRule="exact"/>
                    <w:jc w:val="center"/>
                    <w:rPr>
                      <w:rFonts w:ascii="Times New Roman"/>
                      <w:color w:val="auto"/>
                      <w:szCs w:val="21"/>
                      <w:lang w:val="zh-CN"/>
                    </w:rPr>
                  </w:pPr>
                  <w:r>
                    <w:rPr>
                      <w:rFonts w:ascii="Times New Roman"/>
                      <w:color w:val="auto"/>
                      <w:szCs w:val="21"/>
                      <w:lang w:val="zh-CN"/>
                    </w:rPr>
                    <w:t>重点管控单元：应优化空间布局，加强污染物排放控制和环境风险防控，提升资源利用效率，解决突出生态环境问题</w:t>
                  </w:r>
                </w:p>
              </w:tc>
              <w:tc>
                <w:tcPr>
                  <w:tcW w:w="1790" w:type="pct"/>
                  <w:vAlign w:val="center"/>
                </w:tcPr>
                <w:p>
                  <w:pPr>
                    <w:pStyle w:val="627"/>
                    <w:spacing w:line="240" w:lineRule="exact"/>
                    <w:jc w:val="center"/>
                    <w:rPr>
                      <w:rFonts w:ascii="Times New Roman"/>
                      <w:color w:val="auto"/>
                      <w:szCs w:val="21"/>
                      <w:lang w:val="zh-CN"/>
                    </w:rPr>
                  </w:pPr>
                  <w:r>
                    <w:rPr>
                      <w:rFonts w:ascii="Times New Roman"/>
                      <w:color w:val="auto"/>
                      <w:szCs w:val="21"/>
                      <w:lang w:val="zh-CN"/>
                    </w:rPr>
                    <w:t>本项目属</w:t>
                  </w:r>
                  <w:r>
                    <w:rPr>
                      <w:rFonts w:hint="eastAsia" w:ascii="Times New Roman"/>
                      <w:color w:val="auto"/>
                      <w:szCs w:val="21"/>
                      <w:lang w:val="zh-CN"/>
                    </w:rPr>
                    <w:t>技改</w:t>
                  </w:r>
                  <w:r>
                    <w:rPr>
                      <w:rFonts w:ascii="Times New Roman"/>
                      <w:color w:val="auto"/>
                      <w:szCs w:val="21"/>
                      <w:lang w:val="zh-CN"/>
                    </w:rPr>
                    <w:t>项目，建设完成后采取废气、废水、噪声、固废、风险防范等有效措施，并及时进行生态恢复，对周围环境影响较小，并可有效防控环境风险。</w:t>
                  </w:r>
                </w:p>
              </w:tc>
              <w:tc>
                <w:tcPr>
                  <w:tcW w:w="439" w:type="pct"/>
                  <w:vAlign w:val="center"/>
                </w:tcPr>
                <w:p>
                  <w:pPr>
                    <w:spacing w:line="240" w:lineRule="exact"/>
                    <w:jc w:val="center"/>
                    <w:rPr>
                      <w:rFonts w:ascii="Times New Roman" w:hAnsi="Times New Roman"/>
                      <w:color w:val="auto"/>
                    </w:rPr>
                  </w:pPr>
                  <w:r>
                    <w:rPr>
                      <w:rFonts w:ascii="Times New Roman" w:hAnsi="Times New Roman"/>
                      <w:color w:val="auto"/>
                    </w:rPr>
                    <w:t>符合</w:t>
                  </w:r>
                </w:p>
              </w:tc>
            </w:tr>
          </w:tbl>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5、选址可行性分析</w:t>
            </w:r>
          </w:p>
          <w:p>
            <w:pPr>
              <w:widowControl w:val="0"/>
              <w:spacing w:line="360" w:lineRule="auto"/>
              <w:ind w:firstLine="470" w:firstLineChars="196"/>
              <w:jc w:val="both"/>
              <w:rPr>
                <w:rFonts w:ascii="Times New Roman" w:hAnsi="Times New Roman"/>
                <w:color w:val="auto"/>
                <w:sz w:val="24"/>
                <w:szCs w:val="24"/>
              </w:rPr>
            </w:pPr>
            <w:r>
              <w:rPr>
                <w:rFonts w:ascii="Times New Roman" w:hAnsi="Times New Roman"/>
                <w:color w:val="auto"/>
                <w:sz w:val="24"/>
                <w:szCs w:val="24"/>
              </w:rPr>
              <w:t>本技改项目位于</w:t>
            </w:r>
            <w:r>
              <w:rPr>
                <w:rFonts w:hint="eastAsia" w:ascii="Times New Roman" w:hAnsi="Times New Roman"/>
                <w:color w:val="auto"/>
                <w:sz w:val="24"/>
                <w:szCs w:val="24"/>
              </w:rPr>
              <w:t>陕西省榆林市靖边</w:t>
            </w:r>
            <w:r>
              <w:rPr>
                <w:rFonts w:hint="eastAsia" w:ascii="Times New Roman" w:hAnsi="Times New Roman"/>
                <w:color w:val="auto"/>
                <w:sz w:val="24"/>
                <w:szCs w:val="24"/>
                <w:lang w:eastAsia="zh-CN"/>
              </w:rPr>
              <w:t>县杨桥畔镇</w:t>
            </w:r>
            <w:r>
              <w:rPr>
                <w:rFonts w:hint="eastAsia" w:ascii="Times New Roman" w:hAnsi="Times New Roman"/>
                <w:color w:val="auto"/>
                <w:sz w:val="24"/>
                <w:szCs w:val="24"/>
              </w:rPr>
              <w:t>能源化工综合利用产业园</w:t>
            </w:r>
            <w:r>
              <w:rPr>
                <w:rFonts w:hint="eastAsia" w:ascii="Times New Roman" w:hAnsi="Times New Roman"/>
                <w:color w:val="auto"/>
                <w:sz w:val="24"/>
                <w:szCs w:val="24"/>
                <w:lang w:eastAsia="zh-CN"/>
              </w:rPr>
              <w:t>区迎宾大道陕西靖边星源实业有限公司场地内</w:t>
            </w:r>
            <w:r>
              <w:rPr>
                <w:rFonts w:hint="eastAsia" w:ascii="Times New Roman" w:hAnsi="Times New Roman"/>
                <w:color w:val="auto"/>
                <w:sz w:val="24"/>
                <w:szCs w:val="24"/>
              </w:rPr>
              <w:t>，</w:t>
            </w:r>
            <w:r>
              <w:rPr>
                <w:rFonts w:hint="eastAsia" w:ascii="Times New Roman" w:hAnsi="Times New Roman"/>
                <w:color w:val="auto"/>
                <w:sz w:val="24"/>
                <w:szCs w:val="24"/>
                <w:lang w:eastAsia="zh-CN"/>
              </w:rPr>
              <w:t>该公司所在化工园区已经过陕西省工业和信息化厅认定。2022年9月29日，陕西省工业和信息化厅发文（《陕西省工业和信息化厅关于公布陕西省认定化工园区名单（第一批）的通知》（陕工信发〔2022〕304号））公示了陕西省认定化工园区名单（第一批），名单中包含靖边经济技术开发区能源化工园。项目</w:t>
            </w:r>
            <w:r>
              <w:rPr>
                <w:rFonts w:ascii="Times New Roman" w:hAnsi="Times New Roman"/>
                <w:color w:val="auto"/>
                <w:sz w:val="24"/>
                <w:szCs w:val="24"/>
              </w:rPr>
              <w:t>不新增用地，</w:t>
            </w:r>
            <w:r>
              <w:rPr>
                <w:rFonts w:ascii="Times New Roman" w:hAnsi="Times New Roman"/>
                <w:color w:val="auto"/>
                <w:sz w:val="24"/>
                <w:szCs w:val="24"/>
                <w:highlight w:val="none"/>
              </w:rPr>
              <w:t>用地性质为工业用地，</w:t>
            </w:r>
            <w:r>
              <w:rPr>
                <w:rFonts w:ascii="Times New Roman" w:hAnsi="Times New Roman"/>
                <w:color w:val="auto"/>
                <w:sz w:val="24"/>
                <w:szCs w:val="24"/>
              </w:rPr>
              <w:t>周边</w:t>
            </w:r>
            <w:r>
              <w:rPr>
                <w:rFonts w:hint="eastAsia" w:ascii="Times New Roman" w:hAnsi="Times New Roman"/>
                <w:color w:val="auto"/>
                <w:sz w:val="24"/>
                <w:szCs w:val="24"/>
              </w:rPr>
              <w:t>500m</w:t>
            </w:r>
            <w:r>
              <w:rPr>
                <w:rFonts w:ascii="Times New Roman" w:hAnsi="Times New Roman"/>
                <w:color w:val="auto"/>
                <w:sz w:val="24"/>
                <w:szCs w:val="24"/>
              </w:rPr>
              <w:t>无敏感目标分布，无自然保护区、风景名胜区、饮用水水源保护区、居民区等需要特殊保护的区域。</w:t>
            </w:r>
            <w:r>
              <w:rPr>
                <w:rFonts w:ascii="Times New Roman" w:hAnsi="Times New Roman"/>
                <w:color w:val="auto"/>
                <w:sz w:val="24"/>
                <w:szCs w:val="24"/>
                <w:highlight w:val="none"/>
              </w:rPr>
              <w:t>项目供水、排水（雨水、污水）、供电、供暖、道路、通讯、办公生活等配套设施均依托现有工程，</w:t>
            </w:r>
            <w:r>
              <w:rPr>
                <w:rFonts w:hint="eastAsia" w:ascii="Times New Roman" w:hAnsi="Times New Roman"/>
                <w:color w:val="auto"/>
                <w:sz w:val="24"/>
                <w:szCs w:val="24"/>
                <w:highlight w:val="none"/>
                <w:lang w:eastAsia="zh-CN"/>
              </w:rPr>
              <w:t>现有工程配套基础设施</w:t>
            </w:r>
            <w:r>
              <w:rPr>
                <w:rFonts w:hint="eastAsia" w:ascii="Times New Roman" w:hAnsi="Times New Roman"/>
                <w:color w:val="auto"/>
                <w:sz w:val="24"/>
                <w:szCs w:val="24"/>
                <w:highlight w:val="none"/>
              </w:rPr>
              <w:t>均已建成并运行良好</w:t>
            </w:r>
            <w:r>
              <w:rPr>
                <w:rFonts w:hint="eastAsia" w:ascii="Times New Roman" w:hAnsi="Times New Roman"/>
                <w:color w:val="auto"/>
                <w:sz w:val="24"/>
                <w:szCs w:val="24"/>
                <w:highlight w:val="none"/>
                <w:lang w:eastAsia="zh-CN"/>
              </w:rPr>
              <w:t>。本</w:t>
            </w:r>
            <w:r>
              <w:rPr>
                <w:rFonts w:ascii="Times New Roman" w:hAnsi="Times New Roman"/>
                <w:color w:val="auto"/>
                <w:sz w:val="24"/>
                <w:szCs w:val="24"/>
                <w:highlight w:val="none"/>
              </w:rPr>
              <w:t>项目原料气</w:t>
            </w:r>
            <w:r>
              <w:rPr>
                <w:rFonts w:hint="eastAsia" w:ascii="Times New Roman" w:hAnsi="Times New Roman"/>
                <w:color w:val="auto"/>
                <w:sz w:val="24"/>
                <w:szCs w:val="24"/>
                <w:highlight w:val="none"/>
              </w:rPr>
              <w:t>BOG</w:t>
            </w:r>
            <w:r>
              <w:rPr>
                <w:rFonts w:hint="eastAsia" w:ascii="Times New Roman" w:hAnsi="Times New Roman"/>
                <w:color w:val="auto"/>
                <w:sz w:val="24"/>
                <w:szCs w:val="24"/>
                <w:highlight w:val="none"/>
                <w:lang w:eastAsia="zh-CN"/>
              </w:rPr>
              <w:t>由</w:t>
            </w:r>
            <w:r>
              <w:rPr>
                <w:rFonts w:hint="eastAsia" w:ascii="Times New Roman" w:hAnsi="Times New Roman"/>
                <w:color w:val="auto"/>
                <w:sz w:val="24"/>
                <w:szCs w:val="24"/>
                <w:highlight w:val="none"/>
              </w:rPr>
              <w:t>厂区现有工程</w:t>
            </w:r>
            <w:r>
              <w:rPr>
                <w:rFonts w:hint="eastAsia" w:ascii="Times New Roman" w:hAnsi="Times New Roman"/>
                <w:color w:val="auto"/>
                <w:sz w:val="24"/>
                <w:szCs w:val="24"/>
                <w:highlight w:val="none"/>
                <w:lang w:eastAsia="zh-CN"/>
              </w:rPr>
              <w:t>中</w:t>
            </w:r>
            <w:r>
              <w:rPr>
                <w:rFonts w:hint="eastAsia" w:ascii="Times New Roman" w:hAnsi="Times New Roman"/>
                <w:color w:val="auto"/>
                <w:sz w:val="24"/>
                <w:szCs w:val="24"/>
              </w:rPr>
              <w:t>《</w:t>
            </w:r>
            <w:r>
              <w:rPr>
                <w:rFonts w:ascii="Times New Roman" w:hAnsi="Times New Roman"/>
                <w:color w:val="auto"/>
                <w:sz w:val="24"/>
                <w:szCs w:val="24"/>
              </w:rPr>
              <w:t>陕西靖边星源实业有限公司年生产30万吨车用液化天然气项目</w:t>
            </w:r>
            <w:r>
              <w:rPr>
                <w:rFonts w:hint="eastAsia" w:ascii="Times New Roman" w:hAnsi="Times New Roman"/>
                <w:color w:val="auto"/>
                <w:sz w:val="24"/>
                <w:szCs w:val="24"/>
              </w:rPr>
              <w:t>》</w:t>
            </w:r>
            <w:r>
              <w:rPr>
                <w:rFonts w:ascii="Times New Roman" w:hAnsi="Times New Roman"/>
                <w:color w:val="auto"/>
                <w:sz w:val="24"/>
                <w:szCs w:val="24"/>
              </w:rPr>
              <w:t>（简称二期项目）</w:t>
            </w:r>
            <w:r>
              <w:rPr>
                <w:rFonts w:hint="eastAsia" w:ascii="Times New Roman" w:hAnsi="Times New Roman"/>
                <w:color w:val="auto"/>
                <w:sz w:val="24"/>
                <w:szCs w:val="24"/>
                <w:highlight w:val="none"/>
                <w:lang w:eastAsia="zh-CN"/>
              </w:rPr>
              <w:t>提供</w:t>
            </w:r>
            <w:r>
              <w:rPr>
                <w:rFonts w:hint="eastAsia" w:ascii="Times New Roman" w:hAnsi="Times New Roman"/>
                <w:color w:val="auto"/>
                <w:sz w:val="24"/>
                <w:szCs w:val="24"/>
                <w:highlight w:val="none"/>
              </w:rPr>
              <w:t>，现有二期</w:t>
            </w:r>
            <w:r>
              <w:rPr>
                <w:rFonts w:hint="eastAsia" w:ascii="Times New Roman" w:hAnsi="Times New Roman"/>
                <w:color w:val="auto"/>
                <w:sz w:val="24"/>
                <w:szCs w:val="24"/>
                <w:highlight w:val="none"/>
                <w:lang w:eastAsia="zh-CN"/>
              </w:rPr>
              <w:t>项目</w:t>
            </w:r>
            <w:r>
              <w:rPr>
                <w:rFonts w:hint="eastAsia" w:ascii="Times New Roman" w:hAnsi="Times New Roman"/>
                <w:color w:val="auto"/>
                <w:sz w:val="24"/>
                <w:szCs w:val="24"/>
                <w:highlight w:val="none"/>
              </w:rPr>
              <w:t>投</w:t>
            </w:r>
            <w:r>
              <w:rPr>
                <w:rFonts w:hint="eastAsia" w:ascii="Times New Roman" w:hAnsi="Times New Roman"/>
                <w:color w:val="auto"/>
                <w:sz w:val="24"/>
                <w:szCs w:val="24"/>
                <w:highlight w:val="none"/>
                <w:lang w:eastAsia="zh-CN"/>
              </w:rPr>
              <w:t>产</w:t>
            </w:r>
            <w:r>
              <w:rPr>
                <w:rFonts w:hint="eastAsia" w:ascii="Times New Roman" w:hAnsi="Times New Roman"/>
                <w:color w:val="auto"/>
                <w:sz w:val="24"/>
                <w:szCs w:val="24"/>
                <w:highlight w:val="none"/>
              </w:rPr>
              <w:t>运行后可产生BOG约3</w:t>
            </w:r>
            <w:r>
              <w:rPr>
                <w:rFonts w:hint="eastAsia" w:ascii="Times New Roman" w:hAnsi="Times New Roman"/>
                <w:color w:val="auto"/>
                <w:sz w:val="24"/>
                <w:szCs w:val="24"/>
                <w:highlight w:val="none"/>
                <w:lang w:val="en-US" w:eastAsia="zh-CN"/>
              </w:rPr>
              <w:t>0</w:t>
            </w:r>
            <w:r>
              <w:rPr>
                <w:rFonts w:hint="eastAsia" w:ascii="Times New Roman" w:hAnsi="Times New Roman"/>
                <w:color w:val="auto"/>
                <w:sz w:val="24"/>
                <w:szCs w:val="24"/>
                <w:highlight w:val="none"/>
              </w:rPr>
              <w:t>00Nm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/h，一部分回用于厂区充当燃料气，一部分储存于现有工程已建成的BOG缓冲罐内，现有BOG缓冲罐容积30m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lang w:eastAsia="zh-CN"/>
              </w:rPr>
              <w:t>。考虑到设备处理能力以及资金投入需求，</w:t>
            </w:r>
            <w:r>
              <w:rPr>
                <w:rFonts w:hint="eastAsia" w:ascii="Times New Roman" w:hAnsi="Times New Roman"/>
                <w:color w:val="auto"/>
                <w:sz w:val="24"/>
                <w:szCs w:val="24"/>
                <w:highlight w:val="none"/>
              </w:rPr>
              <w:t>本项目设计BOG处理量为900Nm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/h，</w:t>
            </w:r>
            <w:r>
              <w:rPr>
                <w:rFonts w:hint="eastAsia" w:ascii="Times New Roman" w:hAnsi="Times New Roman"/>
                <w:color w:val="auto"/>
                <w:sz w:val="24"/>
                <w:szCs w:val="24"/>
              </w:rPr>
              <w:t>现有</w:t>
            </w:r>
            <w:r>
              <w:rPr>
                <w:rFonts w:hint="eastAsia" w:ascii="Times New Roman" w:hAnsi="Times New Roman"/>
                <w:color w:val="auto"/>
                <w:sz w:val="24"/>
                <w:szCs w:val="24"/>
                <w:lang w:eastAsia="zh-CN"/>
              </w:rPr>
              <w:t>二期</w:t>
            </w:r>
            <w:r>
              <w:rPr>
                <w:rFonts w:hint="eastAsia" w:ascii="Times New Roman" w:hAnsi="Times New Roman"/>
                <w:color w:val="auto"/>
                <w:sz w:val="24"/>
                <w:szCs w:val="24"/>
              </w:rPr>
              <w:t>工程产生的BOG可充分满足本项目运行，因此</w:t>
            </w:r>
            <w:r>
              <w:rPr>
                <w:rFonts w:ascii="Times New Roman" w:hAnsi="Times New Roman"/>
                <w:color w:val="auto"/>
                <w:sz w:val="24"/>
                <w:szCs w:val="24"/>
              </w:rPr>
              <w:t>本项目依托可行。</w:t>
            </w:r>
            <w:r>
              <w:rPr>
                <w:rFonts w:ascii="Times New Roman" w:hAnsi="Times New Roman"/>
                <w:color w:val="auto"/>
                <w:sz w:val="24"/>
              </w:rPr>
              <w:t>在严格落实本报告提出的环保措施后，项目的建设和运行不会对外环境产生较大影响，</w:t>
            </w:r>
            <w:r>
              <w:rPr>
                <w:rFonts w:ascii="Times New Roman" w:hAnsi="Times New Roman"/>
                <w:color w:val="auto"/>
                <w:sz w:val="24"/>
                <w:szCs w:val="24"/>
              </w:rPr>
              <w:t>运营期产生的各类污染物均能达标排放，对环境的影响可以接受</w:t>
            </w:r>
            <w:r>
              <w:rPr>
                <w:rFonts w:hint="eastAsia" w:ascii="Times New Roman" w:hAnsi="Times New Roman"/>
                <w:color w:val="auto"/>
                <w:sz w:val="24"/>
                <w:szCs w:val="24"/>
                <w:lang w:eastAsia="zh-CN"/>
              </w:rPr>
              <w:t>，</w:t>
            </w:r>
            <w:r>
              <w:rPr>
                <w:rFonts w:ascii="Times New Roman" w:hAnsi="Times New Roman"/>
                <w:color w:val="auto"/>
                <w:sz w:val="24"/>
              </w:rPr>
              <w:t>从环保角度分析，</w:t>
            </w:r>
            <w:r>
              <w:rPr>
                <w:rFonts w:hint="eastAsia" w:ascii="Times New Roman" w:hAnsi="Times New Roman"/>
                <w:color w:val="auto"/>
                <w:sz w:val="24"/>
                <w:lang w:eastAsia="zh-CN"/>
              </w:rPr>
              <w:t>项目</w:t>
            </w:r>
            <w:r>
              <w:rPr>
                <w:rFonts w:ascii="Times New Roman" w:hAnsi="Times New Roman"/>
                <w:color w:val="auto"/>
                <w:sz w:val="24"/>
              </w:rPr>
              <w:t>选址可行。</w:t>
            </w:r>
          </w:p>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6、报告编制依据</w:t>
            </w:r>
          </w:p>
          <w:p>
            <w:pPr>
              <w:widowControl w:val="0"/>
              <w:spacing w:line="360" w:lineRule="auto"/>
              <w:ind w:firstLine="480" w:firstLineChars="200"/>
              <w:jc w:val="both"/>
              <w:rPr>
                <w:rFonts w:ascii="Times New Roman" w:hAnsi="Times New Roman"/>
                <w:color w:val="auto"/>
                <w:kern w:val="0"/>
                <w:sz w:val="24"/>
                <w:szCs w:val="24"/>
              </w:rPr>
            </w:pPr>
            <w:r>
              <w:rPr>
                <w:rFonts w:ascii="Times New Roman" w:hAnsi="Times New Roman"/>
                <w:color w:val="auto"/>
                <w:sz w:val="24"/>
                <w:szCs w:val="24"/>
              </w:rPr>
              <w:t>根据</w:t>
            </w:r>
            <w:r>
              <w:rPr>
                <w:rFonts w:ascii="Times New Roman" w:hAnsi="Times New Roman"/>
                <w:color w:val="auto"/>
                <w:sz w:val="24"/>
              </w:rPr>
              <w:t>《中华人民共和国环境影响评价法》、《建设项目环境保护管理条例》、</w:t>
            </w:r>
            <w:r>
              <w:rPr>
                <w:rFonts w:ascii="Times New Roman" w:hAnsi="Times New Roman"/>
                <w:color w:val="auto"/>
                <w:sz w:val="24"/>
                <w:szCs w:val="24"/>
              </w:rPr>
              <w:t>《建设项目环境影响评价分类管理名录（2021年版）》的有关规定，本项目应进行环境影响评价。根据本项目备案文件（附件2），项目建设内容为：新增液化天然气提取氦气生产线，年生产10万立方米氦气，包括氦气分离设备、</w:t>
            </w:r>
            <w:r>
              <w:rPr>
                <w:rFonts w:hint="eastAsia" w:ascii="Times New Roman" w:hAnsi="Times New Roman"/>
                <w:color w:val="auto"/>
                <w:sz w:val="24"/>
                <w:szCs w:val="24"/>
              </w:rPr>
              <w:t>氢气氧化催化设备</w:t>
            </w:r>
            <w:r>
              <w:rPr>
                <w:rFonts w:ascii="Times New Roman" w:hAnsi="Times New Roman"/>
                <w:color w:val="auto"/>
                <w:sz w:val="24"/>
                <w:szCs w:val="24"/>
              </w:rPr>
              <w:t>、氦气低温纯化设备和氦气充装设备各一套。根据《国民经济行业分类》（GB/T4754-2017）及生态环境部2021年8月17日发布的《建设项目环境影响评价分类管理名录（2021年版）》判定，本项目属于“二十三、化学原料和化学制品制造业26-44、基础化学原料制造261（单纯物理分离、物理提纯、混合、分装的）”项目，应编制环境影响报告表。</w:t>
            </w:r>
          </w:p>
        </w:tc>
      </w:tr>
    </w:tbl>
    <w:p>
      <w:pPr>
        <w:pStyle w:val="329"/>
        <w:keepNext/>
        <w:keepLines/>
        <w:pageBreakBefore/>
        <w:numPr>
          <w:ilvl w:val="0"/>
          <w:numId w:val="12"/>
        </w:numPr>
        <w:snapToGrid w:val="0"/>
        <w:ind w:firstLineChars="0"/>
        <w:jc w:val="center"/>
        <w:outlineLvl w:val="0"/>
        <w:rPr>
          <w:rFonts w:ascii="Times New Roman" w:hAnsi="Times New Roman"/>
          <w:b/>
          <w:bCs/>
          <w:color w:val="auto"/>
          <w:sz w:val="32"/>
          <w:szCs w:val="32"/>
        </w:rPr>
      </w:pPr>
      <w:r>
        <w:rPr>
          <w:rFonts w:ascii="Times New Roman" w:hAnsi="Times New Roman"/>
          <w:b/>
          <w:bCs/>
          <w:color w:val="auto"/>
          <w:sz w:val="32"/>
          <w:szCs w:val="32"/>
        </w:rPr>
        <w:t>建设项目工程分析</w:t>
      </w:r>
    </w:p>
    <w:tbl>
      <w:tblPr>
        <w:tblStyle w:val="9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2"/>
        <w:gridCol w:w="88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11" w:type="pct"/>
            <w:vAlign w:val="center"/>
          </w:tcPr>
          <w:p>
            <w:pPr>
              <w:adjustRightInd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建设内容</w:t>
            </w:r>
          </w:p>
        </w:tc>
        <w:tc>
          <w:tcPr>
            <w:tcW w:w="4789" w:type="pct"/>
          </w:tcPr>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1、</w:t>
            </w:r>
            <w:r>
              <w:rPr>
                <w:rFonts w:ascii="Times New Roman" w:hAnsi="Times New Roman"/>
                <w:b/>
                <w:bCs/>
                <w:color w:val="auto"/>
                <w:sz w:val="24"/>
                <w:szCs w:val="24"/>
              </w:rPr>
              <w:t>项目由来</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氦气是一种重要的工业气体，也是稀缺的战略资源，在航天、国防、低温超导研究、半导体生产、核磁共振成像、特种金属冶炼及气体检漏等方面具有非常重要的用途。随着我国国防工业技术的发展和低温技术的不断进步，我国对氦气的需求量将越来越大。而长期以来，我国的工业生产和科学试验用氦气（含液氦）基本依靠国外进口，这种方式</w:t>
            </w:r>
            <w:r>
              <w:rPr>
                <w:rFonts w:hint="eastAsia" w:ascii="Times New Roman" w:hAnsi="Times New Roman"/>
                <w:color w:val="auto"/>
                <w:sz w:val="24"/>
                <w:szCs w:val="24"/>
              </w:rPr>
              <w:t>存在</w:t>
            </w:r>
            <w:r>
              <w:rPr>
                <w:rFonts w:ascii="Times New Roman" w:hAnsi="Times New Roman"/>
                <w:color w:val="auto"/>
                <w:sz w:val="24"/>
                <w:szCs w:val="24"/>
              </w:rPr>
              <w:t>价格高、供货周期长、易受制约等缺陷。一旦氦资源供应不足就会导致一些涉及液氦的科研和医疗项目无法进行，进而影响我国的国防安全和经济发展。鉴于此，寻找本土氦资源迫在眉睫</w:t>
            </w:r>
            <w:r>
              <w:rPr>
                <w:rFonts w:hint="eastAsia" w:ascii="Times New Roman" w:hAnsi="Times New Roman"/>
                <w:color w:val="auto"/>
                <w:sz w:val="24"/>
                <w:szCs w:val="24"/>
              </w:rPr>
              <w:t>，</w:t>
            </w:r>
            <w:r>
              <w:rPr>
                <w:rFonts w:ascii="Times New Roman" w:hAnsi="Times New Roman"/>
                <w:color w:val="auto"/>
                <w:sz w:val="24"/>
                <w:szCs w:val="24"/>
              </w:rPr>
              <w:t>天然气提氦工艺不仅能解决氦资源供应问题，还能解决</w:t>
            </w:r>
            <w:r>
              <w:rPr>
                <w:rFonts w:hint="eastAsia" w:ascii="Times New Roman" w:hAnsi="Times New Roman"/>
                <w:color w:val="auto"/>
                <w:sz w:val="24"/>
                <w:szCs w:val="24"/>
              </w:rPr>
              <w:t>BOG再利用问题</w:t>
            </w:r>
            <w:r>
              <w:rPr>
                <w:rFonts w:ascii="Times New Roman" w:hAnsi="Times New Roman"/>
                <w:color w:val="auto"/>
                <w:sz w:val="24"/>
                <w:szCs w:val="24"/>
              </w:rPr>
              <w:t>。</w:t>
            </w:r>
          </w:p>
          <w:p>
            <w:pPr>
              <w:widowControl w:val="0"/>
              <w:spacing w:line="360" w:lineRule="auto"/>
              <w:ind w:firstLine="480" w:firstLineChars="200"/>
              <w:jc w:val="both"/>
              <w:rPr>
                <w:rFonts w:hint="eastAsia" w:ascii="Times New Roman" w:hAnsi="Times New Roman"/>
                <w:color w:val="auto"/>
                <w:sz w:val="24"/>
                <w:szCs w:val="24"/>
                <w:lang w:eastAsia="zh-CN"/>
              </w:rPr>
            </w:pPr>
            <w:r>
              <w:rPr>
                <w:rFonts w:ascii="Times New Roman" w:hAnsi="Times New Roman"/>
                <w:color w:val="auto"/>
                <w:sz w:val="24"/>
                <w:szCs w:val="24"/>
              </w:rPr>
              <w:t>陕西靖边星源实业有限公司</w:t>
            </w:r>
            <w:r>
              <w:rPr>
                <w:rFonts w:hint="eastAsia" w:ascii="Times New Roman" w:hAnsi="Times New Roman"/>
                <w:color w:val="auto"/>
                <w:sz w:val="24"/>
                <w:szCs w:val="24"/>
                <w:lang w:eastAsia="zh-CN"/>
              </w:rPr>
              <w:t>在厂区内前后完成了</w:t>
            </w:r>
            <w:r>
              <w:rPr>
                <w:rFonts w:ascii="Times New Roman" w:hAnsi="Times New Roman"/>
                <w:color w:val="auto"/>
                <w:sz w:val="24"/>
                <w:szCs w:val="24"/>
              </w:rPr>
              <w:t>《陕西靖边星源实业有限公司天然气城市调峰及综合利用项目》（以下简称一期项目）</w:t>
            </w:r>
            <w:r>
              <w:rPr>
                <w:rFonts w:hint="eastAsia" w:ascii="Times New Roman" w:hAnsi="Times New Roman"/>
                <w:color w:val="auto"/>
                <w:sz w:val="24"/>
                <w:szCs w:val="24"/>
                <w:lang w:eastAsia="zh-CN"/>
              </w:rPr>
              <w:t>、</w:t>
            </w:r>
            <w:r>
              <w:rPr>
                <w:rFonts w:hint="eastAsia" w:ascii="Times New Roman" w:hAnsi="Times New Roman"/>
                <w:color w:val="auto"/>
                <w:sz w:val="24"/>
                <w:szCs w:val="24"/>
              </w:rPr>
              <w:t>《</w:t>
            </w:r>
            <w:r>
              <w:rPr>
                <w:rFonts w:ascii="Times New Roman" w:hAnsi="Times New Roman"/>
                <w:color w:val="auto"/>
                <w:sz w:val="24"/>
                <w:szCs w:val="24"/>
              </w:rPr>
              <w:t>陕西靖边星源实业有限公司年生产30万吨车用液化天然气项目</w:t>
            </w:r>
            <w:r>
              <w:rPr>
                <w:rFonts w:hint="eastAsia" w:ascii="Times New Roman" w:hAnsi="Times New Roman"/>
                <w:color w:val="auto"/>
                <w:sz w:val="24"/>
                <w:szCs w:val="24"/>
              </w:rPr>
              <w:t>》</w:t>
            </w:r>
            <w:r>
              <w:rPr>
                <w:rFonts w:ascii="Times New Roman" w:hAnsi="Times New Roman"/>
                <w:color w:val="auto"/>
                <w:sz w:val="24"/>
                <w:szCs w:val="24"/>
              </w:rPr>
              <w:t>（以下简称二期项目）</w:t>
            </w:r>
            <w:r>
              <w:rPr>
                <w:rFonts w:hint="eastAsia" w:ascii="Times New Roman" w:hAnsi="Times New Roman"/>
                <w:color w:val="auto"/>
                <w:sz w:val="24"/>
                <w:szCs w:val="24"/>
                <w:lang w:eastAsia="zh-CN"/>
              </w:rPr>
              <w:t>两期项目的建设，一期项目除建设完成液化天然气生产装置区外，还建设有厂区生活办公区及供排水、供电、供暖、消防、环保等基础设施，并已完成验收工作步入投产运行阶段。二期项目建设完成车用液化天然气生产装置，此外在一期项目的建设基础上根据二期项目的情况新建了相应的基础设施（包括软水站、生产废水处理设施等）。目前，一二期项目排污许可证办理工作已经上会通过并提交排污许可办，正在等待排污许可证发放，因此，二期项目建成后还未进行项目验收。</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基于氦气资源的重要性和稀缺性以及陕西靖边星源实业有限公司厂区内现有</w:t>
            </w:r>
            <w:r>
              <w:rPr>
                <w:rFonts w:hint="eastAsia" w:ascii="Times New Roman" w:hAnsi="Times New Roman"/>
                <w:color w:val="auto"/>
                <w:sz w:val="24"/>
                <w:szCs w:val="24"/>
                <w:lang w:eastAsia="zh-CN"/>
              </w:rPr>
              <w:t>两期项目</w:t>
            </w:r>
            <w:r>
              <w:rPr>
                <w:rFonts w:ascii="Times New Roman" w:hAnsi="Times New Roman"/>
                <w:color w:val="auto"/>
                <w:sz w:val="24"/>
                <w:szCs w:val="24"/>
              </w:rPr>
              <w:t>的建设基础，陕西靖边星源实业有限公司计划</w:t>
            </w:r>
            <w:r>
              <w:rPr>
                <w:rFonts w:hint="eastAsia" w:ascii="Times New Roman" w:hAnsi="Times New Roman"/>
                <w:color w:val="auto"/>
                <w:sz w:val="24"/>
                <w:szCs w:val="24"/>
                <w:lang w:eastAsia="zh-CN"/>
              </w:rPr>
              <w:t>利用厂区现有二期项目产生的</w:t>
            </w:r>
            <w:r>
              <w:rPr>
                <w:rFonts w:hint="eastAsia" w:ascii="Times New Roman" w:hAnsi="Times New Roman"/>
                <w:color w:val="auto"/>
                <w:sz w:val="24"/>
                <w:szCs w:val="24"/>
                <w:lang w:val="en-US" w:eastAsia="zh-CN"/>
              </w:rPr>
              <w:t>BOG尾气</w:t>
            </w:r>
            <w:r>
              <w:rPr>
                <w:rFonts w:ascii="Times New Roman" w:hAnsi="Times New Roman"/>
                <w:color w:val="auto"/>
                <w:sz w:val="24"/>
                <w:szCs w:val="24"/>
              </w:rPr>
              <w:t>在</w:t>
            </w:r>
            <w:r>
              <w:rPr>
                <w:rFonts w:hint="eastAsia" w:ascii="Times New Roman" w:hAnsi="Times New Roman"/>
                <w:color w:val="auto"/>
                <w:sz w:val="24"/>
                <w:szCs w:val="24"/>
              </w:rPr>
              <w:t>现有厂区内新增一条</w:t>
            </w:r>
            <w:r>
              <w:rPr>
                <w:rFonts w:ascii="Times New Roman" w:hAnsi="Times New Roman"/>
                <w:color w:val="auto"/>
                <w:sz w:val="24"/>
                <w:szCs w:val="24"/>
              </w:rPr>
              <w:t>液化天然气提取氦气生产线，项目用地不新增，拟占用现有厂区二期项目南侧预留空地</w:t>
            </w:r>
            <w:r>
              <w:rPr>
                <w:rFonts w:ascii="Times New Roman" w:hAnsi="Times New Roman"/>
                <w:snapToGrid w:val="0"/>
                <w:color w:val="auto"/>
                <w:sz w:val="24"/>
              </w:rPr>
              <w:t>6267m</w:t>
            </w:r>
            <w:r>
              <w:rPr>
                <w:rFonts w:ascii="Times New Roman" w:hAnsi="Times New Roman"/>
                <w:snapToGrid w:val="0"/>
                <w:color w:val="auto"/>
                <w:sz w:val="24"/>
                <w:vertAlign w:val="superscript"/>
              </w:rPr>
              <w:t>2</w:t>
            </w:r>
            <w:r>
              <w:rPr>
                <w:rFonts w:ascii="Times New Roman" w:hAnsi="Times New Roman"/>
                <w:color w:val="auto"/>
                <w:sz w:val="24"/>
                <w:szCs w:val="24"/>
              </w:rPr>
              <w:t>。项目以厂区现有LNG储罐产生的闪蒸气（即BOG尾气）为原料提取高纯氦气，产品为纯度达99.999%的氦气，</w:t>
            </w:r>
            <w:r>
              <w:rPr>
                <w:rFonts w:hint="eastAsia" w:ascii="Times New Roman" w:hAnsi="Times New Roman"/>
                <w:color w:val="auto"/>
                <w:sz w:val="24"/>
                <w:szCs w:val="24"/>
              </w:rPr>
              <w:t>建成后可达到</w:t>
            </w:r>
            <w:r>
              <w:rPr>
                <w:rFonts w:ascii="Times New Roman" w:hAnsi="Times New Roman"/>
                <w:color w:val="auto"/>
                <w:sz w:val="24"/>
                <w:szCs w:val="24"/>
              </w:rPr>
              <w:t>年产10万立方米氦气</w:t>
            </w:r>
            <w:r>
              <w:rPr>
                <w:rFonts w:hint="eastAsia" w:ascii="Times New Roman" w:hAnsi="Times New Roman"/>
                <w:color w:val="auto"/>
                <w:sz w:val="24"/>
                <w:szCs w:val="24"/>
              </w:rPr>
              <w:t>，并且已在靖边县工业商贸局备案。备案文件中项目建设内容为：新增液化天然气提取氦气生产线，年生产10万立方米氦气，包括氦气分离设备、氢气氧化催化设备、氦气低温纯化设备及氦气液化各一套。但是在项目设计过程中发现，氦气液化装置成本较高，液化技术还不够成熟，因此本项目环评阶段分析内容仅为氦气液化之前的产品氦气提取各单元，具体</w:t>
            </w:r>
            <w:r>
              <w:rPr>
                <w:rFonts w:ascii="Times New Roman" w:hAnsi="Times New Roman"/>
                <w:color w:val="auto"/>
                <w:sz w:val="24"/>
                <w:szCs w:val="24"/>
              </w:rPr>
              <w:t>包括粗氦提取单元、催化脱氢单元、氦气精制单元、充装单元四部分内容。</w:t>
            </w:r>
            <w:r>
              <w:rPr>
                <w:rFonts w:hint="eastAsia" w:ascii="Times New Roman" w:hAnsi="Times New Roman"/>
                <w:color w:val="auto"/>
                <w:sz w:val="24"/>
                <w:szCs w:val="24"/>
              </w:rPr>
              <w:t>待液化氦气液化装置条件具备之后，建设单位可将其补充上去，并于后续另行评价。</w:t>
            </w:r>
          </w:p>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2、</w:t>
            </w:r>
            <w:r>
              <w:rPr>
                <w:rFonts w:ascii="Times New Roman" w:hAnsi="Times New Roman"/>
                <w:b/>
                <w:bCs/>
                <w:color w:val="auto"/>
                <w:sz w:val="24"/>
                <w:szCs w:val="24"/>
              </w:rPr>
              <w:t>地理位置及四邻关系</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技改项目位于陕西靖边星源实业有限公司场地内，厂区南侧、北侧、西侧均为空地，东侧隔迎宾大道为中煤延长。拟建项目位于厂区南侧，用地东侧紧邻厂区现有危化品停车场，西、南侧为待建的陕西省创铭能源有限公司年产5万吨碳酸二甲酯项目用地，北侧为液化天然气二期装置区。本项目地理位置图见附图1，四邻关系图见附图2。</w:t>
            </w:r>
          </w:p>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3、</w:t>
            </w:r>
            <w:r>
              <w:rPr>
                <w:rFonts w:ascii="Times New Roman" w:hAnsi="Times New Roman"/>
                <w:b/>
                <w:bCs/>
                <w:color w:val="auto"/>
                <w:sz w:val="24"/>
                <w:szCs w:val="24"/>
              </w:rPr>
              <w:t>项目组成</w:t>
            </w:r>
          </w:p>
          <w:p>
            <w:pPr>
              <w:widowControl w:val="0"/>
              <w:tabs>
                <w:tab w:val="left" w:pos="615"/>
                <w:tab w:val="left" w:pos="3615"/>
              </w:tabs>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本技改项目工程组成见表</w:t>
            </w:r>
            <w:r>
              <w:rPr>
                <w:rFonts w:hint="eastAsia" w:ascii="Times New Roman" w:hAnsi="Times New Roman"/>
                <w:color w:val="auto"/>
                <w:sz w:val="24"/>
                <w:szCs w:val="24"/>
              </w:rPr>
              <w:t>6</w:t>
            </w:r>
            <w:r>
              <w:rPr>
                <w:rFonts w:ascii="Times New Roman" w:hAnsi="Times New Roman"/>
                <w:color w:val="auto"/>
                <w:sz w:val="24"/>
                <w:szCs w:val="24"/>
              </w:rPr>
              <w:t>。</w:t>
            </w:r>
          </w:p>
          <w:p>
            <w:pPr>
              <w:widowControl w:val="0"/>
              <w:numPr>
                <w:ilvl w:val="0"/>
                <w:numId w:val="13"/>
              </w:numPr>
              <w:jc w:val="center"/>
              <w:rPr>
                <w:rFonts w:ascii="Times New Roman" w:hAnsi="Times New Roman"/>
                <w:b/>
                <w:color w:val="auto"/>
                <w:sz w:val="24"/>
                <w:szCs w:val="24"/>
              </w:rPr>
            </w:pPr>
            <w:r>
              <w:rPr>
                <w:rFonts w:ascii="Times New Roman" w:hAnsi="Times New Roman"/>
                <w:b/>
                <w:color w:val="auto"/>
                <w:sz w:val="24"/>
                <w:szCs w:val="24"/>
              </w:rPr>
              <w:t>工程组成一览表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837"/>
              <w:gridCol w:w="536"/>
              <w:gridCol w:w="12"/>
              <w:gridCol w:w="5847"/>
              <w:gridCol w:w="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78" w:type="pct"/>
                  <w:tcMar>
                    <w:left w:w="0" w:type="dxa"/>
                    <w:right w:w="0" w:type="dxa"/>
                  </w:tcMar>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类别</w:t>
                  </w: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项目</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建设内容</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jc w:val="center"/>
              </w:trPr>
              <w:tc>
                <w:tcPr>
                  <w:tcW w:w="278" w:type="pct"/>
                  <w:vMerge w:val="restart"/>
                  <w:tcMar>
                    <w:left w:w="0" w:type="dxa"/>
                    <w:right w:w="0" w:type="dxa"/>
                  </w:tcMar>
                  <w:vAlign w:val="center"/>
                </w:tcPr>
                <w:p>
                  <w:pPr>
                    <w:widowControl w:val="0"/>
                    <w:jc w:val="center"/>
                    <w:rPr>
                      <w:rFonts w:ascii="Times New Roman" w:hAnsi="Times New Roman"/>
                      <w:bCs/>
                      <w:color w:val="auto"/>
                      <w:szCs w:val="21"/>
                    </w:rPr>
                  </w:pPr>
                  <w:r>
                    <w:rPr>
                      <w:rFonts w:ascii="Times New Roman" w:hAnsi="Times New Roman"/>
                      <w:bCs/>
                      <w:color w:val="auto"/>
                      <w:szCs w:val="21"/>
                    </w:rPr>
                    <w:t>主体工程</w:t>
                  </w: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 w:val="24"/>
                      <w:szCs w:val="24"/>
                    </w:rPr>
                  </w:pPr>
                  <w:r>
                    <w:rPr>
                      <w:rFonts w:ascii="Times New Roman" w:hAnsi="Times New Roman"/>
                      <w:color w:val="auto"/>
                      <w:kern w:val="0"/>
                      <w:szCs w:val="21"/>
                    </w:rPr>
                    <w:t>粗氦提取单元</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采用室温加压吸附、常压解析技术将氦气从</w:t>
                  </w:r>
                  <w:r>
                    <w:rPr>
                      <w:rFonts w:hint="eastAsia" w:ascii="Times New Roman" w:hAnsi="Times New Roman"/>
                      <w:color w:val="auto"/>
                      <w:kern w:val="0"/>
                    </w:rPr>
                    <w:t>BOG</w:t>
                  </w:r>
                  <w:r>
                    <w:rPr>
                      <w:rFonts w:ascii="Times New Roman" w:hAnsi="Times New Roman"/>
                      <w:color w:val="auto"/>
                      <w:kern w:val="0"/>
                    </w:rPr>
                    <w:t>中分离出来；装置区设原料气冷却器1台、常温变压吸附装置1套、粗制氦气缓冲罐1座、解析气冷却器1台、</w:t>
                  </w:r>
                  <w:r>
                    <w:rPr>
                      <w:rFonts w:ascii="Times New Roman" w:hAnsi="Times New Roman"/>
                      <w:color w:val="auto"/>
                      <w:szCs w:val="21"/>
                    </w:rPr>
                    <w:t>解析气压缩机（螺杆压缩机）1台、</w:t>
                  </w:r>
                  <w:r>
                    <w:rPr>
                      <w:rFonts w:ascii="Times New Roman" w:hAnsi="Times New Roman"/>
                      <w:color w:val="auto"/>
                      <w:kern w:val="0"/>
                    </w:rPr>
                    <w:t>解析气缓冲罐</w:t>
                  </w:r>
                  <w:r>
                    <w:rPr>
                      <w:rFonts w:hint="eastAsia" w:ascii="Times New Roman" w:hAnsi="Times New Roman"/>
                      <w:color w:val="auto"/>
                      <w:kern w:val="0"/>
                    </w:rPr>
                    <w:t>1</w:t>
                  </w:r>
                  <w:r>
                    <w:rPr>
                      <w:rFonts w:ascii="Times New Roman" w:hAnsi="Times New Roman"/>
                      <w:color w:val="auto"/>
                      <w:kern w:val="0"/>
                    </w:rPr>
                    <w:t>座、真空泵3台</w:t>
                  </w:r>
                  <w:r>
                    <w:rPr>
                      <w:rFonts w:hint="eastAsia" w:ascii="Times New Roman" w:hAnsi="Times New Roman"/>
                      <w:color w:val="auto"/>
                      <w:kern w:val="0"/>
                    </w:rPr>
                    <w:t>、</w:t>
                  </w:r>
                  <w:r>
                    <w:rPr>
                      <w:rFonts w:ascii="Times New Roman" w:hAnsi="Times New Roman"/>
                      <w:color w:val="auto"/>
                      <w:kern w:val="0"/>
                      <w:szCs w:val="21"/>
                    </w:rPr>
                    <w:t>粗氦加热器1台、膜分离器1台、级间氦气缓冲罐1座、膜分离器组1套</w:t>
                  </w:r>
                  <w:r>
                    <w:rPr>
                      <w:rFonts w:hint="eastAsia" w:ascii="Times New Roman" w:hAnsi="Times New Roman"/>
                      <w:color w:val="auto"/>
                      <w:kern w:val="0"/>
                      <w:szCs w:val="21"/>
                    </w:rPr>
                    <w:t>、</w:t>
                  </w:r>
                  <w:r>
                    <w:rPr>
                      <w:rFonts w:ascii="Times New Roman" w:hAnsi="Times New Roman"/>
                      <w:color w:val="auto"/>
                      <w:kern w:val="0"/>
                      <w:szCs w:val="21"/>
                    </w:rPr>
                    <w:t>尾气回流压缩机2台（活塞压缩机，1备1用）</w:t>
                  </w:r>
                  <w:r>
                    <w:rPr>
                      <w:rFonts w:hint="eastAsia" w:ascii="Times New Roman" w:hAnsi="Times New Roman"/>
                      <w:color w:val="auto"/>
                      <w:kern w:val="0"/>
                      <w:szCs w:val="21"/>
                    </w:rPr>
                    <w:t>，能提取出</w:t>
                  </w:r>
                  <w:r>
                    <w:rPr>
                      <w:rFonts w:ascii="Times New Roman" w:hAnsi="Times New Roman"/>
                      <w:color w:val="auto"/>
                      <w:kern w:val="0"/>
                      <w:szCs w:val="21"/>
                    </w:rPr>
                    <w:t>纯度</w:t>
                  </w:r>
                  <w:r>
                    <w:rPr>
                      <w:rFonts w:hint="eastAsia" w:ascii="Times New Roman" w:hAnsi="Times New Roman"/>
                      <w:color w:val="auto"/>
                      <w:kern w:val="0"/>
                      <w:szCs w:val="21"/>
                    </w:rPr>
                    <w:t>为</w:t>
                  </w:r>
                  <w:r>
                    <w:rPr>
                      <w:rFonts w:ascii="Times New Roman" w:hAnsi="Times New Roman"/>
                      <w:color w:val="auto"/>
                      <w:kern w:val="0"/>
                      <w:szCs w:val="21"/>
                    </w:rPr>
                    <w:t>95%以上</w:t>
                  </w:r>
                  <w:r>
                    <w:rPr>
                      <w:rFonts w:hint="eastAsia" w:ascii="Times New Roman" w:hAnsi="Times New Roman"/>
                      <w:color w:val="auto"/>
                      <w:kern w:val="0"/>
                      <w:szCs w:val="21"/>
                    </w:rPr>
                    <w:t>的</w:t>
                  </w:r>
                  <w:r>
                    <w:rPr>
                      <w:rFonts w:ascii="Times New Roman" w:hAnsi="Times New Roman"/>
                      <w:color w:val="auto"/>
                      <w:kern w:val="0"/>
                      <w:szCs w:val="21"/>
                    </w:rPr>
                    <w:t>氦气+氢气</w:t>
                  </w:r>
                  <w:r>
                    <w:rPr>
                      <w:rFonts w:hint="eastAsia" w:ascii="Times New Roman" w:hAnsi="Times New Roman"/>
                      <w:color w:val="auto"/>
                      <w:kern w:val="0"/>
                      <w:szCs w:val="21"/>
                    </w:rPr>
                    <w:t>+微量杂质混和气体</w:t>
                  </w:r>
                  <w:r>
                    <w:rPr>
                      <w:rFonts w:ascii="Times New Roman" w:hAnsi="Times New Roman"/>
                      <w:color w:val="auto"/>
                      <w:kern w:val="0"/>
                    </w:rPr>
                    <w:t>。</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催化脱氢单元</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设有级间氦气缓冲罐1座、循环压缩机1台（螺杆压缩机）、催化反应器和催化反应加热器各1台的集成装置1套、液氧储罐1台（10m</w:t>
                  </w:r>
                  <w:r>
                    <w:rPr>
                      <w:rFonts w:ascii="Times New Roman" w:hAnsi="Times New Roman"/>
                      <w:color w:val="auto"/>
                      <w:kern w:val="0"/>
                      <w:szCs w:val="21"/>
                      <w:vertAlign w:val="superscript"/>
                    </w:rPr>
                    <w:t>3</w:t>
                  </w:r>
                  <w:r>
                    <w:rPr>
                      <w:rFonts w:ascii="Times New Roman" w:hAnsi="Times New Roman"/>
                      <w:color w:val="auto"/>
                      <w:kern w:val="0"/>
                      <w:szCs w:val="21"/>
                    </w:rPr>
                    <w:t>，含汽化器）、水冷却器</w:t>
                  </w:r>
                  <w:r>
                    <w:rPr>
                      <w:rFonts w:hint="eastAsia" w:ascii="Times New Roman" w:hAnsi="Times New Roman"/>
                      <w:color w:val="auto"/>
                      <w:kern w:val="0"/>
                      <w:szCs w:val="21"/>
                    </w:rPr>
                    <w:t>2</w:t>
                  </w:r>
                  <w:r>
                    <w:rPr>
                      <w:rFonts w:ascii="Times New Roman" w:hAnsi="Times New Roman"/>
                      <w:color w:val="auto"/>
                      <w:kern w:val="0"/>
                      <w:szCs w:val="21"/>
                    </w:rPr>
                    <w:t>台、气液分离器2台、吸附干燥器2台、管道及附件</w:t>
                  </w:r>
                  <w:r>
                    <w:rPr>
                      <w:rFonts w:hint="eastAsia" w:ascii="Times New Roman" w:hAnsi="Times New Roman"/>
                      <w:color w:val="auto"/>
                      <w:kern w:val="0"/>
                      <w:szCs w:val="21"/>
                    </w:rPr>
                    <w:t>1</w:t>
                  </w:r>
                  <w:r>
                    <w:rPr>
                      <w:rFonts w:ascii="Times New Roman" w:hAnsi="Times New Roman"/>
                      <w:color w:val="auto"/>
                      <w:kern w:val="0"/>
                      <w:szCs w:val="21"/>
                    </w:rPr>
                    <w:t>套。</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szCs w:val="21"/>
                    </w:rPr>
                    <w:t>氦气精制单元</w:t>
                  </w:r>
                </w:p>
              </w:tc>
              <w:tc>
                <w:tcPr>
                  <w:tcW w:w="3380" w:type="pct"/>
                  <w:gridSpan w:val="2"/>
                  <w:tcMar>
                    <w:left w:w="0" w:type="dxa"/>
                    <w:right w:w="0" w:type="dxa"/>
                  </w:tcMar>
                  <w:vAlign w:val="center"/>
                </w:tcPr>
                <w:p>
                  <w:pPr>
                    <w:pStyle w:val="160"/>
                    <w:widowControl/>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本项目利用低温冷凝分离和吸附技术进行氦气纯化；设有进气缓冲罐2</w:t>
                  </w:r>
                  <w:r>
                    <w:rPr>
                      <w:rFonts w:hint="eastAsia" w:ascii="Times New Roman" w:hAnsi="Times New Roman" w:cs="Times New Roman"/>
                      <w:color w:val="auto"/>
                      <w:sz w:val="21"/>
                      <w:szCs w:val="21"/>
                    </w:rPr>
                    <w:t>座</w:t>
                  </w:r>
                  <w:r>
                    <w:rPr>
                      <w:rFonts w:ascii="Times New Roman" w:hAnsi="Times New Roman" w:cs="Times New Roman"/>
                      <w:color w:val="auto"/>
                      <w:sz w:val="21"/>
                      <w:szCs w:val="21"/>
                    </w:rPr>
                    <w:t>、粗氦压缩机2台（活塞压缩机，1用1备）、干燥器2台、高压换热器冷箱2座、低温氦气纯化器2台、液氮储罐1台（20m</w:t>
                  </w:r>
                  <w:r>
                    <w:rPr>
                      <w:rFonts w:ascii="Times New Roman" w:hAnsi="Times New Roman" w:cs="Times New Roman"/>
                      <w:color w:val="auto"/>
                      <w:sz w:val="21"/>
                      <w:szCs w:val="21"/>
                      <w:vertAlign w:val="superscript"/>
                    </w:rPr>
                    <w:t>3</w:t>
                  </w:r>
                  <w:r>
                    <w:rPr>
                      <w:rFonts w:ascii="Times New Roman" w:hAnsi="Times New Roman" w:cs="Times New Roman"/>
                      <w:color w:val="auto"/>
                      <w:sz w:val="21"/>
                      <w:szCs w:val="21"/>
                    </w:rPr>
                    <w:t>，含汽化器）、液氮泵2台</w:t>
                  </w:r>
                  <w:r>
                    <w:rPr>
                      <w:rFonts w:hint="eastAsia" w:ascii="Times New Roman" w:hAnsi="Times New Roman" w:cs="Times New Roman"/>
                      <w:color w:val="auto"/>
                      <w:sz w:val="21"/>
                      <w:szCs w:val="21"/>
                    </w:rPr>
                    <w:t>、</w:t>
                  </w:r>
                  <w:r>
                    <w:rPr>
                      <w:rFonts w:ascii="Times New Roman" w:hAnsi="Times New Roman" w:cs="Times New Roman"/>
                      <w:color w:val="auto"/>
                      <w:sz w:val="21"/>
                      <w:szCs w:val="21"/>
                    </w:rPr>
                    <w:t>氦气水浴汽化器2台、氮气水浴汽化器1台、氮气抽空泵1台、活化真空泵2台、气囊1台、管道及附件1套。</w:t>
                  </w:r>
                </w:p>
              </w:tc>
              <w:tc>
                <w:tcPr>
                  <w:tcW w:w="548" w:type="pct"/>
                  <w:tcMar>
                    <w:left w:w="0" w:type="dxa"/>
                    <w:right w:w="0" w:type="dxa"/>
                  </w:tcMar>
                  <w:vAlign w:val="center"/>
                </w:tcPr>
                <w:p>
                  <w:pPr>
                    <w:pStyle w:val="160"/>
                    <w:widowControl/>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充装单元</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从氦气精制单元出来的高纯氦气首先进入现场高压缓存钢瓶组，氦气集装管束车入场后，向其充气。该单元设有机械真空泵2台、充装汇流排1套、管道及附件1套。</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分析实验室</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新建一个2m×2m的不锈钢材质分析实验室，内设1台高纯氦气气相色谱仪。</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78" w:type="pct"/>
                  <w:vMerge w:val="restart"/>
                  <w:tcMar>
                    <w:left w:w="0" w:type="dxa"/>
                    <w:right w:w="0" w:type="dxa"/>
                  </w:tcMar>
                  <w:vAlign w:val="center"/>
                </w:tcPr>
                <w:p>
                  <w:pPr>
                    <w:widowControl w:val="0"/>
                    <w:jc w:val="center"/>
                    <w:rPr>
                      <w:rFonts w:ascii="Times New Roman" w:hAnsi="Times New Roman"/>
                      <w:color w:val="auto"/>
                      <w:szCs w:val="21"/>
                    </w:rPr>
                  </w:pPr>
                  <w:r>
                    <w:rPr>
                      <w:rFonts w:ascii="Times New Roman" w:hAnsi="Times New Roman"/>
                      <w:color w:val="auto"/>
                      <w:szCs w:val="21"/>
                    </w:rPr>
                    <w:t>辅助工程</w:t>
                  </w: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燃料气系统</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粗氦提取单元析出的富甲烷解析气进入厂区现有燃料气管线为厂区提供燃料气（管线公径为GN150，压力为0.6 MPa）</w:t>
                  </w:r>
                  <w:r>
                    <w:rPr>
                      <w:rFonts w:ascii="Times New Roman" w:hAnsi="Times New Roman"/>
                      <w:color w:val="auto"/>
                      <w:kern w:val="0"/>
                      <w:szCs w:val="21"/>
                    </w:rPr>
                    <w:t>。</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278" w:type="pct"/>
                  <w:vMerge w:val="continue"/>
                  <w:tcMar>
                    <w:left w:w="0" w:type="dxa"/>
                    <w:right w:w="0" w:type="dxa"/>
                  </w:tcMar>
                  <w:vAlign w:val="center"/>
                </w:tcPr>
                <w:p>
                  <w:pPr>
                    <w:widowControl w:val="0"/>
                    <w:jc w:val="center"/>
                    <w:rPr>
                      <w:rFonts w:ascii="Times New Roman" w:hAnsi="Times New Roman"/>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仪表风系统</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利用现有仪表风系统。</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78" w:type="pct"/>
                  <w:vMerge w:val="continue"/>
                  <w:tcMar>
                    <w:left w:w="0" w:type="dxa"/>
                    <w:right w:w="0" w:type="dxa"/>
                  </w:tcMar>
                  <w:vAlign w:val="center"/>
                </w:tcPr>
                <w:p>
                  <w:pPr>
                    <w:widowControl w:val="0"/>
                    <w:jc w:val="center"/>
                    <w:rPr>
                      <w:rFonts w:ascii="Times New Roman" w:hAnsi="Times New Roman"/>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办公生活区</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依托现有办公楼1栋（四层）和宿舍楼 4栋（三层）。</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78" w:type="pct"/>
                  <w:vMerge w:val="restart"/>
                  <w:tcMar>
                    <w:left w:w="0" w:type="dxa"/>
                    <w:right w:w="0" w:type="dxa"/>
                  </w:tcMar>
                  <w:vAlign w:val="center"/>
                </w:tcPr>
                <w:p>
                  <w:pPr>
                    <w:widowControl w:val="0"/>
                    <w:jc w:val="center"/>
                    <w:rPr>
                      <w:rFonts w:ascii="Times New Roman" w:hAnsi="Times New Roman"/>
                      <w:bCs/>
                      <w:color w:val="auto"/>
                      <w:szCs w:val="21"/>
                    </w:rPr>
                  </w:pPr>
                  <w:r>
                    <w:rPr>
                      <w:rFonts w:ascii="Times New Roman" w:hAnsi="Times New Roman"/>
                      <w:bCs/>
                      <w:color w:val="auto"/>
                      <w:szCs w:val="21"/>
                    </w:rPr>
                    <w:t>储运工程</w:t>
                  </w: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原料BOG</w:t>
                  </w:r>
                  <w:r>
                    <w:rPr>
                      <w:rFonts w:hint="eastAsia" w:ascii="Times New Roman" w:hAnsi="Times New Roman"/>
                      <w:color w:val="auto"/>
                      <w:kern w:val="0"/>
                      <w:szCs w:val="21"/>
                    </w:rPr>
                    <w:t>缓冲</w:t>
                  </w:r>
                  <w:r>
                    <w:rPr>
                      <w:rFonts w:ascii="Times New Roman" w:hAnsi="Times New Roman"/>
                      <w:color w:val="auto"/>
                      <w:kern w:val="0"/>
                      <w:szCs w:val="21"/>
                    </w:rPr>
                    <w:t>罐</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现有工程内设置了1具</w:t>
                  </w:r>
                  <w:r>
                    <w:rPr>
                      <w:rFonts w:hint="eastAsia" w:ascii="Times New Roman" w:hAnsi="Times New Roman"/>
                      <w:color w:val="auto"/>
                      <w:kern w:val="0"/>
                      <w:szCs w:val="21"/>
                    </w:rPr>
                    <w:t>立式30</w:t>
                  </w:r>
                  <w:r>
                    <w:rPr>
                      <w:rFonts w:ascii="Times New Roman" w:hAnsi="Times New Roman"/>
                      <w:color w:val="auto"/>
                      <w:kern w:val="0"/>
                      <w:szCs w:val="21"/>
                    </w:rPr>
                    <w:t>m</w:t>
                  </w:r>
                  <w:r>
                    <w:rPr>
                      <w:rFonts w:ascii="Times New Roman" w:hAnsi="Times New Roman"/>
                      <w:color w:val="auto"/>
                      <w:kern w:val="0"/>
                      <w:szCs w:val="21"/>
                      <w:vertAlign w:val="superscript"/>
                    </w:rPr>
                    <w:t>3</w:t>
                  </w:r>
                  <w:r>
                    <w:rPr>
                      <w:rFonts w:ascii="Times New Roman" w:hAnsi="Times New Roman"/>
                      <w:color w:val="auto"/>
                      <w:kern w:val="0"/>
                      <w:szCs w:val="21"/>
                    </w:rPr>
                    <w:t>BOG</w:t>
                  </w:r>
                  <w:r>
                    <w:rPr>
                      <w:rFonts w:hint="eastAsia" w:ascii="Times New Roman" w:hAnsi="Times New Roman"/>
                      <w:color w:val="auto"/>
                      <w:kern w:val="0"/>
                      <w:szCs w:val="21"/>
                    </w:rPr>
                    <w:t>缓冲罐（缓冲罐压力为1.0MPa，温度为60</w:t>
                  </w:r>
                  <w:r>
                    <w:rPr>
                      <w:rFonts w:hint="eastAsia" w:ascii="宋体" w:hAnsi="宋体" w:cs="宋体"/>
                      <w:color w:val="auto"/>
                      <w:kern w:val="0"/>
                      <w:szCs w:val="21"/>
                    </w:rPr>
                    <w:t>℃</w:t>
                  </w:r>
                  <w:r>
                    <w:rPr>
                      <w:rFonts w:hint="eastAsia" w:ascii="Times New Roman" w:hAnsi="Times New Roman"/>
                      <w:color w:val="auto"/>
                      <w:kern w:val="0"/>
                      <w:szCs w:val="21"/>
                    </w:rPr>
                    <w:t>）</w:t>
                  </w:r>
                  <w:r>
                    <w:rPr>
                      <w:rFonts w:ascii="Times New Roman" w:hAnsi="Times New Roman"/>
                      <w:color w:val="auto"/>
                      <w:kern w:val="0"/>
                      <w:szCs w:val="21"/>
                    </w:rPr>
                    <w:t>。</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液氮储罐</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新建1座液氮罐20m</w:t>
                  </w:r>
                  <w:r>
                    <w:rPr>
                      <w:rFonts w:ascii="Times New Roman" w:hAnsi="Times New Roman"/>
                      <w:color w:val="auto"/>
                      <w:kern w:val="0"/>
                      <w:szCs w:val="21"/>
                      <w:vertAlign w:val="superscript"/>
                    </w:rPr>
                    <w:t>3</w:t>
                  </w:r>
                  <w:r>
                    <w:rPr>
                      <w:rFonts w:ascii="Times New Roman" w:hAnsi="Times New Roman"/>
                      <w:color w:val="auto"/>
                      <w:kern w:val="0"/>
                      <w:szCs w:val="21"/>
                    </w:rPr>
                    <w:t>，用于存储氦气精制单元所需的液氮。</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液氧储罐</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新建1座液氧罐10m</w:t>
                  </w:r>
                  <w:r>
                    <w:rPr>
                      <w:rFonts w:ascii="Times New Roman" w:hAnsi="Times New Roman"/>
                      <w:color w:val="auto"/>
                      <w:kern w:val="0"/>
                      <w:szCs w:val="21"/>
                      <w:vertAlign w:val="superscript"/>
                    </w:rPr>
                    <w:t>3</w:t>
                  </w:r>
                  <w:r>
                    <w:rPr>
                      <w:rFonts w:ascii="Times New Roman" w:hAnsi="Times New Roman"/>
                      <w:color w:val="auto"/>
                      <w:kern w:val="0"/>
                      <w:szCs w:val="21"/>
                    </w:rPr>
                    <w:t>，用于存储催化脱氢单元所需的液氧。</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仪表风储罐</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利用现有工程30m</w:t>
                  </w:r>
                  <w:r>
                    <w:rPr>
                      <w:rFonts w:ascii="Times New Roman" w:hAnsi="Times New Roman"/>
                      <w:color w:val="auto"/>
                      <w:kern w:val="0"/>
                      <w:szCs w:val="21"/>
                      <w:vertAlign w:val="superscript"/>
                    </w:rPr>
                    <w:t>3</w:t>
                  </w:r>
                  <w:r>
                    <w:rPr>
                      <w:rFonts w:ascii="Times New Roman" w:hAnsi="Times New Roman"/>
                      <w:color w:val="auto"/>
                      <w:kern w:val="0"/>
                      <w:szCs w:val="21"/>
                    </w:rPr>
                    <w:t>仪表风储罐。</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 w:type="pct"/>
                  <w:vMerge w:val="restart"/>
                  <w:tcMar>
                    <w:left w:w="0" w:type="dxa"/>
                    <w:right w:w="0" w:type="dxa"/>
                  </w:tcMar>
                  <w:vAlign w:val="center"/>
                </w:tcPr>
                <w:p>
                  <w:pPr>
                    <w:widowControl w:val="0"/>
                    <w:jc w:val="center"/>
                    <w:rPr>
                      <w:rFonts w:ascii="Times New Roman" w:hAnsi="Times New Roman"/>
                      <w:bCs/>
                      <w:color w:val="auto"/>
                      <w:szCs w:val="21"/>
                    </w:rPr>
                  </w:pPr>
                  <w:r>
                    <w:rPr>
                      <w:rFonts w:ascii="Times New Roman" w:hAnsi="Times New Roman"/>
                      <w:bCs/>
                      <w:color w:val="auto"/>
                      <w:szCs w:val="21"/>
                    </w:rPr>
                    <w:t>公用工程</w:t>
                  </w: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给水</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项目给水依托现有设施（厂区现有两口自备井）</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widowControl w:val="0"/>
                    <w:jc w:val="center"/>
                    <w:rPr>
                      <w:rFonts w:ascii="Times New Roman" w:hAnsi="Times New Roman"/>
                      <w:color w:val="auto"/>
                      <w:szCs w:val="21"/>
                    </w:rPr>
                  </w:pPr>
                  <w:r>
                    <w:rPr>
                      <w:rFonts w:ascii="Times New Roman" w:hAnsi="Times New Roman"/>
                      <w:color w:val="auto"/>
                      <w:szCs w:val="21"/>
                    </w:rPr>
                    <w:t>排水</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厂内排水采用雨污分流制，排水系统分为雨水排水系统、生产及生活排水系统、事故废水排水系统。</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供电</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本项目工作电源由厂区</w:t>
                  </w:r>
                  <w:r>
                    <w:rPr>
                      <w:rFonts w:ascii="Times New Roman" w:hAnsi="Times New Roman"/>
                      <w:color w:val="auto"/>
                      <w:kern w:val="0"/>
                      <w:szCs w:val="21"/>
                    </w:rPr>
                    <w:t>现有110kV变电所</w:t>
                  </w:r>
                  <w:r>
                    <w:rPr>
                      <w:rFonts w:hint="eastAsia" w:ascii="Times New Roman" w:hAnsi="Times New Roman"/>
                      <w:color w:val="auto"/>
                      <w:kern w:val="0"/>
                      <w:szCs w:val="21"/>
                    </w:rPr>
                    <w:t>提供</w:t>
                  </w:r>
                  <w:r>
                    <w:rPr>
                      <w:rFonts w:ascii="Times New Roman" w:hAnsi="Times New Roman"/>
                      <w:color w:val="auto"/>
                      <w:kern w:val="0"/>
                      <w:szCs w:val="21"/>
                    </w:rPr>
                    <w:t>。</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自动化控制系统</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新建1套总控PCL控制系统并通讯至现有厂区的DCS（分散控制系统）对提氦生产过程进行监视，同时将可燃/有毒气体探测器接入现有厂区的可燃/有毒气体检测报警系统中。</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部分新建，主要依托现有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电信</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highlight w:val="yellow"/>
                    </w:rPr>
                  </w:pPr>
                  <w:r>
                    <w:rPr>
                      <w:rFonts w:ascii="Times New Roman" w:hAnsi="Times New Roman"/>
                      <w:color w:val="auto"/>
                      <w:kern w:val="0"/>
                      <w:szCs w:val="21"/>
                    </w:rPr>
                    <w:t>工业电视监控系统、扩音对讲系统、火灾自动报警系统依托现有，新建防爆网络高清红外枪式摄像机5台、智能型防爆扩音电话站2个、防爆号筒式扬声器2个、隔爆型三波长火焰探测器4台、防爆手动报警按钮4台、防爆声光报警器4台。</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highlight w:val="yellow"/>
                    </w:rPr>
                  </w:pPr>
                  <w:r>
                    <w:rPr>
                      <w:rFonts w:hint="eastAsia" w:ascii="Times New Roman" w:hAnsi="Times New Roman"/>
                      <w:color w:val="auto"/>
                      <w:kern w:val="0"/>
                      <w:szCs w:val="21"/>
                    </w:rPr>
                    <w:t>部分新建，主要依托现有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办公供暖</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利用现有3台0.7MW燃气热水锅炉（两用一备）供暖。</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消防</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消防管道、消火栓、水炮等消防配套设施依托现有，并新增一定数量的灭火器（50kg推车式ABC类干粉灭火器4个、8kg手提式ABC类干粉灭火器8个）。</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消防配套设施依托，灭火器新建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78" w:type="pct"/>
                  <w:vMerge w:val="restart"/>
                  <w:tcMar>
                    <w:left w:w="0" w:type="dxa"/>
                    <w:right w:w="0" w:type="dxa"/>
                  </w:tcMar>
                  <w:vAlign w:val="center"/>
                </w:tcPr>
                <w:p>
                  <w:pPr>
                    <w:widowControl w:val="0"/>
                    <w:jc w:val="center"/>
                    <w:rPr>
                      <w:rFonts w:ascii="Times New Roman" w:hAnsi="Times New Roman"/>
                      <w:bCs/>
                      <w:color w:val="auto"/>
                      <w:szCs w:val="21"/>
                    </w:rPr>
                  </w:pPr>
                  <w:r>
                    <w:rPr>
                      <w:rFonts w:ascii="Times New Roman" w:hAnsi="Times New Roman"/>
                      <w:bCs/>
                      <w:color w:val="auto"/>
                      <w:szCs w:val="21"/>
                    </w:rPr>
                    <w:t>环保工程</w:t>
                  </w:r>
                </w:p>
              </w:tc>
              <w:tc>
                <w:tcPr>
                  <w:tcW w:w="483"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废气</w:t>
                  </w:r>
                </w:p>
              </w:tc>
              <w:tc>
                <w:tcPr>
                  <w:tcW w:w="3689" w:type="pct"/>
                  <w:gridSpan w:val="3"/>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w:t>
                  </w:r>
                  <w:r>
                    <w:rPr>
                      <w:rFonts w:hint="eastAsia" w:ascii="Times New Roman" w:hAnsi="Times New Roman"/>
                      <w:color w:val="auto"/>
                      <w:kern w:val="0"/>
                      <w:szCs w:val="21"/>
                    </w:rPr>
                    <w:t>粗氦提取单元</w:t>
                  </w:r>
                  <w:r>
                    <w:rPr>
                      <w:rFonts w:ascii="Times New Roman" w:hAnsi="Times New Roman"/>
                      <w:color w:val="auto"/>
                      <w:kern w:val="0"/>
                      <w:szCs w:val="21"/>
                    </w:rPr>
                    <w:t>产生的</w:t>
                  </w:r>
                  <w:r>
                    <w:rPr>
                      <w:rFonts w:hint="eastAsia" w:ascii="Times New Roman" w:hAnsi="Times New Roman"/>
                      <w:color w:val="auto"/>
                      <w:kern w:val="0"/>
                      <w:szCs w:val="21"/>
                    </w:rPr>
                    <w:t>富甲烷解析气尾气进入现有厂区燃料气系统作为燃料气使用，</w:t>
                  </w:r>
                  <w:r>
                    <w:rPr>
                      <w:rFonts w:hint="eastAsia" w:ascii="Times New Roman" w:hAnsi="Times New Roman"/>
                      <w:color w:val="auto"/>
                      <w:kern w:val="0"/>
                      <w:szCs w:val="21"/>
                      <w:highlight w:val="none"/>
                    </w:rPr>
                    <w:t>粗氦提取单元分离出的氮气和氦气精制单元产生的吹扫氮气</w:t>
                  </w:r>
                  <w:r>
                    <w:rPr>
                      <w:rFonts w:hint="eastAsia" w:ascii="Times New Roman" w:hAnsi="Times New Roman"/>
                      <w:color w:val="auto"/>
                      <w:kern w:val="0"/>
                      <w:szCs w:val="21"/>
                      <w:highlight w:val="none"/>
                      <w:lang w:eastAsia="zh-CN"/>
                    </w:rPr>
                    <w:t>通过提氦装置区新建的</w:t>
                  </w:r>
                  <w:r>
                    <w:rPr>
                      <w:rFonts w:hint="eastAsia" w:ascii="Times New Roman" w:hAnsi="Times New Roman"/>
                      <w:color w:val="auto"/>
                      <w:kern w:val="0"/>
                      <w:szCs w:val="21"/>
                      <w:highlight w:val="none"/>
                      <w:lang w:val="en-US" w:eastAsia="zh-CN"/>
                    </w:rPr>
                    <w:t>3.5m就地引高放空管</w:t>
                  </w:r>
                  <w:r>
                    <w:rPr>
                      <w:rFonts w:hint="eastAsia" w:ascii="Times New Roman" w:hAnsi="Times New Roman"/>
                      <w:color w:val="auto"/>
                      <w:kern w:val="0"/>
                      <w:szCs w:val="21"/>
                      <w:highlight w:val="none"/>
                    </w:rPr>
                    <w:t>直接放空。</w:t>
                  </w:r>
                </w:p>
              </w:tc>
              <w:tc>
                <w:tcPr>
                  <w:tcW w:w="548" w:type="pct"/>
                  <w:tcMar>
                    <w:left w:w="0" w:type="dxa"/>
                    <w:right w:w="0" w:type="dxa"/>
                  </w:tcMar>
                  <w:vAlign w:val="center"/>
                </w:tcPr>
                <w:p>
                  <w:pPr>
                    <w:autoSpaceDE w:val="0"/>
                    <w:autoSpaceDN w:val="0"/>
                    <w:snapToGrid w:val="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eastAsia="zh-CN"/>
                    </w:rPr>
                    <w:t>燃料气系统依托，就地引高放空管新建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483" w:type="pct"/>
                  <w:vMerge w:val="restar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废水</w:t>
                  </w:r>
                </w:p>
              </w:tc>
              <w:tc>
                <w:tcPr>
                  <w:tcW w:w="316"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生活污水</w:t>
                  </w:r>
                </w:p>
              </w:tc>
              <w:tc>
                <w:tcPr>
                  <w:tcW w:w="3372"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color w:val="auto"/>
                      <w:kern w:val="0"/>
                    </w:rPr>
                    <w:t>项目不新增人员，</w:t>
                  </w:r>
                  <w:r>
                    <w:rPr>
                      <w:rFonts w:hint="eastAsia"/>
                      <w:color w:val="auto"/>
                      <w:kern w:val="0"/>
                    </w:rPr>
                    <w:t>无</w:t>
                  </w:r>
                  <w:r>
                    <w:rPr>
                      <w:color w:val="auto"/>
                      <w:kern w:val="0"/>
                    </w:rPr>
                    <w:t>生活污水产生。现有厂区产生的生活污水</w:t>
                  </w:r>
                  <w:r>
                    <w:rPr>
                      <w:rFonts w:ascii="Times New Roman" w:hAnsi="Times New Roman"/>
                      <w:color w:val="auto"/>
                      <w:kern w:val="0"/>
                      <w:szCs w:val="21"/>
                    </w:rPr>
                    <w:t>经化粪池和隔油池（食堂废水）处理后进入现有</w:t>
                  </w:r>
                  <w:r>
                    <w:rPr>
                      <w:rFonts w:hint="eastAsia" w:ascii="Times New Roman" w:hAnsi="Times New Roman"/>
                      <w:color w:val="auto"/>
                      <w:kern w:val="0"/>
                      <w:szCs w:val="21"/>
                    </w:rPr>
                    <w:t>厂区</w:t>
                  </w:r>
                  <w:r>
                    <w:rPr>
                      <w:rFonts w:ascii="Times New Roman" w:hAnsi="Times New Roman"/>
                      <w:color w:val="auto"/>
                      <w:kern w:val="0"/>
                      <w:szCs w:val="21"/>
                    </w:rPr>
                    <w:t>建设的CASS处理系统进行二级</w:t>
                  </w:r>
                  <w:r>
                    <w:rPr>
                      <w:rFonts w:hint="eastAsia" w:ascii="Times New Roman" w:hAnsi="Times New Roman"/>
                      <w:color w:val="auto"/>
                      <w:kern w:val="0"/>
                      <w:szCs w:val="21"/>
                    </w:rPr>
                    <w:t>生化</w:t>
                  </w:r>
                  <w:r>
                    <w:rPr>
                      <w:rFonts w:ascii="Times New Roman" w:hAnsi="Times New Roman"/>
                      <w:color w:val="auto"/>
                      <w:kern w:val="0"/>
                      <w:szCs w:val="21"/>
                    </w:rPr>
                    <w:t>处理，绿化灌溉季节用于站区绿化，</w:t>
                  </w:r>
                  <w:r>
                    <w:rPr>
                      <w:rFonts w:ascii="Times New Roman" w:hAnsi="Times New Roman"/>
                      <w:color w:val="auto"/>
                      <w:kern w:val="0"/>
                      <w:szCs w:val="21"/>
                      <w:highlight w:val="none"/>
                    </w:rPr>
                    <w:t>非绿化季节运至靖边县污水处理厂统一处理</w:t>
                  </w:r>
                  <w:r>
                    <w:rPr>
                      <w:rFonts w:ascii="Times New Roman" w:hAnsi="Times New Roman"/>
                      <w:color w:val="auto"/>
                      <w:kern w:val="0"/>
                      <w:szCs w:val="21"/>
                    </w:rPr>
                    <w:t>。</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hint="eastAsia" w:ascii="Times New Roman" w:hAnsi="Times New Roman"/>
                      <w:color w:val="auto"/>
                      <w:kern w:val="0"/>
                      <w:szCs w:val="21"/>
                    </w:rPr>
                    <w:t>不涉及新增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278" w:type="pct"/>
                  <w:vMerge w:val="continue"/>
                  <w:tcMar>
                    <w:left w:w="0" w:type="dxa"/>
                    <w:right w:w="0" w:type="dxa"/>
                  </w:tcMar>
                  <w:vAlign w:val="center"/>
                </w:tcPr>
                <w:p>
                  <w:pPr>
                    <w:widowControl w:val="0"/>
                    <w:jc w:val="center"/>
                    <w:rPr>
                      <w:rFonts w:ascii="Times New Roman" w:hAnsi="Times New Roman"/>
                      <w:bCs/>
                      <w:color w:val="auto"/>
                      <w:szCs w:val="21"/>
                    </w:rPr>
                  </w:pPr>
                </w:p>
              </w:tc>
              <w:tc>
                <w:tcPr>
                  <w:tcW w:w="483" w:type="pct"/>
                  <w:vMerge w:val="continue"/>
                  <w:tcMar>
                    <w:left w:w="0" w:type="dxa"/>
                    <w:right w:w="0" w:type="dxa"/>
                  </w:tcMar>
                  <w:vAlign w:val="center"/>
                </w:tcPr>
                <w:p>
                  <w:pPr>
                    <w:autoSpaceDE w:val="0"/>
                    <w:autoSpaceDN w:val="0"/>
                    <w:snapToGrid w:val="0"/>
                    <w:jc w:val="center"/>
                    <w:rPr>
                      <w:rFonts w:ascii="Times New Roman" w:hAnsi="Times New Roman"/>
                      <w:color w:val="auto"/>
                      <w:kern w:val="0"/>
                      <w:szCs w:val="21"/>
                    </w:rPr>
                  </w:pPr>
                </w:p>
              </w:tc>
              <w:tc>
                <w:tcPr>
                  <w:tcW w:w="316"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生产废水</w:t>
                  </w:r>
                </w:p>
              </w:tc>
              <w:tc>
                <w:tcPr>
                  <w:tcW w:w="3372"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生产过程中产生的</w:t>
                  </w:r>
                  <w:r>
                    <w:rPr>
                      <w:rFonts w:hint="eastAsia" w:ascii="Times New Roman" w:hAnsi="Times New Roman" w:cs="Times New Roman"/>
                      <w:color w:val="auto"/>
                      <w:kern w:val="0"/>
                      <w:szCs w:val="21"/>
                      <w:highlight w:val="none"/>
                      <w:lang w:eastAsia="zh-CN"/>
                    </w:rPr>
                    <w:t>脱氢冷凝水</w:t>
                  </w:r>
                  <w:r>
                    <w:rPr>
                      <w:rFonts w:hint="eastAsia" w:ascii="Times New Roman" w:hAnsi="Times New Roman" w:cs="Times New Roman"/>
                      <w:color w:val="auto"/>
                      <w:kern w:val="0"/>
                      <w:szCs w:val="21"/>
                      <w:lang w:eastAsia="zh-CN"/>
                    </w:rPr>
                    <w:t>用水桶盛装后用于厂区绿化或洒扫，</w:t>
                  </w:r>
                  <w:r>
                    <w:rPr>
                      <w:rFonts w:ascii="Times New Roman" w:hAnsi="Times New Roman"/>
                      <w:color w:val="auto"/>
                      <w:kern w:val="0"/>
                      <w:szCs w:val="21"/>
                      <w:highlight w:val="none"/>
                    </w:rPr>
                    <w:t>不外排。</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78" w:type="pct"/>
                  <w:vMerge w:val="continue"/>
                  <w:tcMar>
                    <w:left w:w="0" w:type="dxa"/>
                    <w:right w:w="0" w:type="dxa"/>
                  </w:tcMar>
                  <w:vAlign w:val="center"/>
                </w:tcPr>
                <w:p>
                  <w:pPr>
                    <w:widowControl w:val="0"/>
                    <w:jc w:val="center"/>
                    <w:rPr>
                      <w:rFonts w:ascii="Times New Roman" w:hAnsi="Times New Roman"/>
                      <w:b/>
                      <w:color w:val="auto"/>
                      <w:szCs w:val="21"/>
                    </w:rPr>
                  </w:pPr>
                </w:p>
              </w:tc>
              <w:tc>
                <w:tcPr>
                  <w:tcW w:w="483"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噪声</w:t>
                  </w:r>
                </w:p>
              </w:tc>
              <w:tc>
                <w:tcPr>
                  <w:tcW w:w="3689" w:type="pct"/>
                  <w:gridSpan w:val="3"/>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项目噪声源主要为原料气压缩机、混合冷剂压缩机、BOG压缩机、泵类等设备运行时产生的噪声，噪声声级70～95dB（A），通过采用基础减振、风机加装消声器等降噪措施。</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78" w:type="pct"/>
                  <w:vMerge w:val="continue"/>
                  <w:tcMar>
                    <w:left w:w="0" w:type="dxa"/>
                    <w:right w:w="0" w:type="dxa"/>
                  </w:tcMar>
                  <w:vAlign w:val="center"/>
                </w:tcPr>
                <w:p>
                  <w:pPr>
                    <w:widowControl w:val="0"/>
                    <w:jc w:val="center"/>
                    <w:rPr>
                      <w:rFonts w:ascii="Times New Roman" w:hAnsi="Times New Roman"/>
                      <w:b/>
                      <w:color w:val="auto"/>
                      <w:szCs w:val="21"/>
                    </w:rPr>
                  </w:pPr>
                </w:p>
              </w:tc>
              <w:tc>
                <w:tcPr>
                  <w:tcW w:w="483" w:type="pct"/>
                  <w:vMerge w:val="restar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固废</w:t>
                  </w:r>
                </w:p>
              </w:tc>
              <w:tc>
                <w:tcPr>
                  <w:tcW w:w="30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生活垃圾</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color w:val="auto"/>
                      <w:kern w:val="0"/>
                    </w:rPr>
                    <w:t>项目不新增人员，不产生生活垃圾。现有厂区产生的</w:t>
                  </w:r>
                  <w:r>
                    <w:rPr>
                      <w:rFonts w:ascii="Times New Roman" w:hAnsi="Times New Roman"/>
                      <w:color w:val="auto"/>
                      <w:kern w:val="0"/>
                      <w:szCs w:val="21"/>
                    </w:rPr>
                    <w:t>生活垃圾经厂区内现有垃圾桶（箱）集中收集后，再由园区环卫部门统一清运至城市生活垃圾处理厂进行处置。</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78" w:type="pct"/>
                  <w:vMerge w:val="continue"/>
                  <w:tcMar>
                    <w:left w:w="0" w:type="dxa"/>
                    <w:right w:w="0" w:type="dxa"/>
                  </w:tcMar>
                  <w:vAlign w:val="center"/>
                </w:tcPr>
                <w:p>
                  <w:pPr>
                    <w:widowControl w:val="0"/>
                    <w:jc w:val="center"/>
                    <w:rPr>
                      <w:rFonts w:ascii="Times New Roman" w:hAnsi="Times New Roman"/>
                      <w:b/>
                      <w:color w:val="auto"/>
                      <w:szCs w:val="21"/>
                    </w:rPr>
                  </w:pPr>
                </w:p>
              </w:tc>
              <w:tc>
                <w:tcPr>
                  <w:tcW w:w="483" w:type="pct"/>
                  <w:vMerge w:val="continue"/>
                  <w:tcMar>
                    <w:left w:w="0" w:type="dxa"/>
                    <w:right w:w="0" w:type="dxa"/>
                  </w:tcMar>
                  <w:vAlign w:val="center"/>
                </w:tcPr>
                <w:p>
                  <w:pPr>
                    <w:autoSpaceDE w:val="0"/>
                    <w:autoSpaceDN w:val="0"/>
                    <w:snapToGrid w:val="0"/>
                    <w:jc w:val="center"/>
                    <w:rPr>
                      <w:rFonts w:ascii="Times New Roman" w:hAnsi="Times New Roman"/>
                      <w:color w:val="auto"/>
                      <w:kern w:val="0"/>
                      <w:szCs w:val="21"/>
                    </w:rPr>
                  </w:pPr>
                </w:p>
              </w:tc>
              <w:tc>
                <w:tcPr>
                  <w:tcW w:w="30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生产固废</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本项目生产固废主要有废活性炭、废分子筛、废催化剂</w:t>
                  </w:r>
                  <w:r>
                    <w:rPr>
                      <w:rFonts w:hint="eastAsia" w:ascii="Times New Roman" w:hAnsi="Times New Roman"/>
                      <w:color w:val="auto"/>
                      <w:kern w:val="0"/>
                      <w:szCs w:val="21"/>
                      <w:lang w:eastAsia="zh-CN"/>
                    </w:rPr>
                    <w:t>、废润滑油</w:t>
                  </w:r>
                  <w:r>
                    <w:rPr>
                      <w:rFonts w:ascii="Times New Roman" w:hAnsi="Times New Roman"/>
                      <w:color w:val="auto"/>
                      <w:kern w:val="0"/>
                      <w:szCs w:val="21"/>
                    </w:rPr>
                    <w:t>等危险废物，项目产生的</w:t>
                  </w:r>
                  <w:r>
                    <w:rPr>
                      <w:rFonts w:hint="default" w:ascii="Times New Roman" w:hAnsi="Times New Roman" w:eastAsia="宋体" w:cs="Times New Roman"/>
                      <w:color w:val="auto"/>
                      <w:kern w:val="0"/>
                      <w:szCs w:val="21"/>
                    </w:rPr>
                    <w:t>危废</w:t>
                  </w:r>
                  <w:r>
                    <w:rPr>
                      <w:rFonts w:hint="eastAsia" w:ascii="Times New Roman" w:hAnsi="Times New Roman" w:cs="Times New Roman"/>
                      <w:color w:val="auto"/>
                      <w:kern w:val="0"/>
                      <w:szCs w:val="21"/>
                      <w:lang w:eastAsia="zh-CN"/>
                    </w:rPr>
                    <w:t>由厂家替换后送至有资质单位处置，</w:t>
                  </w:r>
                  <w:r>
                    <w:rPr>
                      <w:rFonts w:hint="eastAsia" w:ascii="Times New Roman" w:hAnsi="Times New Roman"/>
                      <w:color w:val="auto"/>
                      <w:kern w:val="0"/>
                      <w:szCs w:val="21"/>
                      <w:highlight w:val="none"/>
                      <w:lang w:eastAsia="zh-CN"/>
                    </w:rPr>
                    <w:t>不在厂区内暂存。</w:t>
                  </w:r>
                </w:p>
              </w:tc>
              <w:tc>
                <w:tcPr>
                  <w:tcW w:w="548" w:type="pct"/>
                  <w:tcMar>
                    <w:left w:w="0" w:type="dxa"/>
                    <w:right w:w="0" w:type="dxa"/>
                  </w:tcMar>
                  <w:vAlign w:val="center"/>
                </w:tcPr>
                <w:p>
                  <w:pPr>
                    <w:autoSpaceDE w:val="0"/>
                    <w:autoSpaceDN w:val="0"/>
                    <w:snapToGrid w:val="0"/>
                    <w:jc w:val="center"/>
                    <w:rPr>
                      <w:rFonts w:hint="eastAsia" w:ascii="Times New Roman" w:hAnsi="Times New Roman" w:eastAsia="宋体"/>
                      <w:color w:val="auto"/>
                      <w:kern w:val="0"/>
                      <w:szCs w:val="21"/>
                      <w:lang w:eastAsia="zh-CN"/>
                    </w:rPr>
                  </w:pPr>
                  <w:r>
                    <w:rPr>
                      <w:rFonts w:hint="eastAsia" w:ascii="Times New Roman" w:hAnsi="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78" w:type="pct"/>
                  <w:vMerge w:val="continue"/>
                  <w:tcMar>
                    <w:left w:w="0" w:type="dxa"/>
                    <w:right w:w="0" w:type="dxa"/>
                  </w:tcMar>
                  <w:vAlign w:val="center"/>
                </w:tcPr>
                <w:p>
                  <w:pPr>
                    <w:widowControl w:val="0"/>
                    <w:jc w:val="center"/>
                    <w:rPr>
                      <w:rFonts w:ascii="Times New Roman" w:hAnsi="Times New Roman"/>
                      <w:b/>
                      <w:color w:val="auto"/>
                      <w:szCs w:val="21"/>
                    </w:rPr>
                  </w:pPr>
                </w:p>
              </w:tc>
              <w:tc>
                <w:tcPr>
                  <w:tcW w:w="792"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风险事故防范</w:t>
                  </w:r>
                </w:p>
              </w:tc>
              <w:tc>
                <w:tcPr>
                  <w:tcW w:w="3380" w:type="pct"/>
                  <w:gridSpan w:val="2"/>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项目工艺装置区周边新建导流沟连接至现有集液池和事故水池，此外，消防水池等设施依托现有。</w:t>
                  </w:r>
                </w:p>
              </w:tc>
              <w:tc>
                <w:tcPr>
                  <w:tcW w:w="548" w:type="pct"/>
                  <w:tcMar>
                    <w:left w:w="0" w:type="dxa"/>
                    <w:right w:w="0" w:type="dxa"/>
                  </w:tcMar>
                  <w:vAlign w:val="center"/>
                </w:tcPr>
                <w:p>
                  <w:pPr>
                    <w:autoSpaceDE w:val="0"/>
                    <w:autoSpaceDN w:val="0"/>
                    <w:snapToGrid w:val="0"/>
                    <w:jc w:val="center"/>
                    <w:rPr>
                      <w:rFonts w:ascii="Times New Roman" w:hAnsi="Times New Roman"/>
                      <w:color w:val="auto"/>
                      <w:kern w:val="0"/>
                      <w:szCs w:val="21"/>
                    </w:rPr>
                  </w:pPr>
                  <w:r>
                    <w:rPr>
                      <w:rFonts w:ascii="Times New Roman" w:hAnsi="Times New Roman"/>
                      <w:color w:val="auto"/>
                      <w:kern w:val="0"/>
                      <w:szCs w:val="21"/>
                    </w:rPr>
                    <w:t>依托现有</w:t>
                  </w:r>
                </w:p>
              </w:tc>
            </w:tr>
          </w:tbl>
          <w:p>
            <w:pPr>
              <w:pStyle w:val="3"/>
              <w:numPr>
                <w:ilvl w:val="3"/>
                <w:numId w:val="0"/>
              </w:numPr>
              <w:rPr>
                <w:color w:val="auto"/>
              </w:rPr>
            </w:pPr>
            <w:r>
              <w:rPr>
                <w:rFonts w:hint="eastAsia"/>
                <w:color w:val="auto"/>
              </w:rPr>
              <w:t>4、</w:t>
            </w:r>
            <w:r>
              <w:rPr>
                <w:color w:val="auto"/>
              </w:rPr>
              <w:t>本项目主要设备</w:t>
            </w:r>
          </w:p>
          <w:p>
            <w:pPr>
              <w:widowControl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本项目主要设备清单见表</w:t>
            </w:r>
            <w:r>
              <w:rPr>
                <w:rFonts w:hint="eastAsia" w:ascii="Times New Roman" w:hAnsi="Times New Roman"/>
                <w:bCs/>
                <w:color w:val="auto"/>
                <w:sz w:val="24"/>
                <w:szCs w:val="24"/>
              </w:rPr>
              <w:t>7</w:t>
            </w:r>
            <w:r>
              <w:rPr>
                <w:rFonts w:ascii="Times New Roman" w:hAnsi="Times New Roman"/>
                <w:bCs/>
                <w:color w:val="auto"/>
                <w:sz w:val="24"/>
                <w:szCs w:val="24"/>
              </w:rPr>
              <w:t>。</w:t>
            </w:r>
          </w:p>
          <w:p>
            <w:pPr>
              <w:widowControl w:val="0"/>
              <w:numPr>
                <w:ilvl w:val="0"/>
                <w:numId w:val="13"/>
              </w:numPr>
              <w:jc w:val="center"/>
              <w:rPr>
                <w:rFonts w:ascii="Times New Roman" w:hAnsi="Times New Roman"/>
                <w:color w:val="auto"/>
              </w:rPr>
            </w:pPr>
            <w:r>
              <w:rPr>
                <w:rFonts w:ascii="Times New Roman" w:hAnsi="Times New Roman"/>
                <w:b/>
                <w:color w:val="auto"/>
                <w:sz w:val="24"/>
                <w:szCs w:val="24"/>
              </w:rPr>
              <w:t>主要设备清单</w:t>
            </w:r>
          </w:p>
          <w:tbl>
            <w:tblPr>
              <w:tblStyle w:val="90"/>
              <w:tblW w:w="4900" w:type="pct"/>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663"/>
              <w:gridCol w:w="1302"/>
              <w:gridCol w:w="566"/>
              <w:gridCol w:w="2723"/>
              <w:gridCol w:w="1639"/>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序号</w:t>
                  </w:r>
                </w:p>
              </w:tc>
              <w:tc>
                <w:tcPr>
                  <w:tcW w:w="390"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单元名称</w:t>
                  </w:r>
                </w:p>
              </w:tc>
              <w:tc>
                <w:tcPr>
                  <w:tcW w:w="766"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主要部件</w:t>
                  </w:r>
                </w:p>
              </w:tc>
              <w:tc>
                <w:tcPr>
                  <w:tcW w:w="333"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数量</w:t>
                  </w:r>
                </w:p>
              </w:tc>
              <w:tc>
                <w:tcPr>
                  <w:tcW w:w="1602"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技术规格</w:t>
                  </w:r>
                </w:p>
              </w:tc>
              <w:tc>
                <w:tcPr>
                  <w:tcW w:w="964"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占地面积</w:t>
                  </w:r>
                </w:p>
              </w:tc>
              <w:tc>
                <w:tcPr>
                  <w:tcW w:w="608" w:type="pct"/>
                  <w:vAlign w:val="center"/>
                </w:tcPr>
                <w:p>
                  <w:pPr>
                    <w:pStyle w:val="2"/>
                    <w:ind w:firstLine="0" w:firstLineChars="0"/>
                    <w:jc w:val="center"/>
                    <w:rPr>
                      <w:rFonts w:ascii="Times New Roman" w:hAnsi="Times New Roman"/>
                      <w:b/>
                      <w:bCs/>
                      <w:color w:val="auto"/>
                    </w:rPr>
                  </w:pPr>
                  <w:r>
                    <w:rPr>
                      <w:rFonts w:ascii="Times New Roman" w:hAnsi="Times New Roman"/>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w:t>
                  </w:r>
                </w:p>
              </w:tc>
              <w:tc>
                <w:tcPr>
                  <w:tcW w:w="390" w:type="pct"/>
                  <w:vMerge w:val="restart"/>
                  <w:vAlign w:val="center"/>
                </w:tcPr>
                <w:p>
                  <w:pPr>
                    <w:pStyle w:val="2"/>
                    <w:ind w:firstLine="0" w:firstLineChars="0"/>
                    <w:jc w:val="center"/>
                    <w:rPr>
                      <w:rFonts w:ascii="Times New Roman" w:hAnsi="Times New Roman"/>
                      <w:color w:val="auto"/>
                    </w:rPr>
                  </w:pPr>
                  <w:r>
                    <w:rPr>
                      <w:rFonts w:ascii="Times New Roman" w:hAnsi="Times New Roman"/>
                      <w:color w:val="auto"/>
                    </w:rPr>
                    <w:t>粗氦提取单元</w:t>
                  </w:r>
                </w:p>
              </w:tc>
              <w:tc>
                <w:tcPr>
                  <w:tcW w:w="766"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原料气冷却器</w:t>
                  </w:r>
                </w:p>
              </w:tc>
              <w:tc>
                <w:tcPr>
                  <w:tcW w:w="333"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1台</w:t>
                  </w:r>
                </w:p>
              </w:tc>
              <w:tc>
                <w:tcPr>
                  <w:tcW w:w="1602" w:type="pct"/>
                  <w:vAlign w:val="center"/>
                </w:tcPr>
                <w:p>
                  <w:pPr>
                    <w:jc w:val="center"/>
                    <w:rPr>
                      <w:rFonts w:ascii="Times New Roman" w:hAnsi="Times New Roman"/>
                      <w:color w:val="auto"/>
                      <w:kern w:val="0"/>
                      <w:szCs w:val="21"/>
                      <w:lang w:bidi="ar"/>
                    </w:rPr>
                  </w:pPr>
                  <w:r>
                    <w:rPr>
                      <w:rFonts w:ascii="Times New Roman" w:hAnsi="Times New Roman"/>
                      <w:color w:val="auto"/>
                    </w:rPr>
                    <w:t>/</w:t>
                  </w:r>
                </w:p>
              </w:tc>
              <w:tc>
                <w:tcPr>
                  <w:tcW w:w="964" w:type="pct"/>
                  <w:vMerge w:val="restart"/>
                  <w:vAlign w:val="center"/>
                </w:tcPr>
                <w:p>
                  <w:pPr>
                    <w:jc w:val="center"/>
                    <w:rPr>
                      <w:rFonts w:ascii="Times New Roman" w:hAnsi="Times New Roman"/>
                      <w:color w:val="auto"/>
                    </w:rPr>
                  </w:pPr>
                  <w:r>
                    <w:rPr>
                      <w:rFonts w:ascii="Times New Roman" w:hAnsi="Times New Roman"/>
                      <w:color w:val="auto"/>
                      <w:kern w:val="0"/>
                      <w:szCs w:val="21"/>
                      <w:lang w:bidi="ar"/>
                    </w:rPr>
                    <w:t>20m×10m</w:t>
                  </w: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变压吸附装置</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900Nm³/h</w:t>
                  </w:r>
                  <w:r>
                    <w:rPr>
                      <w:rFonts w:hint="eastAsia" w:ascii="Times New Roman" w:hAnsi="Times New Roman"/>
                      <w:color w:val="auto"/>
                      <w:kern w:val="0"/>
                      <w:szCs w:val="21"/>
                      <w:lang w:bidi="ar"/>
                    </w:rPr>
                    <w:t>，</w:t>
                  </w:r>
                  <w:r>
                    <w:rPr>
                      <w:rFonts w:ascii="Times New Roman" w:hAnsi="Times New Roman"/>
                      <w:color w:val="auto"/>
                      <w:kern w:val="0"/>
                      <w:szCs w:val="21"/>
                      <w:lang w:bidi="ar"/>
                    </w:rPr>
                    <w:t>1.4MPa</w:t>
                  </w:r>
                </w:p>
              </w:tc>
              <w:tc>
                <w:tcPr>
                  <w:tcW w:w="964" w:type="pct"/>
                  <w:vMerge w:val="continue"/>
                  <w:vAlign w:val="center"/>
                </w:tcPr>
                <w:p>
                  <w:pPr>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粗制氦气缓冲罐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1座</w:t>
                  </w:r>
                </w:p>
              </w:tc>
              <w:tc>
                <w:tcPr>
                  <w:tcW w:w="1602" w:type="pct"/>
                  <w:vAlign w:val="center"/>
                </w:tcPr>
                <w:p>
                  <w:pPr>
                    <w:jc w:val="center"/>
                    <w:rPr>
                      <w:rFonts w:ascii="Times New Roman" w:hAnsi="Times New Roman"/>
                      <w:color w:val="auto"/>
                      <w:kern w:val="0"/>
                      <w:szCs w:val="21"/>
                      <w:lang w:bidi="ar"/>
                    </w:rPr>
                  </w:pPr>
                  <w:r>
                    <w:rPr>
                      <w:rFonts w:hint="eastAsia" w:ascii="Times New Roman" w:hAnsi="Times New Roman"/>
                      <w:color w:val="auto"/>
                      <w:kern w:val="0"/>
                      <w:szCs w:val="21"/>
                      <w:lang w:bidi="ar"/>
                    </w:rPr>
                    <w:t>1</w:t>
                  </w:r>
                  <w:r>
                    <w:rPr>
                      <w:rFonts w:ascii="Times New Roman" w:hAnsi="Times New Roman"/>
                      <w:color w:val="auto"/>
                      <w:kern w:val="0"/>
                      <w:szCs w:val="21"/>
                      <w:lang w:bidi="ar"/>
                    </w:rPr>
                    <w:t>m³</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4</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解析气冷却器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Align w:val="center"/>
                </w:tcPr>
                <w:p>
                  <w:pPr>
                    <w:jc w:val="center"/>
                    <w:rPr>
                      <w:rFonts w:ascii="Times New Roman" w:hAnsi="Times New Roman"/>
                      <w:color w:val="auto"/>
                      <w:kern w:val="0"/>
                      <w:szCs w:val="21"/>
                      <w:lang w:bidi="ar"/>
                    </w:rPr>
                  </w:pPr>
                  <w:r>
                    <w:rPr>
                      <w:rFonts w:ascii="Times New Roman" w:hAnsi="Times New Roman"/>
                      <w:color w:val="auto"/>
                    </w:rPr>
                    <w:t>/</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5</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解析气压缩机</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950Nm³/h，0.5MPa</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6</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jc w:val="center"/>
                    <w:rPr>
                      <w:rFonts w:ascii="Times New Roman" w:hAnsi="Times New Roman"/>
                      <w:color w:val="auto"/>
                      <w:kern w:val="0"/>
                      <w:szCs w:val="21"/>
                      <w:lang w:bidi="ar"/>
                    </w:rPr>
                  </w:pPr>
                  <w:r>
                    <w:rPr>
                      <w:rFonts w:ascii="Times New Roman" w:hAnsi="Times New Roman"/>
                      <w:color w:val="auto"/>
                    </w:rPr>
                    <w:t>解析气缓冲罐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1座</w:t>
                  </w:r>
                </w:p>
              </w:tc>
              <w:tc>
                <w:tcPr>
                  <w:tcW w:w="1602" w:type="pct"/>
                  <w:vAlign w:val="center"/>
                </w:tcPr>
                <w:p>
                  <w:pPr>
                    <w:jc w:val="center"/>
                    <w:rPr>
                      <w:rFonts w:ascii="Times New Roman" w:hAnsi="Times New Roman"/>
                      <w:color w:val="auto"/>
                      <w:kern w:val="0"/>
                      <w:szCs w:val="21"/>
                      <w:lang w:bidi="ar"/>
                    </w:rPr>
                  </w:pPr>
                  <w:r>
                    <w:rPr>
                      <w:rFonts w:hint="eastAsia" w:ascii="Times New Roman" w:hAnsi="Times New Roman"/>
                      <w:color w:val="auto"/>
                      <w:kern w:val="0"/>
                      <w:szCs w:val="21"/>
                      <w:lang w:bidi="ar"/>
                    </w:rPr>
                    <w:t>15</w:t>
                  </w:r>
                  <w:r>
                    <w:rPr>
                      <w:rFonts w:ascii="Times New Roman" w:hAnsi="Times New Roman"/>
                      <w:color w:val="auto"/>
                      <w:kern w:val="0"/>
                      <w:szCs w:val="21"/>
                      <w:lang w:bidi="ar"/>
                    </w:rPr>
                    <w:t>m³</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螺杆压缩机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7</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真空泵</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3台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1080m</w:t>
                  </w:r>
                  <w:r>
                    <w:rPr>
                      <w:rFonts w:ascii="Times New Roman" w:hAnsi="Times New Roman"/>
                      <w:color w:val="auto"/>
                      <w:kern w:val="0"/>
                      <w:szCs w:val="21"/>
                      <w:vertAlign w:val="superscript"/>
                      <w:lang w:bidi="ar"/>
                    </w:rPr>
                    <w:t>3</w:t>
                  </w:r>
                  <w:r>
                    <w:rPr>
                      <w:rFonts w:ascii="Times New Roman" w:hAnsi="Times New Roman"/>
                      <w:color w:val="auto"/>
                      <w:kern w:val="0"/>
                      <w:szCs w:val="21"/>
                      <w:lang w:bidi="ar"/>
                    </w:rPr>
                    <w:t>/h，CS</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8</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粗氦加热器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Align w:val="center"/>
                </w:tcPr>
                <w:p>
                  <w:pPr>
                    <w:jc w:val="center"/>
                    <w:rPr>
                      <w:rFonts w:ascii="Times New Roman" w:hAnsi="Times New Roman"/>
                      <w:color w:val="auto"/>
                      <w:kern w:val="0"/>
                      <w:szCs w:val="21"/>
                      <w:lang w:bidi="ar"/>
                    </w:rPr>
                  </w:pPr>
                  <w:r>
                    <w:rPr>
                      <w:rFonts w:ascii="Times New Roman" w:hAnsi="Times New Roman"/>
                      <w:color w:val="auto"/>
                    </w:rPr>
                    <w:t>/</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活塞压缩机（1用1备）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9</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膜分离装置</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60Nm³/h</w:t>
                  </w:r>
                  <w:r>
                    <w:rPr>
                      <w:rFonts w:hint="eastAsia" w:ascii="Times New Roman" w:hAnsi="Times New Roman"/>
                      <w:color w:val="auto"/>
                      <w:kern w:val="0"/>
                      <w:szCs w:val="21"/>
                      <w:lang w:bidi="ar"/>
                    </w:rPr>
                    <w:t>，</w:t>
                  </w:r>
                  <w:r>
                    <w:rPr>
                      <w:rFonts w:ascii="Times New Roman" w:hAnsi="Times New Roman"/>
                      <w:color w:val="auto"/>
                      <w:kern w:val="0"/>
                      <w:szCs w:val="21"/>
                      <w:lang w:bidi="ar"/>
                    </w:rPr>
                    <w:t>1.6MPag，出气纯度：HE≥95%</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10</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级间氦气缓冲罐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1座</w:t>
                  </w:r>
                </w:p>
              </w:tc>
              <w:tc>
                <w:tcPr>
                  <w:tcW w:w="1602" w:type="pct"/>
                  <w:vAlign w:val="center"/>
                </w:tcPr>
                <w:p>
                  <w:pPr>
                    <w:jc w:val="center"/>
                    <w:rPr>
                      <w:rFonts w:ascii="Times New Roman" w:hAnsi="Times New Roman"/>
                      <w:color w:val="auto"/>
                    </w:rPr>
                  </w:pPr>
                  <w:r>
                    <w:rPr>
                      <w:rFonts w:hint="eastAsia" w:ascii="Times New Roman" w:hAnsi="Times New Roman"/>
                      <w:color w:val="auto"/>
                      <w:kern w:val="0"/>
                      <w:szCs w:val="21"/>
                      <w:lang w:bidi="ar"/>
                    </w:rPr>
                    <w:t>20L</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11</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jc w:val="center"/>
                    <w:rPr>
                      <w:rFonts w:ascii="Times New Roman" w:hAnsi="Times New Roman"/>
                      <w:color w:val="auto"/>
                    </w:rPr>
                  </w:pPr>
                  <w:r>
                    <w:rPr>
                      <w:rFonts w:ascii="Times New Roman" w:hAnsi="Times New Roman"/>
                      <w:color w:val="auto"/>
                      <w:kern w:val="0"/>
                      <w:szCs w:val="21"/>
                      <w:lang w:bidi="ar"/>
                    </w:rPr>
                    <w:t>尾气回流压缩机</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30Nm³/h</w:t>
                  </w:r>
                  <w:r>
                    <w:rPr>
                      <w:rFonts w:hint="eastAsia" w:ascii="Times New Roman" w:hAnsi="Times New Roman"/>
                      <w:color w:val="auto"/>
                      <w:kern w:val="0"/>
                      <w:szCs w:val="21"/>
                      <w:lang w:bidi="ar"/>
                    </w:rPr>
                    <w:t>，</w:t>
                  </w:r>
                  <w:r>
                    <w:rPr>
                      <w:rFonts w:ascii="Times New Roman" w:hAnsi="Times New Roman"/>
                      <w:color w:val="auto"/>
                      <w:kern w:val="0"/>
                      <w:szCs w:val="21"/>
                      <w:lang w:bidi="ar"/>
                    </w:rPr>
                    <w:t>1.6MPa</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螺杆压缩机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12</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管道及附件</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Align w:val="center"/>
                </w:tcPr>
                <w:p>
                  <w:pPr>
                    <w:pStyle w:val="2"/>
                    <w:ind w:firstLine="0" w:firstLineChars="0"/>
                    <w:jc w:val="center"/>
                    <w:rPr>
                      <w:rFonts w:ascii="Times New Roman" w:hAnsi="Times New Roman"/>
                      <w:color w:val="auto"/>
                    </w:rPr>
                  </w:pPr>
                  <w:r>
                    <w:rPr>
                      <w:rFonts w:ascii="Times New Roman" w:hAnsi="Times New Roman"/>
                      <w:color w:val="auto"/>
                    </w:rPr>
                    <w:t>/</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13</w:t>
                  </w:r>
                </w:p>
              </w:tc>
              <w:tc>
                <w:tcPr>
                  <w:tcW w:w="390" w:type="pct"/>
                  <w:vMerge w:val="restart"/>
                  <w:vAlign w:val="center"/>
                </w:tcPr>
                <w:p>
                  <w:pPr>
                    <w:pStyle w:val="2"/>
                    <w:ind w:firstLine="0" w:firstLineChars="0"/>
                    <w:rPr>
                      <w:rFonts w:ascii="Times New Roman" w:hAnsi="Times New Roman"/>
                      <w:color w:val="auto"/>
                    </w:rPr>
                  </w:pPr>
                  <w:r>
                    <w:rPr>
                      <w:rFonts w:ascii="Times New Roman" w:hAnsi="Times New Roman"/>
                      <w:color w:val="auto"/>
                    </w:rPr>
                    <w:t>催化脱氢单元</w:t>
                  </w: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级间氦气缓冲罐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1座</w:t>
                  </w:r>
                </w:p>
              </w:tc>
              <w:tc>
                <w:tcPr>
                  <w:tcW w:w="1602" w:type="pct"/>
                  <w:vAlign w:val="center"/>
                </w:tcPr>
                <w:p>
                  <w:pPr>
                    <w:jc w:val="center"/>
                    <w:rPr>
                      <w:rFonts w:ascii="Times New Roman" w:hAnsi="Times New Roman"/>
                      <w:color w:val="auto"/>
                      <w:kern w:val="0"/>
                      <w:szCs w:val="21"/>
                      <w:lang w:bidi="ar"/>
                    </w:rPr>
                  </w:pPr>
                  <w:r>
                    <w:rPr>
                      <w:rFonts w:hint="eastAsia" w:ascii="Times New Roman" w:hAnsi="Times New Roman"/>
                      <w:color w:val="auto"/>
                      <w:kern w:val="0"/>
                      <w:szCs w:val="21"/>
                      <w:lang w:bidi="ar"/>
                    </w:rPr>
                    <w:t>20L</w:t>
                  </w:r>
                </w:p>
              </w:tc>
              <w:tc>
                <w:tcPr>
                  <w:tcW w:w="964" w:type="pct"/>
                  <w:vMerge w:val="restart"/>
                  <w:vAlign w:val="center"/>
                </w:tcPr>
                <w:p>
                  <w:pPr>
                    <w:pStyle w:val="2"/>
                    <w:ind w:firstLine="0" w:firstLineChars="0"/>
                    <w:jc w:val="center"/>
                    <w:rPr>
                      <w:rFonts w:ascii="Times New Roman" w:hAnsi="Times New Roman"/>
                      <w:color w:val="auto"/>
                    </w:rPr>
                  </w:pPr>
                  <w:r>
                    <w:rPr>
                      <w:rFonts w:ascii="Times New Roman" w:hAnsi="Times New Roman"/>
                      <w:color w:val="auto"/>
                      <w:kern w:val="0"/>
                      <w:szCs w:val="21"/>
                      <w:lang w:bidi="ar"/>
                    </w:rPr>
                    <w:t>4m×2.2m</w:t>
                  </w: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14</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循环压缩机</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450Nm³/h</w:t>
                  </w:r>
                  <w:r>
                    <w:rPr>
                      <w:rFonts w:hint="eastAsia" w:ascii="Times New Roman" w:hAnsi="Times New Roman"/>
                      <w:color w:val="auto"/>
                      <w:kern w:val="0"/>
                      <w:szCs w:val="21"/>
                      <w:lang w:bidi="ar"/>
                    </w:rPr>
                    <w:t>，</w:t>
                  </w:r>
                  <w:r>
                    <w:rPr>
                      <w:rFonts w:ascii="Times New Roman" w:hAnsi="Times New Roman"/>
                      <w:color w:val="auto"/>
                      <w:kern w:val="0"/>
                      <w:szCs w:val="21"/>
                      <w:lang w:bidi="ar"/>
                    </w:rPr>
                    <w:t>0.6MPa</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15</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催化反应集成装置</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Merge w:val="restart"/>
                  <w:vAlign w:val="center"/>
                </w:tcPr>
                <w:p>
                  <w:pPr>
                    <w:jc w:val="center"/>
                    <w:rPr>
                      <w:rFonts w:ascii="Times New Roman" w:hAnsi="Times New Roman"/>
                      <w:color w:val="auto"/>
                    </w:rPr>
                  </w:pPr>
                  <w:r>
                    <w:rPr>
                      <w:rFonts w:ascii="Times New Roman" w:hAnsi="Times New Roman"/>
                      <w:color w:val="auto"/>
                      <w:kern w:val="0"/>
                      <w:szCs w:val="21"/>
                      <w:lang w:bidi="ar"/>
                    </w:rPr>
                    <w:t>30Nm³/h</w:t>
                  </w:r>
                  <w:r>
                    <w:rPr>
                      <w:rFonts w:hint="eastAsia" w:ascii="Times New Roman" w:hAnsi="Times New Roman"/>
                      <w:color w:val="auto"/>
                      <w:kern w:val="0"/>
                      <w:szCs w:val="21"/>
                      <w:lang w:bidi="ar"/>
                    </w:rPr>
                    <w:t>，</w:t>
                  </w:r>
                  <w:r>
                    <w:rPr>
                      <w:rFonts w:ascii="Times New Roman" w:hAnsi="Times New Roman"/>
                      <w:color w:val="auto"/>
                      <w:kern w:val="0"/>
                      <w:szCs w:val="21"/>
                      <w:lang w:bidi="ar"/>
                    </w:rPr>
                    <w:t>1MPa，进气氢含量小于24%，出气氢含量≤1ppm</w:t>
                  </w:r>
                </w:p>
              </w:tc>
              <w:tc>
                <w:tcPr>
                  <w:tcW w:w="964" w:type="pct"/>
                  <w:vMerge w:val="restart"/>
                  <w:vAlign w:val="center"/>
                </w:tcPr>
                <w:p>
                  <w:pPr>
                    <w:pStyle w:val="2"/>
                    <w:ind w:firstLine="0" w:firstLineChars="0"/>
                    <w:jc w:val="center"/>
                    <w:rPr>
                      <w:rFonts w:ascii="Times New Roman" w:hAnsi="Times New Roman"/>
                      <w:color w:val="auto"/>
                    </w:rPr>
                  </w:pPr>
                  <w:r>
                    <w:rPr>
                      <w:rFonts w:ascii="Times New Roman" w:hAnsi="Times New Roman"/>
                      <w:color w:val="auto"/>
                      <w:kern w:val="0"/>
                      <w:szCs w:val="21"/>
                      <w:lang w:bidi="ar"/>
                    </w:rPr>
                    <w:t>5m×3m</w:t>
                  </w: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16</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吸附干燥器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17</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水冷却器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18</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气液分离器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19</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管道及附件</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20</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液氧罐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10m³</w:t>
                  </w:r>
                  <w:r>
                    <w:rPr>
                      <w:rFonts w:hint="eastAsia" w:ascii="Times New Roman" w:hAnsi="Times New Roman"/>
                      <w:color w:val="auto"/>
                      <w:kern w:val="0"/>
                      <w:szCs w:val="21"/>
                      <w:lang w:bidi="ar"/>
                    </w:rPr>
                    <w:t>，</w:t>
                  </w:r>
                  <w:r>
                    <w:rPr>
                      <w:rFonts w:ascii="Times New Roman" w:hAnsi="Times New Roman"/>
                      <w:color w:val="auto"/>
                      <w:kern w:val="0"/>
                      <w:szCs w:val="21"/>
                      <w:lang w:bidi="ar"/>
                    </w:rPr>
                    <w:t>2MPa</w:t>
                  </w:r>
                </w:p>
              </w:tc>
              <w:tc>
                <w:tcPr>
                  <w:tcW w:w="964" w:type="pct"/>
                  <w:vAlign w:val="center"/>
                </w:tcPr>
                <w:p>
                  <w:pPr>
                    <w:jc w:val="center"/>
                    <w:rPr>
                      <w:rFonts w:ascii="Times New Roman" w:hAnsi="Times New Roman"/>
                      <w:color w:val="auto"/>
                    </w:rPr>
                  </w:pPr>
                  <w:r>
                    <w:rPr>
                      <w:rFonts w:ascii="Times New Roman" w:hAnsi="Times New Roman"/>
                      <w:color w:val="auto"/>
                      <w:kern w:val="0"/>
                      <w:szCs w:val="21"/>
                      <w:lang w:bidi="ar"/>
                    </w:rPr>
                    <w:t>2.5m×2.5 m</w:t>
                  </w: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含汽化器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21</w:t>
                  </w:r>
                </w:p>
              </w:tc>
              <w:tc>
                <w:tcPr>
                  <w:tcW w:w="390" w:type="pct"/>
                  <w:vMerge w:val="restart"/>
                  <w:vAlign w:val="center"/>
                </w:tcPr>
                <w:p>
                  <w:pPr>
                    <w:pStyle w:val="2"/>
                    <w:ind w:firstLine="0" w:firstLineChars="0"/>
                    <w:rPr>
                      <w:rFonts w:ascii="Times New Roman" w:hAnsi="Times New Roman"/>
                      <w:color w:val="auto"/>
                    </w:rPr>
                  </w:pPr>
                  <w:r>
                    <w:rPr>
                      <w:rFonts w:ascii="Times New Roman" w:hAnsi="Times New Roman"/>
                      <w:color w:val="auto"/>
                    </w:rPr>
                    <w:t>氦气精制单元</w:t>
                  </w:r>
                </w:p>
              </w:tc>
              <w:tc>
                <w:tcPr>
                  <w:tcW w:w="766" w:type="pct"/>
                  <w:vAlign w:val="center"/>
                </w:tcPr>
                <w:p>
                  <w:pPr>
                    <w:jc w:val="center"/>
                    <w:rPr>
                      <w:rFonts w:ascii="Times New Roman" w:hAnsi="Times New Roman"/>
                      <w:color w:val="auto"/>
                      <w:kern w:val="0"/>
                      <w:szCs w:val="21"/>
                      <w:lang w:bidi="ar"/>
                    </w:rPr>
                  </w:pPr>
                  <w:r>
                    <w:rPr>
                      <w:rFonts w:ascii="Times New Roman" w:hAnsi="Times New Roman"/>
                      <w:color w:val="auto"/>
                      <w:kern w:val="0"/>
                      <w:szCs w:val="21"/>
                      <w:lang w:bidi="ar"/>
                    </w:rPr>
                    <w:t>进气缓冲罐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2座</w:t>
                  </w:r>
                </w:p>
              </w:tc>
              <w:tc>
                <w:tcPr>
                  <w:tcW w:w="1602" w:type="pct"/>
                  <w:vAlign w:val="center"/>
                </w:tcPr>
                <w:p>
                  <w:pPr>
                    <w:jc w:val="center"/>
                    <w:rPr>
                      <w:rFonts w:ascii="Times New Roman" w:hAnsi="Times New Roman"/>
                      <w:color w:val="auto"/>
                      <w:kern w:val="0"/>
                      <w:szCs w:val="21"/>
                      <w:lang w:bidi="ar"/>
                    </w:rPr>
                  </w:pPr>
                  <w:r>
                    <w:rPr>
                      <w:rFonts w:hint="eastAsia" w:ascii="Times New Roman" w:hAnsi="Times New Roman"/>
                      <w:color w:val="auto"/>
                      <w:kern w:val="0"/>
                      <w:szCs w:val="21"/>
                      <w:lang w:bidi="ar"/>
                    </w:rPr>
                    <w:t>4</w:t>
                  </w:r>
                  <w:r>
                    <w:rPr>
                      <w:rFonts w:ascii="Times New Roman" w:hAnsi="Times New Roman"/>
                      <w:color w:val="auto"/>
                      <w:kern w:val="0"/>
                      <w:szCs w:val="21"/>
                      <w:lang w:bidi="ar"/>
                    </w:rPr>
                    <w:t>m³</w:t>
                  </w:r>
                </w:p>
              </w:tc>
              <w:tc>
                <w:tcPr>
                  <w:tcW w:w="964" w:type="pct"/>
                  <w:vMerge w:val="restart"/>
                  <w:vAlign w:val="center"/>
                </w:tcPr>
                <w:p>
                  <w:pPr>
                    <w:pStyle w:val="2"/>
                    <w:ind w:firstLine="0" w:firstLineChars="0"/>
                    <w:jc w:val="center"/>
                    <w:rPr>
                      <w:rFonts w:ascii="Times New Roman" w:hAnsi="Times New Roman"/>
                      <w:color w:val="auto"/>
                    </w:rPr>
                  </w:pPr>
                  <w:r>
                    <w:rPr>
                      <w:rFonts w:ascii="Times New Roman" w:hAnsi="Times New Roman"/>
                      <w:color w:val="auto"/>
                      <w:kern w:val="0"/>
                      <w:szCs w:val="21"/>
                      <w:lang w:bidi="ar"/>
                    </w:rPr>
                    <w:t>2.2m×2m</w:t>
                  </w:r>
                </w:p>
                <w:p>
                  <w:pPr>
                    <w:pStyle w:val="2"/>
                    <w:ind w:firstLine="0" w:firstLineChars="0"/>
                    <w:jc w:val="center"/>
                    <w:rPr>
                      <w:rFonts w:ascii="Times New Roman" w:hAnsi="Times New Roman"/>
                      <w:color w:val="auto"/>
                    </w:rPr>
                  </w:pPr>
                  <w:r>
                    <w:rPr>
                      <w:rFonts w:ascii="Times New Roman" w:hAnsi="Times New Roman"/>
                      <w:color w:val="auto"/>
                      <w:kern w:val="0"/>
                      <w:szCs w:val="21"/>
                      <w:lang w:bidi="ar"/>
                    </w:rPr>
                    <w:t>(单台)</w:t>
                  </w: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22</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jc w:val="center"/>
                    <w:rPr>
                      <w:rFonts w:ascii="Times New Roman" w:hAnsi="Times New Roman"/>
                      <w:color w:val="auto"/>
                    </w:rPr>
                  </w:pPr>
                  <w:r>
                    <w:rPr>
                      <w:rFonts w:ascii="Times New Roman" w:hAnsi="Times New Roman"/>
                      <w:color w:val="auto"/>
                      <w:kern w:val="0"/>
                      <w:szCs w:val="21"/>
                      <w:lang w:bidi="ar"/>
                    </w:rPr>
                    <w:t>增压压缩机（1+1）</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35Nm³/h</w:t>
                  </w:r>
                  <w:r>
                    <w:rPr>
                      <w:rFonts w:hint="eastAsia" w:ascii="Times New Roman" w:hAnsi="Times New Roman"/>
                      <w:color w:val="auto"/>
                      <w:kern w:val="0"/>
                      <w:szCs w:val="21"/>
                      <w:lang w:bidi="ar"/>
                    </w:rPr>
                    <w:t>，</w:t>
                  </w:r>
                  <w:r>
                    <w:rPr>
                      <w:rFonts w:ascii="Times New Roman" w:hAnsi="Times New Roman"/>
                      <w:color w:val="auto"/>
                      <w:kern w:val="0"/>
                      <w:szCs w:val="21"/>
                      <w:lang w:bidi="ar"/>
                    </w:rPr>
                    <w:t>21MPa</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活塞压缩机（1用1备）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23</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干燥器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restart"/>
                  <w:vAlign w:val="center"/>
                </w:tcPr>
                <w:p>
                  <w:pPr>
                    <w:jc w:val="center"/>
                    <w:rPr>
                      <w:rFonts w:ascii="Times New Roman" w:hAnsi="Times New Roman"/>
                      <w:color w:val="auto"/>
                      <w:kern w:val="0"/>
                      <w:szCs w:val="21"/>
                      <w:lang w:bidi="ar"/>
                    </w:rPr>
                  </w:pPr>
                  <w:r>
                    <w:rPr>
                      <w:rFonts w:ascii="Times New Roman" w:hAnsi="Times New Roman"/>
                      <w:color w:val="auto"/>
                      <w:kern w:val="0"/>
                      <w:szCs w:val="21"/>
                      <w:lang w:bidi="ar"/>
                    </w:rPr>
                    <w:t>50Nm³/h</w:t>
                  </w:r>
                  <w:r>
                    <w:rPr>
                      <w:rFonts w:hint="eastAsia" w:ascii="Times New Roman" w:hAnsi="Times New Roman"/>
                      <w:color w:val="auto"/>
                      <w:kern w:val="0"/>
                      <w:szCs w:val="21"/>
                      <w:lang w:bidi="ar"/>
                    </w:rPr>
                    <w:t>，</w:t>
                  </w:r>
                  <w:r>
                    <w:rPr>
                      <w:rFonts w:ascii="Times New Roman" w:hAnsi="Times New Roman"/>
                      <w:color w:val="auto"/>
                      <w:kern w:val="0"/>
                      <w:szCs w:val="21"/>
                      <w:lang w:bidi="ar"/>
                    </w:rPr>
                    <w:t>22MPa，出气氦含量≥99.999%</w:t>
                  </w:r>
                </w:p>
              </w:tc>
              <w:tc>
                <w:tcPr>
                  <w:tcW w:w="964" w:type="pct"/>
                  <w:vMerge w:val="restart"/>
                  <w:vAlign w:val="center"/>
                </w:tcPr>
                <w:p>
                  <w:pPr>
                    <w:pStyle w:val="2"/>
                    <w:ind w:firstLine="0" w:firstLineChars="0"/>
                    <w:jc w:val="center"/>
                    <w:rPr>
                      <w:rFonts w:ascii="Times New Roman" w:hAnsi="Times New Roman"/>
                      <w:color w:val="auto"/>
                      <w:kern w:val="0"/>
                      <w:szCs w:val="21"/>
                      <w:lang w:bidi="ar"/>
                    </w:rPr>
                  </w:pPr>
                  <w:r>
                    <w:rPr>
                      <w:rFonts w:ascii="Times New Roman" w:hAnsi="Times New Roman"/>
                      <w:color w:val="auto"/>
                      <w:kern w:val="0"/>
                      <w:szCs w:val="21"/>
                      <w:lang w:bidi="ar"/>
                    </w:rPr>
                    <w:t>10m×4m</w:t>
                  </w: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24</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高压换热器冷箱</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2座</w:t>
                  </w:r>
                </w:p>
              </w:tc>
              <w:tc>
                <w:tcPr>
                  <w:tcW w:w="1602" w:type="pct"/>
                  <w:vMerge w:val="continue"/>
                  <w:vAlign w:val="center"/>
                </w:tcPr>
                <w:p>
                  <w:pPr>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25</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低温纯化器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26</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氦气水浴汽化器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27</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氮气水浴汽化器</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28</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氮气抽空泵</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29</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活化真空泵</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30</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气囊</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31</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管道及附件</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32</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液氮泵</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2m³/h，扬程70m</w:t>
                  </w: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33</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液氮罐</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1座</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20m³</w:t>
                  </w:r>
                  <w:r>
                    <w:rPr>
                      <w:rFonts w:hint="eastAsia" w:ascii="Times New Roman" w:hAnsi="Times New Roman"/>
                      <w:color w:val="auto"/>
                      <w:kern w:val="0"/>
                      <w:szCs w:val="21"/>
                      <w:lang w:bidi="ar"/>
                    </w:rPr>
                    <w:t>，</w:t>
                  </w:r>
                  <w:r>
                    <w:rPr>
                      <w:rFonts w:ascii="Times New Roman" w:hAnsi="Times New Roman"/>
                      <w:color w:val="auto"/>
                      <w:kern w:val="0"/>
                      <w:szCs w:val="21"/>
                      <w:lang w:bidi="ar"/>
                    </w:rPr>
                    <w:t>0.8MPa</w:t>
                  </w:r>
                </w:p>
              </w:tc>
              <w:tc>
                <w:tcPr>
                  <w:tcW w:w="964" w:type="pct"/>
                  <w:vAlign w:val="center"/>
                </w:tcPr>
                <w:p>
                  <w:pPr>
                    <w:jc w:val="center"/>
                    <w:rPr>
                      <w:rFonts w:ascii="Times New Roman" w:hAnsi="Times New Roman"/>
                      <w:color w:val="auto"/>
                    </w:rPr>
                  </w:pPr>
                  <w:r>
                    <w:rPr>
                      <w:rFonts w:ascii="Times New Roman" w:hAnsi="Times New Roman"/>
                      <w:color w:val="auto"/>
                      <w:kern w:val="0"/>
                      <w:szCs w:val="21"/>
                      <w:lang w:bidi="ar"/>
                    </w:rPr>
                    <w:t>3m×3m</w:t>
                  </w: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含汽化器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34</w:t>
                  </w:r>
                </w:p>
              </w:tc>
              <w:tc>
                <w:tcPr>
                  <w:tcW w:w="390" w:type="pct"/>
                  <w:vMerge w:val="restart"/>
                  <w:vAlign w:val="center"/>
                </w:tcPr>
                <w:p>
                  <w:pPr>
                    <w:pStyle w:val="2"/>
                    <w:ind w:firstLine="0" w:firstLineChars="0"/>
                    <w:jc w:val="center"/>
                    <w:rPr>
                      <w:rFonts w:ascii="Times New Roman" w:hAnsi="Times New Roman"/>
                      <w:color w:val="auto"/>
                    </w:rPr>
                  </w:pPr>
                  <w:r>
                    <w:rPr>
                      <w:rFonts w:ascii="Times New Roman" w:hAnsi="Times New Roman"/>
                      <w:color w:val="auto"/>
                    </w:rPr>
                    <w:t>充装单元</w:t>
                  </w: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机械真空泵（1+1）</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2台</w:t>
                  </w:r>
                </w:p>
              </w:tc>
              <w:tc>
                <w:tcPr>
                  <w:tcW w:w="1602" w:type="pct"/>
                  <w:vMerge w:val="restart"/>
                  <w:vAlign w:val="center"/>
                </w:tcPr>
                <w:p>
                  <w:pPr>
                    <w:jc w:val="center"/>
                    <w:rPr>
                      <w:rFonts w:ascii="Times New Roman" w:hAnsi="Times New Roman"/>
                      <w:color w:val="auto"/>
                    </w:rPr>
                  </w:pPr>
                  <w:r>
                    <w:rPr>
                      <w:rFonts w:ascii="Times New Roman" w:hAnsi="Times New Roman"/>
                      <w:color w:val="auto"/>
                      <w:kern w:val="0"/>
                      <w:szCs w:val="21"/>
                      <w:lang w:bidi="ar"/>
                    </w:rPr>
                    <w:t>设计压力：22MPa</w:t>
                  </w:r>
                </w:p>
              </w:tc>
              <w:tc>
                <w:tcPr>
                  <w:tcW w:w="964" w:type="pct"/>
                  <w:vMerge w:val="restart"/>
                  <w:vAlign w:val="center"/>
                </w:tcPr>
                <w:p>
                  <w:pPr>
                    <w:jc w:val="center"/>
                    <w:rPr>
                      <w:rFonts w:ascii="Times New Roman" w:hAnsi="Times New Roman"/>
                      <w:color w:val="auto"/>
                    </w:rPr>
                  </w:pPr>
                  <w:r>
                    <w:rPr>
                      <w:rFonts w:ascii="Times New Roman" w:hAnsi="Times New Roman"/>
                      <w:color w:val="auto"/>
                      <w:kern w:val="0"/>
                      <w:szCs w:val="21"/>
                      <w:lang w:bidi="ar"/>
                    </w:rPr>
                    <w:t>2m×3m</w:t>
                  </w:r>
                </w:p>
              </w:tc>
              <w:tc>
                <w:tcPr>
                  <w:tcW w:w="608" w:type="pct"/>
                  <w:vAlign w:val="center"/>
                </w:tcPr>
                <w:p>
                  <w:pPr>
                    <w:pStyle w:val="2"/>
                    <w:ind w:firstLine="0" w:firstLineChars="0"/>
                    <w:jc w:val="center"/>
                    <w:rPr>
                      <w:rFonts w:ascii="Times New Roman" w:hAnsi="Times New Roman"/>
                      <w:color w:val="auto"/>
                    </w:rPr>
                  </w:pPr>
                  <w:r>
                    <w:rPr>
                      <w:rFonts w:ascii="Times New Roman" w:hAnsi="Times New Roman"/>
                      <w:color w:val="auto"/>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ascii="Times New Roman" w:hAnsi="Times New Roman"/>
                      <w:color w:val="auto"/>
                    </w:rPr>
                    <w:t>35</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充装汇流排</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36</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高压缓存钢瓶组</w:t>
                  </w:r>
                </w:p>
              </w:tc>
              <w:tc>
                <w:tcPr>
                  <w:tcW w:w="333"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若干</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37</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管道及附件</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1套</w:t>
                  </w:r>
                </w:p>
              </w:tc>
              <w:tc>
                <w:tcPr>
                  <w:tcW w:w="1602" w:type="pct"/>
                  <w:vMerge w:val="continue"/>
                  <w:vAlign w:val="center"/>
                </w:tcPr>
                <w:p>
                  <w:pPr>
                    <w:pStyle w:val="2"/>
                    <w:ind w:firstLine="0" w:firstLineChars="0"/>
                    <w:jc w:val="center"/>
                    <w:rPr>
                      <w:rFonts w:ascii="Times New Roman" w:hAnsi="Times New Roman"/>
                      <w:color w:val="auto"/>
                    </w:rPr>
                  </w:pPr>
                </w:p>
              </w:tc>
              <w:tc>
                <w:tcPr>
                  <w:tcW w:w="964" w:type="pct"/>
                  <w:vMerge w:val="continue"/>
                  <w:vAlign w:val="center"/>
                </w:tcPr>
                <w:p>
                  <w:pPr>
                    <w:pStyle w:val="2"/>
                    <w:ind w:firstLine="0" w:firstLineChars="0"/>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38</w:t>
                  </w:r>
                </w:p>
              </w:tc>
              <w:tc>
                <w:tcPr>
                  <w:tcW w:w="390" w:type="pct"/>
                  <w:vMerge w:val="restart"/>
                  <w:vAlign w:val="center"/>
                </w:tcPr>
                <w:p>
                  <w:pPr>
                    <w:pStyle w:val="2"/>
                    <w:ind w:firstLine="0" w:firstLineChars="0"/>
                    <w:jc w:val="center"/>
                    <w:rPr>
                      <w:rFonts w:ascii="Times New Roman" w:hAnsi="Times New Roman"/>
                      <w:color w:val="auto"/>
                    </w:rPr>
                  </w:pPr>
                  <w:r>
                    <w:rPr>
                      <w:rFonts w:ascii="Times New Roman" w:hAnsi="Times New Roman"/>
                      <w:color w:val="auto"/>
                    </w:rPr>
                    <w:t>其它</w:t>
                  </w: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色谱仪</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1台</w:t>
                  </w:r>
                </w:p>
              </w:tc>
              <w:tc>
                <w:tcPr>
                  <w:tcW w:w="1602" w:type="pct"/>
                  <w:vAlign w:val="center"/>
                </w:tcPr>
                <w:p>
                  <w:pPr>
                    <w:pStyle w:val="2"/>
                    <w:ind w:firstLine="0" w:firstLineChars="0"/>
                    <w:jc w:val="center"/>
                    <w:rPr>
                      <w:rFonts w:ascii="Times New Roman" w:hAnsi="Times New Roman"/>
                      <w:color w:val="auto"/>
                    </w:rPr>
                  </w:pPr>
                  <w:r>
                    <w:rPr>
                      <w:rFonts w:ascii="Times New Roman" w:hAnsi="Times New Roman"/>
                      <w:color w:val="auto"/>
                    </w:rPr>
                    <w:t>高纯氦气气相色谱仪</w:t>
                  </w:r>
                </w:p>
              </w:tc>
              <w:tc>
                <w:tcPr>
                  <w:tcW w:w="964" w:type="pct"/>
                  <w:vMerge w:val="restart"/>
                  <w:vAlign w:val="center"/>
                </w:tcPr>
                <w:p>
                  <w:pPr>
                    <w:jc w:val="center"/>
                    <w:rPr>
                      <w:rFonts w:ascii="Times New Roman" w:hAnsi="Times New Roman"/>
                      <w:color w:val="auto"/>
                    </w:rPr>
                  </w:pPr>
                  <w:r>
                    <w:rPr>
                      <w:rFonts w:ascii="Times New Roman" w:hAnsi="Times New Roman"/>
                      <w:color w:val="auto"/>
                      <w:kern w:val="0"/>
                      <w:szCs w:val="21"/>
                      <w:lang w:bidi="ar"/>
                    </w:rPr>
                    <w:t>2m×2m</w:t>
                  </w:r>
                </w:p>
              </w:tc>
              <w:tc>
                <w:tcPr>
                  <w:tcW w:w="608" w:type="pct"/>
                  <w:vAlign w:val="center"/>
                </w:tcPr>
                <w:p>
                  <w:pPr>
                    <w:pStyle w:val="2"/>
                    <w:ind w:firstLine="0" w:firstLineChars="0"/>
                    <w:jc w:val="center"/>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39</w:t>
                  </w:r>
                </w:p>
              </w:tc>
              <w:tc>
                <w:tcPr>
                  <w:tcW w:w="390" w:type="pct"/>
                  <w:vMerge w:val="continue"/>
                  <w:vAlign w:val="center"/>
                </w:tcPr>
                <w:p>
                  <w:pPr>
                    <w:pStyle w:val="2"/>
                    <w:ind w:firstLine="0" w:firstLineChars="0"/>
                    <w:jc w:val="center"/>
                    <w:rPr>
                      <w:rFonts w:ascii="Times New Roman" w:hAnsi="Times New Roman"/>
                      <w:color w:val="auto"/>
                    </w:rPr>
                  </w:pPr>
                </w:p>
              </w:tc>
              <w:tc>
                <w:tcPr>
                  <w:tcW w:w="766" w:type="pct"/>
                  <w:vAlign w:val="center"/>
                </w:tcPr>
                <w:p>
                  <w:pPr>
                    <w:pStyle w:val="2"/>
                    <w:ind w:firstLine="0" w:firstLineChars="0"/>
                    <w:jc w:val="center"/>
                    <w:rPr>
                      <w:rFonts w:ascii="Times New Roman" w:hAnsi="Times New Roman"/>
                      <w:color w:val="auto"/>
                    </w:rPr>
                  </w:pPr>
                  <w:r>
                    <w:rPr>
                      <w:rFonts w:ascii="Times New Roman" w:hAnsi="Times New Roman"/>
                      <w:color w:val="auto"/>
                    </w:rPr>
                    <w:t>分析实验室</w:t>
                  </w:r>
                </w:p>
              </w:tc>
              <w:tc>
                <w:tcPr>
                  <w:tcW w:w="333" w:type="pct"/>
                  <w:vAlign w:val="center"/>
                </w:tcPr>
                <w:p>
                  <w:pPr>
                    <w:pStyle w:val="2"/>
                    <w:ind w:firstLine="0" w:firstLineChars="0"/>
                    <w:jc w:val="center"/>
                    <w:rPr>
                      <w:rFonts w:ascii="Times New Roman" w:hAnsi="Times New Roman"/>
                      <w:color w:val="auto"/>
                    </w:rPr>
                  </w:pPr>
                  <w:r>
                    <w:rPr>
                      <w:rFonts w:ascii="Times New Roman" w:hAnsi="Times New Roman"/>
                      <w:color w:val="auto"/>
                    </w:rPr>
                    <w:t>1个</w:t>
                  </w:r>
                </w:p>
              </w:tc>
              <w:tc>
                <w:tcPr>
                  <w:tcW w:w="1602" w:type="pct"/>
                  <w:vAlign w:val="center"/>
                </w:tcPr>
                <w:p>
                  <w:pPr>
                    <w:jc w:val="center"/>
                    <w:rPr>
                      <w:rFonts w:ascii="Times New Roman" w:hAnsi="Times New Roman"/>
                      <w:color w:val="auto"/>
                    </w:rPr>
                  </w:pPr>
                  <w:r>
                    <w:rPr>
                      <w:rFonts w:ascii="Times New Roman" w:hAnsi="Times New Roman"/>
                      <w:color w:val="auto"/>
                      <w:kern w:val="0"/>
                      <w:szCs w:val="21"/>
                      <w:lang w:bidi="ar"/>
                    </w:rPr>
                    <w:t>不锈钢材质</w:t>
                  </w:r>
                </w:p>
              </w:tc>
              <w:tc>
                <w:tcPr>
                  <w:tcW w:w="964" w:type="pct"/>
                  <w:vMerge w:val="continue"/>
                  <w:vAlign w:val="center"/>
                </w:tcPr>
                <w:p>
                  <w:pPr>
                    <w:jc w:val="center"/>
                    <w:rPr>
                      <w:rFonts w:ascii="Times New Roman" w:hAnsi="Times New Roman"/>
                      <w:color w:val="auto"/>
                    </w:rPr>
                  </w:pPr>
                </w:p>
              </w:tc>
              <w:tc>
                <w:tcPr>
                  <w:tcW w:w="608" w:type="pct"/>
                  <w:vAlign w:val="center"/>
                </w:tcPr>
                <w:p>
                  <w:pPr>
                    <w:pStyle w:val="2"/>
                    <w:ind w:firstLine="0" w:firstLineChars="0"/>
                    <w:jc w:val="center"/>
                    <w:rPr>
                      <w:rFonts w:ascii="Times New Roman" w:hAnsi="Times New Roman"/>
                      <w:color w:val="auto"/>
                    </w:rPr>
                  </w:pPr>
                </w:p>
              </w:tc>
            </w:tr>
          </w:tbl>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5、</w:t>
            </w:r>
            <w:r>
              <w:rPr>
                <w:rFonts w:ascii="Times New Roman" w:hAnsi="Times New Roman"/>
                <w:b/>
                <w:bCs/>
                <w:color w:val="auto"/>
                <w:sz w:val="24"/>
                <w:szCs w:val="24"/>
              </w:rPr>
              <w:t>主要原辅材料及能源消耗</w:t>
            </w:r>
          </w:p>
          <w:p>
            <w:pPr>
              <w:widowControl w:val="0"/>
              <w:tabs>
                <w:tab w:val="left" w:pos="4536"/>
              </w:tabs>
              <w:spacing w:line="360" w:lineRule="auto"/>
              <w:ind w:firstLine="480" w:firstLineChars="200"/>
              <w:jc w:val="both"/>
              <w:rPr>
                <w:rFonts w:ascii="Times New Roman" w:hAnsi="Times New Roman"/>
                <w:color w:val="auto"/>
                <w:sz w:val="24"/>
                <w:szCs w:val="24"/>
              </w:rPr>
            </w:pPr>
            <w:r>
              <w:rPr>
                <w:rFonts w:ascii="Times New Roman" w:hAnsi="Times New Roman"/>
                <w:color w:val="auto"/>
                <w:kern w:val="0"/>
                <w:sz w:val="24"/>
                <w:szCs w:val="24"/>
              </w:rPr>
              <w:t>项目原辅材料消耗情况见表</w:t>
            </w:r>
            <w:r>
              <w:rPr>
                <w:rFonts w:hint="eastAsia" w:ascii="Times New Roman" w:hAnsi="Times New Roman"/>
                <w:color w:val="auto"/>
                <w:kern w:val="0"/>
                <w:sz w:val="24"/>
                <w:szCs w:val="24"/>
              </w:rPr>
              <w:t>8</w:t>
            </w:r>
            <w:r>
              <w:rPr>
                <w:rFonts w:ascii="Times New Roman" w:hAnsi="Times New Roman"/>
                <w:color w:val="auto"/>
                <w:kern w:val="0"/>
                <w:sz w:val="24"/>
                <w:szCs w:val="24"/>
              </w:rPr>
              <w:t>。</w:t>
            </w:r>
          </w:p>
          <w:p>
            <w:pPr>
              <w:widowControl w:val="0"/>
              <w:numPr>
                <w:ilvl w:val="0"/>
                <w:numId w:val="13"/>
              </w:numPr>
              <w:jc w:val="center"/>
              <w:rPr>
                <w:rFonts w:ascii="Times New Roman" w:hAnsi="Times New Roman"/>
                <w:b/>
                <w:color w:val="auto"/>
                <w:sz w:val="24"/>
                <w:szCs w:val="24"/>
              </w:rPr>
            </w:pPr>
            <w:r>
              <w:rPr>
                <w:rFonts w:ascii="Times New Roman" w:hAnsi="Times New Roman"/>
                <w:b/>
                <w:color w:val="auto"/>
                <w:sz w:val="24"/>
                <w:szCs w:val="24"/>
              </w:rPr>
              <w:t>主要</w:t>
            </w:r>
            <w:r>
              <w:rPr>
                <w:rFonts w:ascii="Times New Roman" w:hAnsi="Times New Roman"/>
                <w:b/>
                <w:color w:val="auto"/>
                <w:sz w:val="24"/>
                <w:szCs w:val="24"/>
                <w:highlight w:val="none"/>
              </w:rPr>
              <w:t>原辅材料消耗表</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2"/>
              <w:gridCol w:w="1848"/>
              <w:gridCol w:w="1703"/>
              <w:gridCol w:w="1257"/>
              <w:gridCol w:w="1510"/>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序号</w:t>
                  </w:r>
                </w:p>
              </w:tc>
              <w:tc>
                <w:tcPr>
                  <w:tcW w:w="1066"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名称</w:t>
                  </w:r>
                </w:p>
              </w:tc>
              <w:tc>
                <w:tcPr>
                  <w:tcW w:w="982"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规格</w:t>
                  </w:r>
                </w:p>
              </w:tc>
              <w:tc>
                <w:tcPr>
                  <w:tcW w:w="725"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首次填充量</w:t>
                  </w:r>
                </w:p>
              </w:tc>
              <w:tc>
                <w:tcPr>
                  <w:tcW w:w="871"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年消耗量</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1</w:t>
                  </w:r>
                </w:p>
              </w:tc>
              <w:tc>
                <w:tcPr>
                  <w:tcW w:w="1066"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原料气（BOG）</w:t>
                  </w:r>
                </w:p>
              </w:tc>
              <w:tc>
                <w:tcPr>
                  <w:tcW w:w="982"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rPr>
                    <w:t>101.325kPa，0℃</w:t>
                  </w:r>
                </w:p>
              </w:tc>
              <w:tc>
                <w:tcPr>
                  <w:tcW w:w="725" w:type="pct"/>
                  <w:vAlign w:val="center"/>
                </w:tcPr>
                <w:p>
                  <w:pPr>
                    <w:pStyle w:val="160"/>
                    <w:snapToGrid w:val="0"/>
                    <w:jc w:val="center"/>
                    <w:rPr>
                      <w:rFonts w:ascii="Times New Roman" w:hAnsi="Times New Roman" w:cs="Times New Roman"/>
                      <w:color w:val="auto"/>
                      <w:sz w:val="21"/>
                      <w:szCs w:val="22"/>
                    </w:rPr>
                  </w:pPr>
                  <w:r>
                    <w:rPr>
                      <w:rFonts w:ascii="Times New Roman" w:hAnsi="Times New Roman" w:cs="Times New Roman"/>
                      <w:color w:val="auto"/>
                      <w:sz w:val="21"/>
                      <w:szCs w:val="22"/>
                    </w:rPr>
                    <w:t>/</w:t>
                  </w:r>
                </w:p>
              </w:tc>
              <w:tc>
                <w:tcPr>
                  <w:tcW w:w="871"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7</w:t>
                  </w:r>
                  <w:r>
                    <w:rPr>
                      <w:rFonts w:hint="eastAsia" w:ascii="Times New Roman" w:hAnsi="Times New Roman"/>
                      <w:color w:val="auto"/>
                      <w:kern w:val="0"/>
                    </w:rPr>
                    <w:t>20</w:t>
                  </w:r>
                  <w:r>
                    <w:rPr>
                      <w:rFonts w:ascii="Times New Roman" w:hAnsi="Times New Roman"/>
                      <w:color w:val="auto"/>
                      <w:kern w:val="0"/>
                    </w:rPr>
                    <w:t>×10</w:t>
                  </w:r>
                  <w:r>
                    <w:rPr>
                      <w:rFonts w:ascii="Times New Roman" w:hAnsi="Times New Roman"/>
                      <w:color w:val="auto"/>
                      <w:kern w:val="0"/>
                      <w:vertAlign w:val="superscript"/>
                    </w:rPr>
                    <w:t>4</w:t>
                  </w:r>
                  <w:r>
                    <w:rPr>
                      <w:rFonts w:ascii="Times New Roman" w:hAnsi="Times New Roman"/>
                      <w:color w:val="auto"/>
                      <w:kern w:val="0"/>
                    </w:rPr>
                    <w:t>m</w:t>
                  </w:r>
                  <w:r>
                    <w:rPr>
                      <w:rFonts w:ascii="Times New Roman" w:hAnsi="Times New Roman"/>
                      <w:color w:val="auto"/>
                      <w:kern w:val="0"/>
                      <w:vertAlign w:val="superscript"/>
                    </w:rPr>
                    <w:t>3</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来自BOG</w:t>
                  </w:r>
                  <w:r>
                    <w:rPr>
                      <w:rFonts w:hint="eastAsia" w:ascii="Times New Roman" w:hAnsi="Times New Roman"/>
                      <w:color w:val="auto"/>
                      <w:kern w:val="0"/>
                    </w:rPr>
                    <w:t>缓冲罐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2</w:t>
                  </w:r>
                </w:p>
              </w:tc>
              <w:tc>
                <w:tcPr>
                  <w:tcW w:w="1066"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脱氢催化剂</w:t>
                  </w:r>
                </w:p>
              </w:tc>
              <w:tc>
                <w:tcPr>
                  <w:tcW w:w="982" w:type="pct"/>
                  <w:vAlign w:val="center"/>
                </w:tcPr>
                <w:p>
                  <w:pPr>
                    <w:autoSpaceDE w:val="0"/>
                    <w:autoSpaceDN w:val="0"/>
                    <w:adjustRightInd w:val="0"/>
                    <w:snapToGrid w:val="0"/>
                    <w:spacing w:line="460" w:lineRule="exact"/>
                    <w:jc w:val="center"/>
                    <w:textAlignment w:val="baseline"/>
                    <w:rPr>
                      <w:rFonts w:ascii="Times New Roman" w:hAnsi="Times New Roman"/>
                      <w:color w:val="auto"/>
                      <w:kern w:val="0"/>
                    </w:rPr>
                  </w:pPr>
                  <w:r>
                    <w:rPr>
                      <w:rFonts w:ascii="Times New Roman" w:hAnsi="Times New Roman"/>
                      <w:color w:val="auto"/>
                      <w:kern w:val="0"/>
                    </w:rPr>
                    <w:t>F2-3 球状</w:t>
                  </w:r>
                </w:p>
              </w:tc>
              <w:tc>
                <w:tcPr>
                  <w:tcW w:w="725"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0.3m</w:t>
                  </w:r>
                  <w:r>
                    <w:rPr>
                      <w:rFonts w:hint="eastAsia" w:ascii="Times New Roman" w:hAnsi="Times New Roman"/>
                      <w:color w:val="auto"/>
                      <w:kern w:val="0"/>
                      <w:vertAlign w:val="superscript"/>
                    </w:rPr>
                    <w:t>3</w:t>
                  </w:r>
                </w:p>
              </w:tc>
              <w:tc>
                <w:tcPr>
                  <w:tcW w:w="871"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钯-氧化铝，</w:t>
                  </w:r>
                  <w:r>
                    <w:rPr>
                      <w:rFonts w:hint="eastAsia" w:ascii="Times New Roman" w:hAnsi="Times New Roman"/>
                      <w:color w:val="auto"/>
                      <w:kern w:val="0"/>
                    </w:rPr>
                    <w:t>5</w:t>
                  </w:r>
                  <w:r>
                    <w:rPr>
                      <w:rFonts w:ascii="Times New Roman" w:hAnsi="Times New Roman"/>
                      <w:color w:val="auto"/>
                      <w:kern w:val="0"/>
                    </w:rPr>
                    <w:t>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3</w:t>
                  </w:r>
                </w:p>
              </w:tc>
              <w:tc>
                <w:tcPr>
                  <w:tcW w:w="1066"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脱水吸附剂</w:t>
                  </w:r>
                </w:p>
              </w:tc>
              <w:tc>
                <w:tcPr>
                  <w:tcW w:w="982" w:type="pct"/>
                  <w:vAlign w:val="center"/>
                </w:tcPr>
                <w:p>
                  <w:pPr>
                    <w:autoSpaceDE w:val="0"/>
                    <w:autoSpaceDN w:val="0"/>
                    <w:adjustRightInd w:val="0"/>
                    <w:snapToGrid w:val="0"/>
                    <w:spacing w:line="460" w:lineRule="exact"/>
                    <w:jc w:val="center"/>
                    <w:textAlignment w:val="baseline"/>
                    <w:rPr>
                      <w:rFonts w:ascii="Times New Roman" w:hAnsi="Times New Roman"/>
                      <w:color w:val="auto"/>
                      <w:kern w:val="0"/>
                    </w:rPr>
                  </w:pPr>
                  <w:r>
                    <w:rPr>
                      <w:rFonts w:ascii="Times New Roman" w:hAnsi="Times New Roman"/>
                      <w:color w:val="auto"/>
                      <w:kern w:val="0"/>
                    </w:rPr>
                    <w:t>F3-4 球状</w:t>
                  </w:r>
                </w:p>
              </w:tc>
              <w:tc>
                <w:tcPr>
                  <w:tcW w:w="725"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1m</w:t>
                  </w:r>
                  <w:r>
                    <w:rPr>
                      <w:rFonts w:hint="eastAsia" w:ascii="Times New Roman" w:hAnsi="Times New Roman"/>
                      <w:color w:val="auto"/>
                      <w:kern w:val="0"/>
                      <w:vertAlign w:val="superscript"/>
                    </w:rPr>
                    <w:t>3</w:t>
                  </w:r>
                </w:p>
              </w:tc>
              <w:tc>
                <w:tcPr>
                  <w:tcW w:w="871"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13X分子筛，</w:t>
                  </w:r>
                  <w:r>
                    <w:rPr>
                      <w:rFonts w:hint="eastAsia" w:ascii="Times New Roman" w:hAnsi="Times New Roman"/>
                      <w:color w:val="auto"/>
                      <w:kern w:val="0"/>
                    </w:rPr>
                    <w:t>5</w:t>
                  </w:r>
                  <w:r>
                    <w:rPr>
                      <w:rFonts w:ascii="Times New Roman" w:hAnsi="Times New Roman"/>
                      <w:color w:val="auto"/>
                      <w:kern w:val="0"/>
                    </w:rPr>
                    <w:t>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4</w:t>
                  </w:r>
                </w:p>
              </w:tc>
              <w:tc>
                <w:tcPr>
                  <w:tcW w:w="1066"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纯化吸附剂</w:t>
                  </w:r>
                </w:p>
              </w:tc>
              <w:tc>
                <w:tcPr>
                  <w:tcW w:w="982" w:type="pct"/>
                  <w:vAlign w:val="center"/>
                </w:tcPr>
                <w:p>
                  <w:pPr>
                    <w:autoSpaceDE w:val="0"/>
                    <w:autoSpaceDN w:val="0"/>
                    <w:adjustRightInd w:val="0"/>
                    <w:snapToGrid w:val="0"/>
                    <w:spacing w:line="460" w:lineRule="exact"/>
                    <w:jc w:val="center"/>
                    <w:textAlignment w:val="baseline"/>
                    <w:rPr>
                      <w:rFonts w:ascii="Times New Roman" w:hAnsi="Times New Roman"/>
                      <w:color w:val="auto"/>
                      <w:kern w:val="0"/>
                    </w:rPr>
                  </w:pPr>
                  <w:r>
                    <w:rPr>
                      <w:rFonts w:ascii="Times New Roman" w:hAnsi="Times New Roman"/>
                      <w:color w:val="auto"/>
                      <w:kern w:val="0"/>
                    </w:rPr>
                    <w:t>F2-3 球状</w:t>
                  </w:r>
                </w:p>
              </w:tc>
              <w:tc>
                <w:tcPr>
                  <w:tcW w:w="725"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2m</w:t>
                  </w:r>
                  <w:r>
                    <w:rPr>
                      <w:rFonts w:hint="eastAsia" w:ascii="Times New Roman" w:hAnsi="Times New Roman"/>
                      <w:color w:val="auto"/>
                      <w:kern w:val="0"/>
                      <w:vertAlign w:val="superscript"/>
                    </w:rPr>
                    <w:t>3</w:t>
                  </w:r>
                </w:p>
              </w:tc>
              <w:tc>
                <w:tcPr>
                  <w:tcW w:w="871"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活性炭，</w:t>
                  </w:r>
                  <w:r>
                    <w:rPr>
                      <w:rFonts w:hint="eastAsia" w:ascii="Times New Roman" w:hAnsi="Times New Roman"/>
                      <w:color w:val="auto"/>
                      <w:kern w:val="0"/>
                    </w:rPr>
                    <w:t>5</w:t>
                  </w:r>
                  <w:r>
                    <w:rPr>
                      <w:rFonts w:ascii="Times New Roman" w:hAnsi="Times New Roman"/>
                      <w:color w:val="auto"/>
                      <w:kern w:val="0"/>
                    </w:rPr>
                    <w:t>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5</w:t>
                  </w:r>
                </w:p>
              </w:tc>
              <w:tc>
                <w:tcPr>
                  <w:tcW w:w="1066"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VPSA 吸附剂</w:t>
                  </w:r>
                </w:p>
              </w:tc>
              <w:tc>
                <w:tcPr>
                  <w:tcW w:w="982" w:type="pct"/>
                  <w:vAlign w:val="center"/>
                </w:tcPr>
                <w:p>
                  <w:pPr>
                    <w:autoSpaceDE w:val="0"/>
                    <w:autoSpaceDN w:val="0"/>
                    <w:adjustRightInd w:val="0"/>
                    <w:snapToGrid w:val="0"/>
                    <w:spacing w:line="460" w:lineRule="exact"/>
                    <w:jc w:val="center"/>
                    <w:textAlignment w:val="baseline"/>
                    <w:rPr>
                      <w:rFonts w:ascii="Times New Roman" w:hAnsi="Times New Roman"/>
                      <w:color w:val="auto"/>
                      <w:kern w:val="0"/>
                    </w:rPr>
                  </w:pPr>
                  <w:r>
                    <w:rPr>
                      <w:rFonts w:ascii="Times New Roman" w:hAnsi="Times New Roman"/>
                      <w:color w:val="auto"/>
                      <w:kern w:val="0"/>
                    </w:rPr>
                    <w:t>F3-4 球状</w:t>
                  </w:r>
                </w:p>
              </w:tc>
              <w:tc>
                <w:tcPr>
                  <w:tcW w:w="725"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18m</w:t>
                  </w:r>
                  <w:r>
                    <w:rPr>
                      <w:rFonts w:hint="eastAsia" w:ascii="Times New Roman" w:hAnsi="Times New Roman"/>
                      <w:color w:val="auto"/>
                      <w:kern w:val="0"/>
                      <w:vertAlign w:val="superscript"/>
                    </w:rPr>
                    <w:t>3</w:t>
                  </w:r>
                </w:p>
              </w:tc>
              <w:tc>
                <w:tcPr>
                  <w:tcW w:w="871" w:type="pct"/>
                  <w:vAlign w:val="center"/>
                </w:tcPr>
                <w:p>
                  <w:pPr>
                    <w:pStyle w:val="2"/>
                    <w:widowControl w:val="0"/>
                    <w:autoSpaceDE w:val="0"/>
                    <w:autoSpaceDN w:val="0"/>
                    <w:adjustRightInd w:val="0"/>
                    <w:snapToGrid w:val="0"/>
                    <w:spacing w:line="460" w:lineRule="exact"/>
                    <w:ind w:firstLine="0" w:firstLineChars="0"/>
                    <w:jc w:val="center"/>
                    <w:textAlignment w:val="baseline"/>
                    <w:rPr>
                      <w:rFonts w:ascii="Times New Roman" w:hAnsi="Times New Roman"/>
                      <w:color w:val="auto"/>
                      <w:kern w:val="0"/>
                    </w:rPr>
                  </w:pPr>
                  <w:r>
                    <w:rPr>
                      <w:rFonts w:ascii="Times New Roman" w:hAnsi="Times New Roman"/>
                      <w:color w:val="auto"/>
                      <w:kern w:val="0"/>
                    </w:rPr>
                    <w:t>/</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5A分子筛，</w:t>
                  </w:r>
                  <w:r>
                    <w:rPr>
                      <w:rFonts w:hint="eastAsia" w:ascii="Times New Roman" w:hAnsi="Times New Roman"/>
                      <w:color w:val="auto"/>
                      <w:kern w:val="0"/>
                    </w:rPr>
                    <w:t>5</w:t>
                  </w:r>
                  <w:r>
                    <w:rPr>
                      <w:rFonts w:ascii="Times New Roman" w:hAnsi="Times New Roman"/>
                      <w:color w:val="auto"/>
                      <w:kern w:val="0"/>
                    </w:rPr>
                    <w:t>年更换一次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6</w:t>
                  </w:r>
                </w:p>
              </w:tc>
              <w:tc>
                <w:tcPr>
                  <w:tcW w:w="1066" w:type="pct"/>
                  <w:vAlign w:val="center"/>
                </w:tcPr>
                <w:p>
                  <w:pPr>
                    <w:widowControl w:val="0"/>
                    <w:autoSpaceDE w:val="0"/>
                    <w:autoSpaceDN w:val="0"/>
                    <w:adjustRightInd w:val="0"/>
                    <w:snapToGrid w:val="0"/>
                    <w:spacing w:line="460" w:lineRule="exact"/>
                    <w:jc w:val="center"/>
                    <w:textAlignment w:val="baseline"/>
                    <w:rPr>
                      <w:rFonts w:ascii="Times New Roman" w:hAnsi="Times New Roman"/>
                      <w:color w:val="auto"/>
                      <w:kern w:val="0"/>
                    </w:rPr>
                  </w:pPr>
                  <w:r>
                    <w:rPr>
                      <w:rFonts w:ascii="Times New Roman" w:hAnsi="Times New Roman"/>
                      <w:color w:val="auto"/>
                      <w:kern w:val="0"/>
                    </w:rPr>
                    <w:t>液氧</w:t>
                  </w:r>
                </w:p>
              </w:tc>
              <w:tc>
                <w:tcPr>
                  <w:tcW w:w="982" w:type="pct"/>
                  <w:vAlign w:val="center"/>
                </w:tcPr>
                <w:p>
                  <w:pPr>
                    <w:autoSpaceDE w:val="0"/>
                    <w:autoSpaceDN w:val="0"/>
                    <w:adjustRightInd w:val="0"/>
                    <w:snapToGrid w:val="0"/>
                    <w:spacing w:line="460" w:lineRule="exact"/>
                    <w:jc w:val="center"/>
                    <w:textAlignment w:val="baseline"/>
                    <w:rPr>
                      <w:rFonts w:hint="eastAsia" w:ascii="Times New Roman" w:hAnsi="Times New Roman" w:eastAsia="宋体"/>
                      <w:color w:val="auto"/>
                      <w:kern w:val="0"/>
                      <w:lang w:eastAsia="zh-CN"/>
                    </w:rPr>
                  </w:pPr>
                  <w:r>
                    <w:rPr>
                      <w:rFonts w:hint="eastAsia" w:ascii="Times New Roman" w:hAnsi="Times New Roman"/>
                      <w:color w:val="auto"/>
                      <w:kern w:val="0"/>
                      <w:lang w:val="en-US" w:eastAsia="zh-CN"/>
                    </w:rPr>
                    <w:t>0.8M</w:t>
                  </w:r>
                  <w:r>
                    <w:rPr>
                      <w:rFonts w:hint="eastAsia" w:ascii="Times New Roman" w:hAnsi="Times New Roman"/>
                      <w:color w:val="auto"/>
                      <w:kern w:val="0"/>
                    </w:rPr>
                    <w:t>Pa</w:t>
                  </w:r>
                  <w:r>
                    <w:rPr>
                      <w:rFonts w:hint="eastAsia" w:ascii="Times New Roman" w:hAnsi="Times New Roman"/>
                      <w:color w:val="auto"/>
                      <w:kern w:val="0"/>
                      <w:lang w:eastAsia="zh-CN"/>
                    </w:rPr>
                    <w:t>，</w:t>
                  </w:r>
                  <w:r>
                    <w:rPr>
                      <w:rFonts w:hint="eastAsia" w:ascii="宋体" w:hAnsi="宋体" w:eastAsia="宋体" w:cs="宋体"/>
                      <w:color w:val="auto"/>
                      <w:kern w:val="0"/>
                    </w:rPr>
                    <w:t>≧</w:t>
                  </w:r>
                  <w:r>
                    <w:rPr>
                      <w:rFonts w:hint="eastAsia" w:ascii="Times New Roman" w:hAnsi="Times New Roman"/>
                      <w:color w:val="auto"/>
                      <w:kern w:val="0"/>
                    </w:rPr>
                    <w:t>99.99%</w:t>
                  </w:r>
                </w:p>
              </w:tc>
              <w:tc>
                <w:tcPr>
                  <w:tcW w:w="725"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w:t>
                  </w:r>
                </w:p>
              </w:tc>
              <w:tc>
                <w:tcPr>
                  <w:tcW w:w="871"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highlight w:val="none"/>
                    </w:rPr>
                    <w:t>57.848</w:t>
                  </w:r>
                  <w:r>
                    <w:rPr>
                      <w:rFonts w:ascii="Times New Roman" w:hAnsi="Times New Roman"/>
                      <w:color w:val="auto"/>
                      <w:kern w:val="0"/>
                      <w:highlight w:val="none"/>
                    </w:rPr>
                    <w:t>t</w:t>
                  </w:r>
                </w:p>
              </w:tc>
              <w:tc>
                <w:tcPr>
                  <w:tcW w:w="983" w:type="pct"/>
                  <w:vAlign w:val="center"/>
                </w:tcPr>
                <w:p>
                  <w:pPr>
                    <w:autoSpaceDE w:val="0"/>
                    <w:autoSpaceDN w:val="0"/>
                    <w:snapToGrid w:val="0"/>
                    <w:jc w:val="center"/>
                    <w:rPr>
                      <w:rFonts w:hint="eastAsia" w:ascii="Times New Roman" w:hAnsi="Times New Roman" w:eastAsia="宋体"/>
                      <w:color w:val="auto"/>
                      <w:kern w:val="0"/>
                      <w:lang w:eastAsia="zh-CN"/>
                    </w:rPr>
                  </w:pPr>
                  <w:r>
                    <w:rPr>
                      <w:rFonts w:hint="eastAsia" w:ascii="Times New Roman" w:hAnsi="Times New Roman"/>
                      <w:color w:val="auto"/>
                      <w:kern w:val="0"/>
                    </w:rPr>
                    <w:t>来自液氧罐（含汽化器）</w:t>
                  </w:r>
                  <w:r>
                    <w:rPr>
                      <w:rFonts w:hint="eastAsia" w:ascii="Times New Roman" w:hAnsi="Times New Roman"/>
                      <w:color w:val="auto"/>
                      <w:kern w:val="0"/>
                      <w:lang w:eastAsia="zh-CN"/>
                    </w:rPr>
                    <w:t>，催化脱氢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7</w:t>
                  </w:r>
                </w:p>
              </w:tc>
              <w:tc>
                <w:tcPr>
                  <w:tcW w:w="1066" w:type="pct"/>
                  <w:vAlign w:val="center"/>
                </w:tcPr>
                <w:p>
                  <w:pPr>
                    <w:widowControl w:val="0"/>
                    <w:autoSpaceDE w:val="0"/>
                    <w:autoSpaceDN w:val="0"/>
                    <w:adjustRightInd w:val="0"/>
                    <w:snapToGrid w:val="0"/>
                    <w:spacing w:line="460" w:lineRule="exact"/>
                    <w:jc w:val="center"/>
                    <w:textAlignment w:val="baseline"/>
                    <w:rPr>
                      <w:rFonts w:ascii="Times New Roman" w:hAnsi="Times New Roman"/>
                      <w:color w:val="auto"/>
                      <w:kern w:val="0"/>
                    </w:rPr>
                  </w:pPr>
                  <w:r>
                    <w:rPr>
                      <w:rFonts w:ascii="Times New Roman" w:hAnsi="Times New Roman"/>
                      <w:color w:val="auto"/>
                      <w:kern w:val="0"/>
                    </w:rPr>
                    <w:t>仪表风</w:t>
                  </w:r>
                </w:p>
              </w:tc>
              <w:tc>
                <w:tcPr>
                  <w:tcW w:w="982" w:type="pct"/>
                  <w:vAlign w:val="center"/>
                </w:tcPr>
                <w:p>
                  <w:pPr>
                    <w:autoSpaceDE w:val="0"/>
                    <w:autoSpaceDN w:val="0"/>
                    <w:adjustRightInd w:val="0"/>
                    <w:snapToGrid w:val="0"/>
                    <w:spacing w:line="460" w:lineRule="exact"/>
                    <w:jc w:val="center"/>
                    <w:textAlignment w:val="baseline"/>
                    <w:rPr>
                      <w:rFonts w:ascii="Times New Roman" w:hAnsi="Times New Roman"/>
                      <w:color w:val="auto"/>
                      <w:kern w:val="0"/>
                    </w:rPr>
                  </w:pPr>
                  <w:r>
                    <w:rPr>
                      <w:rFonts w:hint="eastAsia" w:ascii="Times New Roman" w:hAnsi="Times New Roman"/>
                      <w:color w:val="auto"/>
                      <w:kern w:val="0"/>
                    </w:rPr>
                    <w:t>101.325kPa，20℃</w:t>
                  </w:r>
                </w:p>
              </w:tc>
              <w:tc>
                <w:tcPr>
                  <w:tcW w:w="725" w:type="pct"/>
                  <w:vAlign w:val="center"/>
                </w:tcPr>
                <w:p>
                  <w:pPr>
                    <w:pStyle w:val="2"/>
                    <w:ind w:firstLine="0" w:firstLineChars="0"/>
                    <w:jc w:val="center"/>
                    <w:rPr>
                      <w:rFonts w:ascii="Times New Roman" w:hAnsi="Times New Roman"/>
                      <w:color w:val="auto"/>
                    </w:rPr>
                  </w:pPr>
                  <w:r>
                    <w:rPr>
                      <w:rFonts w:ascii="Times New Roman" w:hAnsi="Times New Roman"/>
                      <w:color w:val="auto"/>
                    </w:rPr>
                    <w:t>/</w:t>
                  </w:r>
                </w:p>
              </w:tc>
              <w:tc>
                <w:tcPr>
                  <w:tcW w:w="871" w:type="pct"/>
                  <w:vAlign w:val="center"/>
                </w:tcPr>
                <w:p>
                  <w:pPr>
                    <w:pStyle w:val="2"/>
                    <w:ind w:firstLine="0" w:firstLineChars="0"/>
                    <w:jc w:val="center"/>
                    <w:rPr>
                      <w:rFonts w:ascii="Times New Roman" w:hAnsi="Times New Roman"/>
                      <w:color w:val="auto"/>
                    </w:rPr>
                  </w:pPr>
                  <w:r>
                    <w:rPr>
                      <w:rFonts w:ascii="Times New Roman" w:hAnsi="Times New Roman"/>
                      <w:color w:val="auto"/>
                    </w:rPr>
                    <w:t>40×10</w:t>
                  </w:r>
                  <w:r>
                    <w:rPr>
                      <w:rFonts w:ascii="Times New Roman" w:hAnsi="Times New Roman"/>
                      <w:color w:val="auto"/>
                      <w:vertAlign w:val="superscript"/>
                    </w:rPr>
                    <w:t>4</w:t>
                  </w:r>
                  <w:r>
                    <w:rPr>
                      <w:rFonts w:ascii="Times New Roman" w:hAnsi="Times New Roman"/>
                      <w:color w:val="auto"/>
                    </w:rPr>
                    <w:t>m</w:t>
                  </w:r>
                  <w:r>
                    <w:rPr>
                      <w:rFonts w:ascii="Times New Roman" w:hAnsi="Times New Roman"/>
                      <w:color w:val="auto"/>
                      <w:vertAlign w:val="superscript"/>
                    </w:rPr>
                    <w:t>3</w:t>
                  </w:r>
                </w:p>
              </w:tc>
              <w:tc>
                <w:tcPr>
                  <w:tcW w:w="983" w:type="pct"/>
                  <w:vAlign w:val="center"/>
                </w:tcPr>
                <w:p>
                  <w:pPr>
                    <w:pStyle w:val="2"/>
                    <w:ind w:firstLine="0" w:firstLineChars="0"/>
                    <w:jc w:val="center"/>
                    <w:rPr>
                      <w:rFonts w:ascii="Times New Roman" w:hAnsi="Times New Roman"/>
                      <w:color w:val="auto"/>
                    </w:rPr>
                  </w:pPr>
                  <w:r>
                    <w:rPr>
                      <w:rFonts w:hint="eastAsia" w:ascii="Times New Roman" w:hAnsi="Times New Roman"/>
                      <w:color w:val="auto"/>
                    </w:rPr>
                    <w:t>依托现有仪表风系统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9"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8</w:t>
                  </w:r>
                </w:p>
              </w:tc>
              <w:tc>
                <w:tcPr>
                  <w:tcW w:w="1066"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氮气</w:t>
                  </w:r>
                </w:p>
              </w:tc>
              <w:tc>
                <w:tcPr>
                  <w:tcW w:w="982"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rPr>
                    <w:t>101.325kPa，20℃</w:t>
                  </w:r>
                </w:p>
              </w:tc>
              <w:tc>
                <w:tcPr>
                  <w:tcW w:w="725"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w:t>
                  </w:r>
                </w:p>
              </w:tc>
              <w:tc>
                <w:tcPr>
                  <w:tcW w:w="871"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80×10</w:t>
                  </w:r>
                  <w:r>
                    <w:rPr>
                      <w:rFonts w:ascii="Times New Roman" w:hAnsi="Times New Roman"/>
                      <w:color w:val="auto"/>
                      <w:kern w:val="0"/>
                      <w:vertAlign w:val="superscript"/>
                    </w:rPr>
                    <w:t>4</w:t>
                  </w:r>
                  <w:r>
                    <w:rPr>
                      <w:rFonts w:ascii="Times New Roman" w:hAnsi="Times New Roman"/>
                      <w:color w:val="auto"/>
                      <w:kern w:val="0"/>
                    </w:rPr>
                    <w:t>m</w:t>
                  </w:r>
                  <w:r>
                    <w:rPr>
                      <w:rFonts w:ascii="Times New Roman" w:hAnsi="Times New Roman"/>
                      <w:color w:val="auto"/>
                      <w:kern w:val="0"/>
                      <w:vertAlign w:val="superscript"/>
                    </w:rPr>
                    <w:t>3</w:t>
                  </w:r>
                </w:p>
              </w:tc>
              <w:tc>
                <w:tcPr>
                  <w:tcW w:w="983"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rPr>
                    <w:t>依托现有氮气系统，用于氦气精制单元活化器吹扫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5"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9</w:t>
                  </w:r>
                </w:p>
              </w:tc>
              <w:tc>
                <w:tcPr>
                  <w:tcW w:w="1066"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液氮</w:t>
                  </w:r>
                </w:p>
              </w:tc>
              <w:tc>
                <w:tcPr>
                  <w:tcW w:w="982"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lang w:val="en-US" w:eastAsia="zh-CN"/>
                    </w:rPr>
                    <w:t>0.6M</w:t>
                  </w:r>
                  <w:r>
                    <w:rPr>
                      <w:rFonts w:hint="eastAsia" w:ascii="Times New Roman" w:hAnsi="Times New Roman"/>
                      <w:color w:val="auto"/>
                      <w:kern w:val="0"/>
                    </w:rPr>
                    <w:t>Pa</w:t>
                  </w:r>
                  <w:r>
                    <w:rPr>
                      <w:rFonts w:hint="eastAsia" w:ascii="Times New Roman" w:hAnsi="Times New Roman"/>
                      <w:color w:val="auto"/>
                      <w:kern w:val="0"/>
                      <w:lang w:eastAsia="zh-CN"/>
                    </w:rPr>
                    <w:t>，</w:t>
                  </w:r>
                  <w:r>
                    <w:rPr>
                      <w:rFonts w:hint="eastAsia" w:ascii="宋体" w:hAnsi="宋体" w:eastAsia="宋体" w:cs="宋体"/>
                      <w:color w:val="auto"/>
                      <w:kern w:val="0"/>
                    </w:rPr>
                    <w:t>≧</w:t>
                  </w:r>
                  <w:r>
                    <w:rPr>
                      <w:rFonts w:hint="eastAsia" w:ascii="Times New Roman" w:hAnsi="Times New Roman"/>
                      <w:color w:val="auto"/>
                      <w:kern w:val="0"/>
                    </w:rPr>
                    <w:t>99.99%</w:t>
                  </w:r>
                </w:p>
              </w:tc>
              <w:tc>
                <w:tcPr>
                  <w:tcW w:w="725"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w:t>
                  </w:r>
                </w:p>
              </w:tc>
              <w:tc>
                <w:tcPr>
                  <w:tcW w:w="871"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rPr>
                    <w:t>800</w:t>
                  </w:r>
                  <w:r>
                    <w:rPr>
                      <w:rFonts w:ascii="Times New Roman" w:hAnsi="Times New Roman"/>
                      <w:color w:val="auto"/>
                      <w:kern w:val="0"/>
                    </w:rPr>
                    <w:t>t</w:t>
                  </w:r>
                </w:p>
              </w:tc>
              <w:tc>
                <w:tcPr>
                  <w:tcW w:w="983" w:type="pct"/>
                  <w:vAlign w:val="center"/>
                </w:tcPr>
                <w:p>
                  <w:pPr>
                    <w:autoSpaceDE w:val="0"/>
                    <w:autoSpaceDN w:val="0"/>
                    <w:snapToGrid w:val="0"/>
                    <w:jc w:val="center"/>
                    <w:rPr>
                      <w:rFonts w:ascii="Times New Roman" w:hAnsi="Times New Roman"/>
                      <w:color w:val="auto"/>
                      <w:kern w:val="0"/>
                    </w:rPr>
                  </w:pPr>
                  <w:r>
                    <w:rPr>
                      <w:rFonts w:hint="eastAsia" w:ascii="Times New Roman" w:hAnsi="Times New Roman"/>
                      <w:color w:val="auto"/>
                      <w:kern w:val="0"/>
                      <w:lang w:eastAsia="zh-CN"/>
                    </w:rPr>
                    <w:t>低温纯化</w:t>
                  </w:r>
                  <w:r>
                    <w:rPr>
                      <w:rFonts w:ascii="Times New Roman" w:hAnsi="Times New Roman"/>
                      <w:color w:val="auto"/>
                      <w:kern w:val="0"/>
                    </w:rPr>
                    <w:t>制冷剂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trPr>
              <w:tc>
                <w:tcPr>
                  <w:tcW w:w="370"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10</w:t>
                  </w:r>
                </w:p>
              </w:tc>
              <w:tc>
                <w:tcPr>
                  <w:tcW w:w="1066"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电</w:t>
                  </w:r>
                </w:p>
              </w:tc>
              <w:tc>
                <w:tcPr>
                  <w:tcW w:w="982"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w:t>
                  </w:r>
                </w:p>
              </w:tc>
              <w:tc>
                <w:tcPr>
                  <w:tcW w:w="725"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w:t>
                  </w:r>
                </w:p>
              </w:tc>
              <w:tc>
                <w:tcPr>
                  <w:tcW w:w="871"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319.6×10</w:t>
                  </w:r>
                  <w:r>
                    <w:rPr>
                      <w:rFonts w:ascii="Times New Roman" w:hAnsi="Times New Roman"/>
                      <w:color w:val="auto"/>
                      <w:kern w:val="0"/>
                      <w:vertAlign w:val="superscript"/>
                    </w:rPr>
                    <w:t>4</w:t>
                  </w:r>
                  <w:r>
                    <w:rPr>
                      <w:rFonts w:ascii="Times New Roman" w:hAnsi="Times New Roman"/>
                      <w:color w:val="auto"/>
                      <w:kern w:val="0"/>
                    </w:rPr>
                    <w:t>kWh</w:t>
                  </w:r>
                </w:p>
              </w:tc>
              <w:tc>
                <w:tcPr>
                  <w:tcW w:w="983" w:type="pct"/>
                  <w:vAlign w:val="center"/>
                </w:tcPr>
                <w:p>
                  <w:pPr>
                    <w:autoSpaceDE w:val="0"/>
                    <w:autoSpaceDN w:val="0"/>
                    <w:snapToGrid w:val="0"/>
                    <w:jc w:val="center"/>
                    <w:rPr>
                      <w:rFonts w:ascii="Times New Roman" w:hAnsi="Times New Roman"/>
                      <w:color w:val="auto"/>
                      <w:kern w:val="0"/>
                    </w:rPr>
                  </w:pPr>
                  <w:r>
                    <w:rPr>
                      <w:rFonts w:ascii="Times New Roman" w:hAnsi="Times New Roman"/>
                      <w:color w:val="auto"/>
                      <w:kern w:val="0"/>
                    </w:rPr>
                    <w:t>0.4kV；生产装置</w:t>
                  </w:r>
                  <w:r>
                    <w:rPr>
                      <w:rFonts w:hint="eastAsia" w:ascii="Times New Roman" w:hAnsi="Times New Roman"/>
                      <w:color w:val="auto"/>
                      <w:kern w:val="0"/>
                    </w:rPr>
                    <w:t>用电</w:t>
                  </w:r>
                </w:p>
              </w:tc>
            </w:tr>
          </w:tbl>
          <w:p>
            <w:pPr>
              <w:widowControl w:val="0"/>
              <w:spacing w:line="360" w:lineRule="auto"/>
              <w:ind w:firstLine="470" w:firstLineChars="196"/>
              <w:jc w:val="both"/>
              <w:rPr>
                <w:rFonts w:ascii="Times New Roman" w:hAnsi="Times New Roman"/>
                <w:color w:val="auto"/>
                <w:sz w:val="24"/>
                <w:szCs w:val="24"/>
              </w:rPr>
            </w:pPr>
            <w:r>
              <w:rPr>
                <w:rFonts w:ascii="Times New Roman" w:hAnsi="Times New Roman"/>
                <w:color w:val="auto"/>
                <w:sz w:val="24"/>
                <w:szCs w:val="24"/>
              </w:rPr>
              <w:t>原辅材料主要物理、化学性质：</w:t>
            </w:r>
          </w:p>
          <w:p>
            <w:pPr>
              <w:tabs>
                <w:tab w:val="left" w:pos="4536"/>
              </w:tabs>
              <w:spacing w:line="360" w:lineRule="auto"/>
              <w:ind w:firstLine="480" w:firstLineChars="200"/>
              <w:rPr>
                <w:rFonts w:ascii="Times New Roman" w:hAnsi="Times New Roman"/>
                <w:color w:val="auto"/>
                <w:sz w:val="24"/>
              </w:rPr>
            </w:pPr>
            <w:r>
              <w:rPr>
                <w:rFonts w:ascii="Times New Roman" w:hAnsi="Times New Roman"/>
                <w:color w:val="auto"/>
                <w:sz w:val="24"/>
                <w:szCs w:val="24"/>
              </w:rPr>
              <w:t>本项目原料气为来自陕西靖边星源实业有限公司厂区现有液化天然气装置产生的BOG气体</w:t>
            </w:r>
            <w:r>
              <w:rPr>
                <w:rFonts w:hint="eastAsia" w:ascii="Times New Roman" w:hAnsi="Times New Roman"/>
                <w:color w:val="auto"/>
                <w:sz w:val="24"/>
                <w:szCs w:val="24"/>
              </w:rPr>
              <w:t>，根据建设单位提供的资料，</w:t>
            </w:r>
            <w:r>
              <w:rPr>
                <w:rFonts w:ascii="Times New Roman" w:hAnsi="Times New Roman"/>
                <w:color w:val="auto"/>
                <w:sz w:val="24"/>
                <w:szCs w:val="24"/>
                <w:highlight w:val="none"/>
              </w:rPr>
              <w:t>厂区现有液化天然气装置</w:t>
            </w:r>
            <w:r>
              <w:rPr>
                <w:rFonts w:hint="eastAsia" w:ascii="Times New Roman" w:hAnsi="Times New Roman"/>
                <w:color w:val="auto"/>
                <w:sz w:val="24"/>
                <w:szCs w:val="24"/>
                <w:highlight w:val="none"/>
              </w:rPr>
              <w:t>可产生BOG约3</w:t>
            </w:r>
            <w:r>
              <w:rPr>
                <w:rFonts w:hint="eastAsia" w:ascii="Times New Roman" w:hAnsi="Times New Roman"/>
                <w:color w:val="auto"/>
                <w:sz w:val="24"/>
                <w:szCs w:val="24"/>
                <w:highlight w:val="none"/>
                <w:lang w:val="en-US" w:eastAsia="zh-CN"/>
              </w:rPr>
              <w:t>0</w:t>
            </w:r>
            <w:r>
              <w:rPr>
                <w:rFonts w:hint="eastAsia" w:ascii="Times New Roman" w:hAnsi="Times New Roman"/>
                <w:color w:val="auto"/>
                <w:sz w:val="24"/>
                <w:szCs w:val="24"/>
                <w:highlight w:val="none"/>
              </w:rPr>
              <w:t>00Nm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/h，本项目提氦装置设计BOG处理量为900Nm</w:t>
            </w:r>
            <w:r>
              <w:rPr>
                <w:rFonts w:hint="eastAsia" w:ascii="Times New Roman" w:hAnsi="Times New Roman"/>
                <w:color w:val="auto"/>
                <w:sz w:val="24"/>
                <w:szCs w:val="24"/>
                <w:highlight w:val="none"/>
                <w:vertAlign w:val="superscript"/>
              </w:rPr>
              <w:t>3</w:t>
            </w:r>
            <w:r>
              <w:rPr>
                <w:rFonts w:hint="eastAsia" w:ascii="Times New Roman" w:hAnsi="Times New Roman"/>
                <w:color w:val="auto"/>
                <w:sz w:val="24"/>
                <w:szCs w:val="24"/>
                <w:highlight w:val="none"/>
              </w:rPr>
              <w:t>/h（</w:t>
            </w:r>
            <w:r>
              <w:rPr>
                <w:rFonts w:ascii="Times New Roman" w:hAnsi="Times New Roman"/>
                <w:color w:val="auto"/>
                <w:sz w:val="24"/>
                <w:highlight w:val="none"/>
              </w:rPr>
              <w:t>7</w:t>
            </w:r>
            <w:r>
              <w:rPr>
                <w:rFonts w:hint="eastAsia" w:ascii="Times New Roman" w:hAnsi="Times New Roman"/>
                <w:color w:val="auto"/>
                <w:sz w:val="24"/>
                <w:highlight w:val="none"/>
              </w:rPr>
              <w:t>20</w:t>
            </w:r>
            <w:r>
              <w:rPr>
                <w:rFonts w:ascii="Times New Roman" w:hAnsi="Times New Roman"/>
                <w:color w:val="auto"/>
                <w:sz w:val="24"/>
                <w:highlight w:val="none"/>
              </w:rPr>
              <w:t>×10</w:t>
            </w:r>
            <w:r>
              <w:rPr>
                <w:rFonts w:ascii="Times New Roman" w:hAnsi="Times New Roman"/>
                <w:color w:val="auto"/>
                <w:sz w:val="24"/>
                <w:highlight w:val="none"/>
                <w:vertAlign w:val="superscript"/>
              </w:rPr>
              <w:t>4</w:t>
            </w:r>
            <w:r>
              <w:rPr>
                <w:rFonts w:hint="eastAsia" w:ascii="Times New Roman" w:hAnsi="Times New Roman"/>
                <w:color w:val="auto"/>
                <w:sz w:val="24"/>
                <w:szCs w:val="24"/>
                <w:highlight w:val="none"/>
              </w:rPr>
              <w:t>N</w:t>
            </w:r>
            <w:r>
              <w:rPr>
                <w:rFonts w:ascii="Times New Roman" w:hAnsi="Times New Roman"/>
                <w:color w:val="auto"/>
                <w:sz w:val="24"/>
                <w:highlight w:val="none"/>
              </w:rPr>
              <w:t>m</w:t>
            </w:r>
            <w:r>
              <w:rPr>
                <w:rFonts w:ascii="Times New Roman" w:hAnsi="Times New Roman"/>
                <w:color w:val="auto"/>
                <w:sz w:val="24"/>
                <w:highlight w:val="none"/>
                <w:vertAlign w:val="superscript"/>
              </w:rPr>
              <w:t>3</w:t>
            </w:r>
            <w:r>
              <w:rPr>
                <w:rFonts w:hint="eastAsia" w:ascii="Times New Roman" w:hAnsi="Times New Roman"/>
                <w:color w:val="auto"/>
                <w:sz w:val="24"/>
                <w:highlight w:val="none"/>
              </w:rPr>
              <w:t>/a</w:t>
            </w:r>
            <w:r>
              <w:rPr>
                <w:rFonts w:hint="eastAsia" w:ascii="Times New Roman" w:hAnsi="Times New Roman"/>
                <w:color w:val="auto"/>
                <w:sz w:val="24"/>
                <w:szCs w:val="24"/>
                <w:highlight w:val="none"/>
              </w:rPr>
              <w:t>）</w:t>
            </w:r>
            <w:r>
              <w:rPr>
                <w:rFonts w:hint="eastAsia" w:ascii="Times New Roman" w:hAnsi="Times New Roman"/>
                <w:color w:val="auto"/>
                <w:sz w:val="24"/>
                <w:szCs w:val="24"/>
              </w:rPr>
              <w:t>，因此现有厂区产生的BOG完全能够满足本项目的原料气BOG供应。</w:t>
            </w:r>
          </w:p>
          <w:p>
            <w:pPr>
              <w:tabs>
                <w:tab w:val="left" w:pos="4536"/>
              </w:tabs>
              <w:spacing w:line="360" w:lineRule="auto"/>
              <w:ind w:firstLine="480" w:firstLineChars="200"/>
              <w:rPr>
                <w:rFonts w:ascii="Times New Roman" w:hAnsi="Times New Roman"/>
                <w:color w:val="auto"/>
                <w:sz w:val="24"/>
                <w:szCs w:val="24"/>
              </w:rPr>
            </w:pPr>
            <w:r>
              <w:rPr>
                <w:rFonts w:ascii="Times New Roman" w:hAnsi="Times New Roman"/>
                <w:color w:val="auto"/>
                <w:sz w:val="24"/>
              </w:rPr>
              <w:t>项目的设计进料压力为3.20MPaG，进料温度为</w:t>
            </w:r>
            <w:r>
              <w:rPr>
                <w:rFonts w:hint="eastAsia" w:ascii="Times New Roman" w:hAnsi="Times New Roman"/>
                <w:color w:val="auto"/>
                <w:sz w:val="24"/>
              </w:rPr>
              <w:t>30</w:t>
            </w:r>
            <w:r>
              <w:rPr>
                <w:rFonts w:hint="eastAsia" w:ascii="微软雅黑" w:hAnsi="微软雅黑" w:eastAsia="微软雅黑" w:cs="微软雅黑"/>
                <w:color w:val="auto"/>
                <w:sz w:val="24"/>
              </w:rPr>
              <w:t>℃</w:t>
            </w:r>
            <w:r>
              <w:rPr>
                <w:rFonts w:ascii="Times New Roman" w:hAnsi="Times New Roman"/>
                <w:color w:val="auto"/>
                <w:sz w:val="24"/>
              </w:rPr>
              <w:t>。现有厂区天然气液化装置提供的BOG组分详见表</w:t>
            </w:r>
            <w:r>
              <w:rPr>
                <w:rFonts w:hint="eastAsia" w:ascii="Times New Roman" w:hAnsi="Times New Roman"/>
                <w:color w:val="auto"/>
                <w:sz w:val="24"/>
              </w:rPr>
              <w:t>9</w:t>
            </w:r>
            <w:r>
              <w:rPr>
                <w:rFonts w:ascii="Times New Roman" w:hAnsi="Times New Roman"/>
                <w:color w:val="auto"/>
                <w:sz w:val="24"/>
              </w:rPr>
              <w:t>。</w:t>
            </w:r>
          </w:p>
          <w:p>
            <w:pPr>
              <w:widowControl w:val="0"/>
              <w:numPr>
                <w:ilvl w:val="0"/>
                <w:numId w:val="13"/>
              </w:numPr>
              <w:jc w:val="center"/>
              <w:rPr>
                <w:rFonts w:ascii="Times New Roman" w:hAnsi="Times New Roman"/>
                <w:b/>
                <w:color w:val="auto"/>
                <w:sz w:val="24"/>
                <w:szCs w:val="24"/>
              </w:rPr>
            </w:pPr>
            <w:r>
              <w:rPr>
                <w:rFonts w:ascii="Times New Roman" w:hAnsi="Times New Roman"/>
                <w:b/>
                <w:color w:val="auto"/>
                <w:sz w:val="24"/>
                <w:szCs w:val="24"/>
              </w:rPr>
              <w:t>原料气组分表</w:t>
            </w:r>
          </w:p>
          <w:tbl>
            <w:tblPr>
              <w:tblStyle w:val="9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bCs/>
                      <w:color w:val="auto"/>
                      <w:szCs w:val="21"/>
                    </w:rPr>
                  </w:pPr>
                  <w:r>
                    <w:rPr>
                      <w:rFonts w:ascii="Times New Roman" w:hAnsi="Times New Roman"/>
                      <w:bCs/>
                      <w:color w:val="auto"/>
                      <w:szCs w:val="21"/>
                      <w:lang w:val="zh-CN"/>
                    </w:rPr>
                    <w:t>组分</w:t>
                  </w:r>
                </w:p>
              </w:tc>
              <w:tc>
                <w:tcPr>
                  <w:tcW w:w="2730" w:type="pct"/>
                  <w:vAlign w:val="center"/>
                </w:tcPr>
                <w:p>
                  <w:pPr>
                    <w:jc w:val="center"/>
                    <w:rPr>
                      <w:rFonts w:ascii="Times New Roman" w:hAnsi="Times New Roman"/>
                      <w:bCs/>
                      <w:color w:val="auto"/>
                      <w:szCs w:val="21"/>
                    </w:rPr>
                  </w:pPr>
                  <w:r>
                    <w:rPr>
                      <w:rFonts w:ascii="Times New Roman" w:hAnsi="Times New Roman"/>
                      <w:bCs/>
                      <w:color w:val="auto"/>
                      <w:szCs w:val="21"/>
                    </w:rPr>
                    <w:t>BOG</w:t>
                  </w:r>
                  <w:r>
                    <w:rPr>
                      <w:rFonts w:ascii="Times New Roman" w:hAnsi="Times New Roman"/>
                      <w:bCs/>
                      <w:color w:val="auto"/>
                      <w:szCs w:val="21"/>
                      <w:lang w:val="zh-CN"/>
                    </w:rPr>
                    <w:t>（</w:t>
                  </w:r>
                  <w:r>
                    <w:rPr>
                      <w:rFonts w:hint="eastAsia" w:ascii="Times New Roman" w:hAnsi="Times New Roman"/>
                      <w:bCs/>
                      <w:color w:val="auto"/>
                      <w:szCs w:val="21"/>
                    </w:rPr>
                    <w:t>体积</w:t>
                  </w:r>
                  <w:r>
                    <w:rPr>
                      <w:rFonts w:ascii="Times New Roman" w:hAnsi="Times New Roman"/>
                      <w:bCs/>
                      <w:color w:val="auto"/>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ascii="Times New Roman" w:hAnsi="Times New Roman"/>
                      <w:color w:val="auto"/>
                      <w:szCs w:val="21"/>
                    </w:rPr>
                    <w:t>氦气</w:t>
                  </w:r>
                </w:p>
              </w:tc>
              <w:tc>
                <w:tcPr>
                  <w:tcW w:w="2730" w:type="pct"/>
                  <w:vAlign w:val="center"/>
                </w:tcPr>
                <w:p>
                  <w:pPr>
                    <w:jc w:val="center"/>
                    <w:rPr>
                      <w:rFonts w:ascii="Times New Roman" w:hAnsi="Times New Roman"/>
                      <w:color w:val="auto"/>
                      <w:szCs w:val="21"/>
                    </w:rPr>
                  </w:pPr>
                  <w:r>
                    <w:rPr>
                      <w:rFonts w:ascii="Times New Roman" w:hAnsi="Times New Roman"/>
                      <w:color w:val="auto"/>
                      <w:szCs w:val="21"/>
                    </w:rPr>
                    <w:t>2.</w:t>
                  </w:r>
                  <w:r>
                    <w:rPr>
                      <w:rFonts w:hint="eastAsia" w:ascii="Times New Roman" w:hAnsi="Times New Roman"/>
                      <w:color w:val="auto"/>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9" w:type="pct"/>
                  <w:vAlign w:val="center"/>
                </w:tcPr>
                <w:p>
                  <w:pPr>
                    <w:jc w:val="center"/>
                    <w:rPr>
                      <w:rFonts w:ascii="Times New Roman" w:hAnsi="Times New Roman"/>
                      <w:color w:val="auto"/>
                      <w:szCs w:val="21"/>
                    </w:rPr>
                  </w:pPr>
                  <w:r>
                    <w:rPr>
                      <w:rFonts w:ascii="Times New Roman" w:hAnsi="Times New Roman"/>
                      <w:color w:val="auto"/>
                      <w:szCs w:val="21"/>
                    </w:rPr>
                    <w:t>氢气</w:t>
                  </w:r>
                </w:p>
              </w:tc>
              <w:tc>
                <w:tcPr>
                  <w:tcW w:w="2730" w:type="pct"/>
                  <w:vAlign w:val="center"/>
                </w:tcPr>
                <w:p>
                  <w:pPr>
                    <w:jc w:val="center"/>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ascii="Times New Roman" w:hAnsi="Times New Roman"/>
                      <w:color w:val="auto"/>
                      <w:szCs w:val="21"/>
                    </w:rPr>
                    <w:t>氮气</w:t>
                  </w:r>
                </w:p>
              </w:tc>
              <w:tc>
                <w:tcPr>
                  <w:tcW w:w="2730" w:type="pct"/>
                  <w:vAlign w:val="center"/>
                </w:tcPr>
                <w:p>
                  <w:pPr>
                    <w:jc w:val="center"/>
                    <w:rPr>
                      <w:rFonts w:ascii="Times New Roman" w:hAnsi="Times New Roman"/>
                      <w:color w:val="auto"/>
                      <w:szCs w:val="21"/>
                    </w:rPr>
                  </w:pPr>
                  <w:r>
                    <w:rPr>
                      <w:rFonts w:ascii="Times New Roman" w:hAnsi="Times New Roman"/>
                      <w:color w:val="auto"/>
                      <w:szCs w:val="21"/>
                    </w:rPr>
                    <w:t>14.</w:t>
                  </w:r>
                  <w:r>
                    <w:rPr>
                      <w:rFonts w:hint="eastAsia" w:ascii="Times New Roman" w:hAnsi="Times New Roman"/>
                      <w:color w:val="auto"/>
                      <w:szCs w:val="21"/>
                    </w:rPr>
                    <w:t>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ascii="Times New Roman" w:hAnsi="Times New Roman"/>
                      <w:color w:val="auto"/>
                      <w:szCs w:val="21"/>
                    </w:rPr>
                    <w:t>甲烷</w:t>
                  </w:r>
                </w:p>
              </w:tc>
              <w:tc>
                <w:tcPr>
                  <w:tcW w:w="2730" w:type="pct"/>
                  <w:vAlign w:val="center"/>
                </w:tcPr>
                <w:p>
                  <w:pPr>
                    <w:jc w:val="center"/>
                    <w:rPr>
                      <w:rFonts w:ascii="Times New Roman" w:hAnsi="Times New Roman"/>
                      <w:color w:val="auto"/>
                      <w:szCs w:val="21"/>
                    </w:rPr>
                  </w:pPr>
                  <w:r>
                    <w:rPr>
                      <w:rFonts w:ascii="Times New Roman" w:hAnsi="Times New Roman"/>
                      <w:color w:val="auto"/>
                      <w:szCs w:val="21"/>
                    </w:rPr>
                    <w:t>81.45</w:t>
                  </w:r>
                  <w:r>
                    <w:rPr>
                      <w:rFonts w:hint="eastAsia"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ascii="Times New Roman" w:hAnsi="Times New Roman"/>
                      <w:color w:val="auto"/>
                      <w:szCs w:val="21"/>
                    </w:rPr>
                    <w:t>其他</w:t>
                  </w:r>
                  <w:r>
                    <w:rPr>
                      <w:rFonts w:hint="eastAsia" w:ascii="Times New Roman" w:hAnsi="Times New Roman"/>
                      <w:color w:val="auto"/>
                      <w:szCs w:val="21"/>
                    </w:rPr>
                    <w:t>（氩气、氖气、碳氢化合物等）</w:t>
                  </w:r>
                </w:p>
              </w:tc>
              <w:tc>
                <w:tcPr>
                  <w:tcW w:w="2730" w:type="pct"/>
                  <w:vAlign w:val="center"/>
                </w:tcPr>
                <w:p>
                  <w:pPr>
                    <w:jc w:val="center"/>
                    <w:rPr>
                      <w:rFonts w:ascii="Times New Roman" w:hAnsi="Times New Roman"/>
                      <w:color w:val="auto"/>
                      <w:szCs w:val="21"/>
                    </w:rPr>
                  </w:pPr>
                  <w:r>
                    <w:rPr>
                      <w:rFonts w:hint="eastAsia" w:ascii="Times New Roman" w:hAnsi="Times New Roman"/>
                      <w:color w:val="auto"/>
                      <w:szCs w:val="21"/>
                    </w:rPr>
                    <w:t>0.003</w:t>
                  </w:r>
                </w:p>
              </w:tc>
            </w:tr>
          </w:tbl>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color w:val="auto"/>
                <w:sz w:val="24"/>
              </w:rPr>
              <w:t>项目原料气</w:t>
            </w:r>
            <w:r>
              <w:rPr>
                <w:rFonts w:ascii="Times New Roman" w:hAnsi="Times New Roman"/>
                <w:color w:val="auto"/>
                <w:sz w:val="24"/>
              </w:rPr>
              <w:t>BOG（Boil Off Gas）理化性质如下：</w:t>
            </w:r>
          </w:p>
          <w:p>
            <w:pPr>
              <w:tabs>
                <w:tab w:val="left" w:pos="4536"/>
              </w:tabs>
              <w:spacing w:line="360" w:lineRule="auto"/>
              <w:ind w:firstLine="480" w:firstLineChars="200"/>
              <w:rPr>
                <w:rFonts w:ascii="Times New Roman" w:hAnsi="Times New Roman"/>
                <w:color w:val="auto"/>
                <w:sz w:val="24"/>
              </w:rPr>
            </w:pPr>
            <w:r>
              <w:rPr>
                <w:rFonts w:ascii="Times New Roman" w:hAnsi="Times New Roman"/>
                <w:color w:val="auto"/>
                <w:sz w:val="24"/>
              </w:rPr>
              <w:t>BOG指在液化天然气LNG（Liquefied Natural Gas）储存过程中由于低温液态天然气储罐（约-160℃）受外界环境热量的入侵，LNG罐内液下泵运行时部分机械能转化为热能，使罐内LNG气化产生的气态天然气。其成分与理化性质与天然气类似</w:t>
            </w:r>
            <w:r>
              <w:rPr>
                <w:rFonts w:hint="eastAsia" w:ascii="Times New Roman" w:hAnsi="Times New Roman"/>
                <w:color w:val="auto"/>
                <w:sz w:val="24"/>
              </w:rPr>
              <w:t>。</w:t>
            </w:r>
          </w:p>
          <w:p>
            <w:pPr>
              <w:tabs>
                <w:tab w:val="left" w:pos="4536"/>
              </w:tabs>
              <w:spacing w:line="360" w:lineRule="auto"/>
              <w:ind w:firstLine="480" w:firstLineChars="200"/>
              <w:rPr>
                <w:rFonts w:ascii="Times New Roman" w:hAnsi="Times New Roman"/>
                <w:color w:val="auto"/>
                <w:sz w:val="24"/>
              </w:rPr>
            </w:pPr>
            <w:r>
              <w:rPr>
                <w:rFonts w:ascii="Times New Roman" w:hAnsi="Times New Roman"/>
                <w:color w:val="auto"/>
                <w:sz w:val="24"/>
              </w:rPr>
              <w:t>项目各种辅助材料及化学药剂理化性质如下：</w:t>
            </w:r>
          </w:p>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color w:val="auto"/>
                <w:sz w:val="24"/>
              </w:rPr>
              <w:t>（1）</w:t>
            </w:r>
            <w:r>
              <w:rPr>
                <w:rFonts w:ascii="Times New Roman" w:hAnsi="Times New Roman"/>
                <w:color w:val="auto"/>
                <w:sz w:val="24"/>
              </w:rPr>
              <w:t>液氧</w:t>
            </w:r>
          </w:p>
          <w:p>
            <w:pPr>
              <w:tabs>
                <w:tab w:val="left" w:pos="4536"/>
              </w:tabs>
              <w:spacing w:line="360" w:lineRule="auto"/>
              <w:ind w:firstLine="480" w:firstLineChars="200"/>
              <w:rPr>
                <w:rFonts w:ascii="Times New Roman" w:hAnsi="Times New Roman"/>
                <w:color w:val="auto"/>
                <w:sz w:val="24"/>
              </w:rPr>
            </w:pPr>
            <w:r>
              <w:rPr>
                <w:rFonts w:ascii="Times New Roman" w:hAnsi="Times New Roman"/>
                <w:color w:val="auto"/>
                <w:sz w:val="24"/>
              </w:rPr>
              <w:t>常温下氧气为无色、无臭气体，液化后为浅蓝色液体，溶于水</w:t>
            </w:r>
            <w:r>
              <w:rPr>
                <w:rFonts w:hint="eastAsia" w:ascii="Times New Roman" w:hAnsi="Times New Roman"/>
                <w:color w:val="auto"/>
                <w:sz w:val="24"/>
              </w:rPr>
              <w:t>、乙醇</w:t>
            </w:r>
            <w:r>
              <w:rPr>
                <w:rFonts w:ascii="Times New Roman" w:hAnsi="Times New Roman"/>
                <w:color w:val="auto"/>
                <w:sz w:val="24"/>
              </w:rPr>
              <w:t>，液氧化学式为O</w:t>
            </w:r>
            <w:r>
              <w:rPr>
                <w:rFonts w:ascii="Times New Roman" w:hAnsi="Times New Roman"/>
                <w:color w:val="auto"/>
                <w:sz w:val="24"/>
                <w:vertAlign w:val="subscript"/>
              </w:rPr>
              <w:t>2</w:t>
            </w:r>
            <w:r>
              <w:rPr>
                <w:rFonts w:ascii="Times New Roman" w:hAnsi="Times New Roman"/>
                <w:color w:val="auto"/>
                <w:sz w:val="24"/>
              </w:rPr>
              <w:t>，沸点为-18</w:t>
            </w:r>
            <w:r>
              <w:rPr>
                <w:rFonts w:hint="eastAsia" w:ascii="Times New Roman" w:hAnsi="Times New Roman"/>
                <w:color w:val="auto"/>
                <w:sz w:val="24"/>
              </w:rPr>
              <w:t>3</w:t>
            </w:r>
            <w:r>
              <w:rPr>
                <w:rFonts w:ascii="Times New Roman" w:hAnsi="Times New Roman"/>
                <w:color w:val="auto"/>
                <w:sz w:val="24"/>
              </w:rPr>
              <w:t>.</w:t>
            </w:r>
            <w:r>
              <w:rPr>
                <w:rFonts w:hint="eastAsia" w:ascii="Times New Roman" w:hAnsi="Times New Roman"/>
                <w:color w:val="auto"/>
                <w:sz w:val="24"/>
              </w:rPr>
              <w:t>1</w:t>
            </w:r>
            <w:r>
              <w:rPr>
                <w:rFonts w:ascii="Times New Roman" w:hAnsi="Times New Roman"/>
                <w:color w:val="auto"/>
                <w:sz w:val="24"/>
              </w:rPr>
              <w:t>℃，熔点为</w:t>
            </w:r>
            <w:r>
              <w:rPr>
                <w:rFonts w:hint="eastAsia" w:ascii="Times New Roman" w:hAnsi="Times New Roman"/>
                <w:color w:val="auto"/>
                <w:sz w:val="24"/>
              </w:rPr>
              <w:t>-218.8</w:t>
            </w:r>
            <w:r>
              <w:rPr>
                <w:rFonts w:ascii="Times New Roman" w:hAnsi="Times New Roman"/>
                <w:color w:val="auto"/>
                <w:sz w:val="24"/>
              </w:rPr>
              <w:t>℃，常压（101.325 kPa）下密度为1.141 t/m</w:t>
            </w:r>
            <w:r>
              <w:rPr>
                <w:rFonts w:ascii="Times New Roman" w:hAnsi="Times New Roman"/>
                <w:color w:val="auto"/>
                <w:sz w:val="24"/>
                <w:vertAlign w:val="superscript"/>
              </w:rPr>
              <w:t>3</w:t>
            </w:r>
            <w:r>
              <w:rPr>
                <w:rFonts w:ascii="Times New Roman" w:hAnsi="Times New Roman"/>
                <w:color w:val="auto"/>
                <w:sz w:val="24"/>
              </w:rPr>
              <w:t xml:space="preserve"> （1141kg/m</w:t>
            </w:r>
            <w:r>
              <w:rPr>
                <w:rFonts w:ascii="Times New Roman" w:hAnsi="Times New Roman"/>
                <w:color w:val="auto"/>
                <w:sz w:val="24"/>
                <w:vertAlign w:val="superscript"/>
              </w:rPr>
              <w:t>3</w:t>
            </w:r>
            <w:r>
              <w:rPr>
                <w:rFonts w:ascii="Times New Roman" w:hAnsi="Times New Roman"/>
                <w:color w:val="auto"/>
                <w:sz w:val="24"/>
              </w:rPr>
              <w:t>）。除以上主要性质外，液氧具有以下危害性：第一，液氧是不可燃的，但它能强烈地助燃，火灾危险性为乙类。第二，所有可燃物质（包括气、液、固）和液氧混合时就呈现爆炸危险性。第三，由于液氧的沸点极低，为-183℃，当液氧发生“跑、冒、滴、漏”事故时，一旦液氧喷溅到的人的皮肤上将引起严重的人员冻伤事故。第四，空气中氧气约占21%。常压下，当氧的浓度超过40%时，有可能引发氧中毒，吸入40%~60%的氧浓度的混合气体时，会出现胸骨后不适感、轻咳，进而胸闷，胸骨后烧灼感和呼吸困难，咳嗽加剧；严重时发生水肿，甚至出现呼吸窘迫综合症。吸入氧浓度80%以上时，出现面部肌肉抽搐、昏迷、呼吸衰竭而死亡。长期处于氧分压60kpa~100kpa(相当于氧浓度40%）的环境下，可发生眼损害，严重者可失明。</w:t>
            </w:r>
          </w:p>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color w:val="auto"/>
                <w:sz w:val="24"/>
              </w:rPr>
              <w:t>（2）</w:t>
            </w:r>
            <w:r>
              <w:rPr>
                <w:rFonts w:ascii="Times New Roman" w:hAnsi="Times New Roman"/>
                <w:color w:val="auto"/>
                <w:sz w:val="24"/>
              </w:rPr>
              <w:t>液氮</w:t>
            </w:r>
          </w:p>
          <w:p>
            <w:pPr>
              <w:tabs>
                <w:tab w:val="left" w:pos="4536"/>
              </w:tabs>
              <w:spacing w:line="360" w:lineRule="auto"/>
              <w:ind w:firstLine="480" w:firstLineChars="200"/>
              <w:jc w:val="both"/>
              <w:rPr>
                <w:rFonts w:ascii="Times New Roman" w:hAnsi="Times New Roman"/>
                <w:color w:val="auto"/>
                <w:sz w:val="24"/>
              </w:rPr>
            </w:pPr>
            <w:r>
              <w:rPr>
                <w:rFonts w:ascii="Times New Roman" w:hAnsi="Times New Roman"/>
                <w:color w:val="auto"/>
                <w:sz w:val="24"/>
              </w:rPr>
              <w:t>液态氮是惰性的，无色无味，无腐蚀性，不可燃，温度极低。微溶于水、乙醇，化学式为</w:t>
            </w:r>
            <w:r>
              <w:rPr>
                <w:rFonts w:hint="eastAsia" w:ascii="Times New Roman" w:hAnsi="Times New Roman"/>
                <w:color w:val="auto"/>
                <w:sz w:val="24"/>
              </w:rPr>
              <w:t>N</w:t>
            </w:r>
            <w:r>
              <w:rPr>
                <w:rFonts w:hint="eastAsia" w:ascii="Times New Roman" w:hAnsi="Times New Roman"/>
                <w:color w:val="auto"/>
                <w:sz w:val="24"/>
                <w:vertAlign w:val="subscript"/>
              </w:rPr>
              <w:t>2</w:t>
            </w:r>
            <w:r>
              <w:rPr>
                <w:rFonts w:ascii="Times New Roman" w:hAnsi="Times New Roman"/>
                <w:color w:val="auto"/>
                <w:sz w:val="24"/>
              </w:rPr>
              <w:t>；密度</w:t>
            </w:r>
            <w:r>
              <w:rPr>
                <w:rFonts w:hint="eastAsia" w:ascii="Times New Roman" w:hAnsi="Times New Roman"/>
                <w:color w:val="auto"/>
                <w:sz w:val="24"/>
              </w:rPr>
              <w:t>810</w:t>
            </w:r>
            <w:r>
              <w:rPr>
                <w:rFonts w:ascii="Times New Roman" w:hAnsi="Times New Roman"/>
                <w:color w:val="auto"/>
                <w:sz w:val="24"/>
              </w:rPr>
              <w:t>kg/m</w:t>
            </w:r>
            <w:r>
              <w:rPr>
                <w:rFonts w:ascii="Times New Roman" w:hAnsi="Times New Roman"/>
                <w:color w:val="auto"/>
                <w:sz w:val="24"/>
                <w:vertAlign w:val="superscript"/>
              </w:rPr>
              <w:t>3</w:t>
            </w:r>
            <w:r>
              <w:rPr>
                <w:rFonts w:ascii="Times New Roman" w:hAnsi="Times New Roman"/>
                <w:color w:val="auto"/>
                <w:sz w:val="24"/>
              </w:rPr>
              <w:t>，熔点-2</w:t>
            </w:r>
            <w:r>
              <w:rPr>
                <w:rFonts w:hint="eastAsia" w:ascii="Times New Roman" w:hAnsi="Times New Roman"/>
                <w:color w:val="auto"/>
                <w:sz w:val="24"/>
              </w:rPr>
              <w:t>09.8</w:t>
            </w:r>
            <w:r>
              <w:rPr>
                <w:rFonts w:ascii="Times New Roman" w:hAnsi="Times New Roman"/>
                <w:color w:val="auto"/>
                <w:sz w:val="24"/>
              </w:rPr>
              <w:t>℃，沸点-195.</w:t>
            </w:r>
            <w:r>
              <w:rPr>
                <w:rFonts w:hint="eastAsia" w:ascii="Times New Roman" w:hAnsi="Times New Roman"/>
                <w:color w:val="auto"/>
                <w:sz w:val="24"/>
              </w:rPr>
              <w:t>6</w:t>
            </w:r>
            <w:r>
              <w:rPr>
                <w:rFonts w:ascii="Times New Roman" w:hAnsi="Times New Roman"/>
                <w:color w:val="auto"/>
                <w:sz w:val="24"/>
              </w:rPr>
              <w:t>℃，临界温度-147℃，临界压力3.39Mpa。它是一种使人窒息的气体、液氮为低温会对人造成冻伤、不可与皮肤接触。项目用做制冷剂，于新建的1座含汽化器的20m</w:t>
            </w:r>
            <w:r>
              <w:rPr>
                <w:rFonts w:ascii="Times New Roman" w:hAnsi="Times New Roman"/>
                <w:color w:val="auto"/>
                <w:sz w:val="24"/>
                <w:vertAlign w:val="superscript"/>
              </w:rPr>
              <w:t>3</w:t>
            </w:r>
            <w:r>
              <w:rPr>
                <w:rFonts w:ascii="Times New Roman" w:hAnsi="Times New Roman"/>
                <w:color w:val="auto"/>
                <w:sz w:val="24"/>
              </w:rPr>
              <w:t>液氮储罐中储存。</w:t>
            </w:r>
          </w:p>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bCs/>
                <w:color w:val="auto"/>
                <w:sz w:val="24"/>
                <w:szCs w:val="24"/>
              </w:rPr>
              <w:t>（3）</w:t>
            </w:r>
            <w:r>
              <w:rPr>
                <w:rFonts w:ascii="Times New Roman" w:hAnsi="Times New Roman"/>
                <w:bCs/>
                <w:color w:val="auto"/>
                <w:sz w:val="24"/>
                <w:szCs w:val="24"/>
              </w:rPr>
              <w:t>脱氢催化剂</w:t>
            </w:r>
            <w:r>
              <w:rPr>
                <w:rFonts w:hint="eastAsia" w:ascii="Times New Roman" w:hAnsi="Times New Roman"/>
                <w:bCs/>
                <w:color w:val="auto"/>
                <w:sz w:val="24"/>
                <w:szCs w:val="24"/>
              </w:rPr>
              <w:t>-</w:t>
            </w:r>
            <w:r>
              <w:rPr>
                <w:rFonts w:ascii="Times New Roman" w:hAnsi="Times New Roman"/>
                <w:bCs/>
                <w:color w:val="auto"/>
                <w:sz w:val="24"/>
                <w:szCs w:val="24"/>
              </w:rPr>
              <w:t>钯-氧化铝</w:t>
            </w:r>
          </w:p>
          <w:p>
            <w:pPr>
              <w:pStyle w:val="329"/>
              <w:widowControl w:val="0"/>
              <w:tabs>
                <w:tab w:val="left" w:pos="978"/>
                <w:tab w:val="left" w:pos="4536"/>
              </w:tabs>
              <w:spacing w:line="360" w:lineRule="auto"/>
              <w:ind w:firstLine="480"/>
              <w:jc w:val="both"/>
              <w:rPr>
                <w:rFonts w:ascii="Times New Roman" w:hAnsi="Times New Roman"/>
                <w:color w:val="auto"/>
                <w:sz w:val="24"/>
              </w:rPr>
            </w:pPr>
            <w:r>
              <w:rPr>
                <w:rFonts w:ascii="Times New Roman" w:hAnsi="Times New Roman"/>
                <w:bCs/>
                <w:color w:val="auto"/>
                <w:sz w:val="24"/>
                <w:szCs w:val="24"/>
              </w:rPr>
              <w:t>本项目采用钯-氧化铝作为脱氢催化剂，其分子式是Pd/Al</w:t>
            </w:r>
            <w:r>
              <w:rPr>
                <w:rFonts w:ascii="Times New Roman" w:hAnsi="Times New Roman"/>
                <w:bCs/>
                <w:color w:val="auto"/>
                <w:sz w:val="24"/>
                <w:szCs w:val="24"/>
                <w:vertAlign w:val="subscript"/>
              </w:rPr>
              <w:t>2</w:t>
            </w:r>
            <w:r>
              <w:rPr>
                <w:rFonts w:ascii="Times New Roman" w:hAnsi="Times New Roman"/>
                <w:bCs/>
                <w:color w:val="auto"/>
                <w:sz w:val="24"/>
                <w:szCs w:val="24"/>
              </w:rPr>
              <w:t>O</w:t>
            </w:r>
            <w:r>
              <w:rPr>
                <w:rFonts w:ascii="Times New Roman" w:hAnsi="Times New Roman"/>
                <w:bCs/>
                <w:color w:val="auto"/>
                <w:sz w:val="24"/>
                <w:szCs w:val="24"/>
                <w:vertAlign w:val="subscript"/>
              </w:rPr>
              <w:t>3</w:t>
            </w:r>
            <w:r>
              <w:rPr>
                <w:rFonts w:ascii="Times New Roman" w:hAnsi="Times New Roman"/>
                <w:bCs/>
                <w:color w:val="auto"/>
                <w:sz w:val="24"/>
                <w:szCs w:val="24"/>
              </w:rPr>
              <w:t>，分子量106.42，为银白色金属，面心立方结晶。熔点1555℃；沸点3167℃；莫氏硬度4.8，布式硬度61.0。易溶于王水，能溶于热硝酸及硫酸，微溶于益酸，不溶于冷水和热水。耐硫化氢腐蚀，常温下表面不晦暗。氢氟酸、高氯酸、磷酸、醋酸常温下不腐蚀钯，但盐酸、硫酸、氢溴酸可轻微腐蚀钯。硝酸、氯化铁、次氯酸盐和湿的卤素会快速腐蚀钯。应贮存在于燥、清洁的库房内。运输过程中要防雨淋和防剧烈震动。</w:t>
            </w:r>
          </w:p>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color w:val="auto"/>
                <w:sz w:val="24"/>
              </w:rPr>
              <w:t>（4）</w:t>
            </w:r>
            <w:r>
              <w:rPr>
                <w:rFonts w:ascii="Times New Roman" w:hAnsi="Times New Roman"/>
                <w:color w:val="auto"/>
                <w:sz w:val="24"/>
              </w:rPr>
              <w:t>脱水吸附剂</w:t>
            </w:r>
            <w:r>
              <w:rPr>
                <w:rFonts w:hint="eastAsia" w:ascii="Times New Roman" w:hAnsi="Times New Roman"/>
                <w:color w:val="auto"/>
                <w:sz w:val="24"/>
              </w:rPr>
              <w:t>-</w:t>
            </w:r>
            <w:r>
              <w:rPr>
                <w:rFonts w:ascii="Times New Roman" w:hAnsi="Times New Roman"/>
                <w:color w:val="auto"/>
                <w:sz w:val="24"/>
              </w:rPr>
              <w:t>13X分子筛</w:t>
            </w:r>
          </w:p>
          <w:p>
            <w:pPr>
              <w:pStyle w:val="329"/>
              <w:widowControl w:val="0"/>
              <w:tabs>
                <w:tab w:val="left" w:pos="978"/>
                <w:tab w:val="left" w:pos="4536"/>
              </w:tabs>
              <w:spacing w:line="360" w:lineRule="auto"/>
              <w:ind w:firstLine="480"/>
              <w:jc w:val="both"/>
              <w:rPr>
                <w:rFonts w:ascii="Times New Roman" w:hAnsi="Times New Roman"/>
                <w:bCs/>
                <w:color w:val="auto"/>
                <w:sz w:val="24"/>
                <w:szCs w:val="24"/>
              </w:rPr>
            </w:pPr>
            <w:r>
              <w:rPr>
                <w:rFonts w:ascii="Times New Roman" w:hAnsi="Times New Roman"/>
                <w:bCs/>
                <w:color w:val="auto"/>
                <w:sz w:val="24"/>
                <w:szCs w:val="24"/>
              </w:rPr>
              <w:t>本项目采用13X分子筛作为装置过程中的脱水吸附剂，13X型分子筛，也叫钠X型分子筛，是碱金属硅铝酸盐，具有一定的碱性，属于一类固体碱，其化学式为Na</w:t>
            </w:r>
            <w:r>
              <w:rPr>
                <w:rFonts w:ascii="Times New Roman" w:hAnsi="Times New Roman"/>
                <w:bCs/>
                <w:color w:val="auto"/>
                <w:sz w:val="24"/>
                <w:szCs w:val="24"/>
                <w:vertAlign w:val="subscript"/>
              </w:rPr>
              <w:t>2</w:t>
            </w:r>
            <w:r>
              <w:rPr>
                <w:rFonts w:ascii="Times New Roman" w:hAnsi="Times New Roman"/>
                <w:bCs/>
                <w:color w:val="auto"/>
                <w:sz w:val="24"/>
                <w:szCs w:val="24"/>
              </w:rPr>
              <w:t>O· Al</w:t>
            </w:r>
            <w:r>
              <w:rPr>
                <w:rFonts w:ascii="Times New Roman" w:hAnsi="Times New Roman"/>
                <w:bCs/>
                <w:color w:val="auto"/>
                <w:sz w:val="24"/>
                <w:szCs w:val="24"/>
                <w:vertAlign w:val="subscript"/>
              </w:rPr>
              <w:t>2</w:t>
            </w:r>
            <w:r>
              <w:rPr>
                <w:rFonts w:ascii="Times New Roman" w:hAnsi="Times New Roman"/>
                <w:bCs/>
                <w:color w:val="auto"/>
                <w:sz w:val="24"/>
                <w:szCs w:val="24"/>
              </w:rPr>
              <w:t>O</w:t>
            </w:r>
            <w:r>
              <w:rPr>
                <w:rFonts w:ascii="Times New Roman" w:hAnsi="Times New Roman"/>
                <w:bCs/>
                <w:color w:val="auto"/>
                <w:sz w:val="24"/>
                <w:szCs w:val="24"/>
                <w:vertAlign w:val="subscript"/>
              </w:rPr>
              <w:t>3</w:t>
            </w:r>
            <w:r>
              <w:rPr>
                <w:rFonts w:ascii="Times New Roman" w:hAnsi="Times New Roman"/>
                <w:bCs/>
                <w:color w:val="auto"/>
                <w:sz w:val="24"/>
                <w:szCs w:val="24"/>
              </w:rPr>
              <w:t>·2.45SiO</w:t>
            </w:r>
            <w:r>
              <w:rPr>
                <w:rFonts w:ascii="Times New Roman" w:hAnsi="Times New Roman"/>
                <w:bCs/>
                <w:color w:val="auto"/>
                <w:sz w:val="24"/>
                <w:szCs w:val="24"/>
                <w:vertAlign w:val="subscript"/>
              </w:rPr>
              <w:t>2</w:t>
            </w:r>
            <w:r>
              <w:rPr>
                <w:rFonts w:ascii="Times New Roman" w:hAnsi="Times New Roman"/>
                <w:bCs/>
                <w:color w:val="auto"/>
                <w:sz w:val="24"/>
                <w:szCs w:val="24"/>
              </w:rPr>
              <w:t>·6.0H</w:t>
            </w:r>
            <w:r>
              <w:rPr>
                <w:rFonts w:ascii="Times New Roman" w:hAnsi="Times New Roman"/>
                <w:bCs/>
                <w:color w:val="auto"/>
                <w:sz w:val="24"/>
                <w:szCs w:val="24"/>
                <w:vertAlign w:val="subscript"/>
              </w:rPr>
              <w:t>2</w:t>
            </w:r>
            <w:r>
              <w:rPr>
                <w:rFonts w:ascii="Times New Roman" w:hAnsi="Times New Roman"/>
                <w:bCs/>
                <w:color w:val="auto"/>
                <w:sz w:val="24"/>
                <w:szCs w:val="24"/>
              </w:rPr>
              <w:t>0，其孔径为10A，吸附孔径值在3.64</w:t>
            </w:r>
            <w:r>
              <w:rPr>
                <w:rFonts w:hint="eastAsia" w:ascii="Times New Roman" w:hAnsi="Times New Roman"/>
                <w:bCs/>
                <w:color w:val="auto"/>
                <w:sz w:val="24"/>
                <w:szCs w:val="24"/>
              </w:rPr>
              <w:t>~</w:t>
            </w:r>
            <w:r>
              <w:rPr>
                <w:rFonts w:ascii="Times New Roman" w:hAnsi="Times New Roman"/>
                <w:bCs/>
                <w:color w:val="auto"/>
                <w:sz w:val="24"/>
                <w:szCs w:val="24"/>
              </w:rPr>
              <w:t>10A之间的任何分子，硅铝比SiO</w:t>
            </w:r>
            <w:r>
              <w:rPr>
                <w:rFonts w:ascii="Times New Roman" w:hAnsi="Times New Roman"/>
                <w:bCs/>
                <w:color w:val="auto"/>
                <w:sz w:val="24"/>
                <w:szCs w:val="24"/>
                <w:vertAlign w:val="subscript"/>
              </w:rPr>
              <w:t>2</w:t>
            </w:r>
            <w:r>
              <w:rPr>
                <w:rFonts w:hint="eastAsia" w:ascii="Times New Roman" w:hAnsi="Times New Roman"/>
                <w:bCs/>
                <w:color w:val="auto"/>
                <w:sz w:val="24"/>
                <w:szCs w:val="24"/>
              </w:rPr>
              <w:t>：</w:t>
            </w:r>
            <w:r>
              <w:rPr>
                <w:rFonts w:ascii="Times New Roman" w:hAnsi="Times New Roman"/>
                <w:bCs/>
                <w:color w:val="auto"/>
                <w:sz w:val="24"/>
                <w:szCs w:val="24"/>
              </w:rPr>
              <w:t>Al</w:t>
            </w:r>
            <w:r>
              <w:rPr>
                <w:rFonts w:ascii="Times New Roman" w:hAnsi="Times New Roman"/>
                <w:bCs/>
                <w:color w:val="auto"/>
                <w:sz w:val="24"/>
                <w:szCs w:val="24"/>
                <w:vertAlign w:val="subscript"/>
              </w:rPr>
              <w:t>2</w:t>
            </w:r>
            <w:r>
              <w:rPr>
                <w:rFonts w:ascii="Times New Roman" w:hAnsi="Times New Roman"/>
                <w:bCs/>
                <w:color w:val="auto"/>
                <w:sz w:val="24"/>
                <w:szCs w:val="24"/>
              </w:rPr>
              <w:t>O</w:t>
            </w:r>
            <w:r>
              <w:rPr>
                <w:rFonts w:ascii="Times New Roman" w:hAnsi="Times New Roman"/>
                <w:bCs/>
                <w:color w:val="auto"/>
                <w:sz w:val="24"/>
                <w:szCs w:val="24"/>
                <w:vertAlign w:val="subscript"/>
              </w:rPr>
              <w:t>3</w:t>
            </w:r>
            <w:r>
              <w:rPr>
                <w:rFonts w:ascii="Times New Roman" w:hAnsi="Times New Roman"/>
                <w:bCs/>
                <w:color w:val="auto"/>
                <w:sz w:val="24"/>
                <w:szCs w:val="24"/>
              </w:rPr>
              <w:t>≈2.6~3.0。</w:t>
            </w:r>
          </w:p>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bCs/>
                <w:color w:val="auto"/>
                <w:sz w:val="24"/>
                <w:szCs w:val="24"/>
              </w:rPr>
              <w:t>（5）</w:t>
            </w:r>
            <w:r>
              <w:rPr>
                <w:rFonts w:ascii="Times New Roman" w:hAnsi="Times New Roman"/>
                <w:bCs/>
                <w:color w:val="auto"/>
                <w:sz w:val="24"/>
                <w:szCs w:val="24"/>
              </w:rPr>
              <w:t>纯化吸附剂</w:t>
            </w:r>
            <w:r>
              <w:rPr>
                <w:rFonts w:hint="eastAsia" w:ascii="Times New Roman" w:hAnsi="Times New Roman"/>
                <w:bCs/>
                <w:color w:val="auto"/>
                <w:sz w:val="24"/>
                <w:szCs w:val="24"/>
              </w:rPr>
              <w:t>-</w:t>
            </w:r>
            <w:r>
              <w:rPr>
                <w:rFonts w:ascii="Times New Roman" w:hAnsi="Times New Roman"/>
                <w:bCs/>
                <w:color w:val="auto"/>
                <w:sz w:val="24"/>
                <w:szCs w:val="24"/>
              </w:rPr>
              <w:t>活性炭</w:t>
            </w:r>
          </w:p>
          <w:p>
            <w:pPr>
              <w:tabs>
                <w:tab w:val="left" w:pos="4536"/>
              </w:tabs>
              <w:spacing w:line="360" w:lineRule="auto"/>
              <w:ind w:firstLine="480" w:firstLineChars="200"/>
              <w:jc w:val="both"/>
              <w:rPr>
                <w:rFonts w:ascii="Times New Roman" w:hAnsi="Times New Roman"/>
                <w:color w:val="auto"/>
                <w:sz w:val="24"/>
              </w:rPr>
            </w:pPr>
            <w:r>
              <w:rPr>
                <w:rFonts w:ascii="Times New Roman" w:hAnsi="Times New Roman"/>
                <w:color w:val="auto"/>
                <w:sz w:val="24"/>
              </w:rPr>
              <w:t>活性炭是由木质、煤质和石油焦等含碳的原料经热解、活化加工制备而成，具有发达的孔隙结构、较大的比表面积和丰富的表面化学基团，特异性吸附能力较强的炭材料的统称。活性炭表面的微孔直径大多在2～50nm之间，即使是少量的活性炭，也有巨大的表面积，每克活性炭的表面积约为500~1500m</w:t>
            </w:r>
            <w:r>
              <w:rPr>
                <w:rFonts w:ascii="Times New Roman" w:hAnsi="Times New Roman"/>
                <w:color w:val="auto"/>
                <w:sz w:val="24"/>
                <w:vertAlign w:val="superscript"/>
              </w:rPr>
              <w:t>2</w:t>
            </w:r>
            <w:r>
              <w:rPr>
                <w:rFonts w:ascii="Times New Roman" w:hAnsi="Times New Roman"/>
                <w:color w:val="auto"/>
                <w:sz w:val="24"/>
              </w:rPr>
              <w:t>，活性炭的一切应用，几乎都基于活性炭的这一特点。本项目也利用活性炭的这一特质，将其用作纯化吸附剂。</w:t>
            </w:r>
          </w:p>
          <w:p>
            <w:pPr>
              <w:tabs>
                <w:tab w:val="left" w:pos="4536"/>
              </w:tabs>
              <w:spacing w:line="360" w:lineRule="auto"/>
              <w:ind w:firstLine="480" w:firstLineChars="200"/>
              <w:rPr>
                <w:rFonts w:ascii="Times New Roman" w:hAnsi="Times New Roman"/>
                <w:color w:val="auto"/>
                <w:sz w:val="24"/>
              </w:rPr>
            </w:pPr>
            <w:r>
              <w:rPr>
                <w:rFonts w:hint="eastAsia" w:ascii="Times New Roman" w:hAnsi="Times New Roman"/>
                <w:bCs/>
                <w:color w:val="auto"/>
                <w:sz w:val="24"/>
                <w:szCs w:val="24"/>
              </w:rPr>
              <w:t>（6）变压吸附剂-</w:t>
            </w:r>
            <w:r>
              <w:rPr>
                <w:rFonts w:ascii="Times New Roman" w:hAnsi="Times New Roman"/>
                <w:bCs/>
                <w:color w:val="auto"/>
                <w:sz w:val="24"/>
                <w:szCs w:val="24"/>
              </w:rPr>
              <w:t>5A分子筛</w:t>
            </w:r>
          </w:p>
          <w:p>
            <w:pPr>
              <w:pStyle w:val="329"/>
              <w:widowControl w:val="0"/>
              <w:tabs>
                <w:tab w:val="left" w:pos="978"/>
                <w:tab w:val="left" w:pos="4536"/>
              </w:tabs>
              <w:spacing w:line="360" w:lineRule="auto"/>
              <w:ind w:firstLine="480"/>
              <w:jc w:val="both"/>
              <w:rPr>
                <w:rFonts w:ascii="Times New Roman" w:hAnsi="Times New Roman"/>
                <w:color w:val="auto"/>
              </w:rPr>
            </w:pPr>
            <w:r>
              <w:rPr>
                <w:rFonts w:ascii="Times New Roman" w:hAnsi="Times New Roman"/>
                <w:bCs/>
                <w:color w:val="auto"/>
                <w:sz w:val="24"/>
                <w:szCs w:val="24"/>
              </w:rPr>
              <w:t>本项目采用5A分子筛作为VPSA吸附剂，5A分子筛是一种A型分子筛晶体结构、孔径约为5A的钙钠型分子筛，一般称为钙分子筛，可吸附小于该孔径的任何分子，硅铝比SiO</w:t>
            </w:r>
            <w:r>
              <w:rPr>
                <w:rFonts w:ascii="Times New Roman" w:hAnsi="Times New Roman"/>
                <w:bCs/>
                <w:color w:val="auto"/>
                <w:sz w:val="24"/>
                <w:szCs w:val="24"/>
                <w:vertAlign w:val="subscript"/>
              </w:rPr>
              <w:t>2</w:t>
            </w:r>
            <w:r>
              <w:rPr>
                <w:rFonts w:hint="eastAsia" w:ascii="Times New Roman" w:hAnsi="Times New Roman"/>
                <w:bCs/>
                <w:color w:val="auto"/>
                <w:sz w:val="24"/>
                <w:szCs w:val="24"/>
              </w:rPr>
              <w:t>：</w:t>
            </w:r>
            <w:r>
              <w:rPr>
                <w:rFonts w:ascii="Times New Roman" w:hAnsi="Times New Roman"/>
                <w:bCs/>
                <w:color w:val="auto"/>
                <w:sz w:val="24"/>
                <w:szCs w:val="24"/>
              </w:rPr>
              <w:t>A</w:t>
            </w:r>
            <w:r>
              <w:rPr>
                <w:rFonts w:hint="eastAsia" w:ascii="Times New Roman" w:hAnsi="Times New Roman"/>
                <w:bCs/>
                <w:color w:val="auto"/>
                <w:sz w:val="24"/>
                <w:szCs w:val="24"/>
              </w:rPr>
              <w:t>l</w:t>
            </w:r>
            <w:r>
              <w:rPr>
                <w:rFonts w:ascii="Times New Roman" w:hAnsi="Times New Roman"/>
                <w:bCs/>
                <w:color w:val="auto"/>
                <w:sz w:val="24"/>
                <w:szCs w:val="24"/>
                <w:vertAlign w:val="subscript"/>
              </w:rPr>
              <w:t>2</w:t>
            </w:r>
            <w:r>
              <w:rPr>
                <w:rFonts w:ascii="Times New Roman" w:hAnsi="Times New Roman"/>
                <w:bCs/>
                <w:color w:val="auto"/>
                <w:sz w:val="24"/>
                <w:szCs w:val="24"/>
              </w:rPr>
              <w:t>O</w:t>
            </w:r>
            <w:r>
              <w:rPr>
                <w:rFonts w:ascii="Times New Roman" w:hAnsi="Times New Roman"/>
                <w:bCs/>
                <w:color w:val="auto"/>
                <w:sz w:val="24"/>
                <w:szCs w:val="24"/>
                <w:vertAlign w:val="subscript"/>
              </w:rPr>
              <w:t>3</w:t>
            </w:r>
            <w:r>
              <w:rPr>
                <w:rFonts w:ascii="Times New Roman" w:hAnsi="Times New Roman"/>
                <w:bCs/>
                <w:color w:val="auto"/>
                <w:sz w:val="24"/>
                <w:szCs w:val="24"/>
              </w:rPr>
              <w:t>≈2。它除具有3A，4A分子筛所具有的功效外，还可吸附C3—C4正构烷烃，氯乙烷，溴乙烷，丁醇等，可应用于正异构烃分离、变压吸附分离及水和二氧化碳的共吸附。这种筛用分子水平下的物质吸收。它可以吸附多达自己体重的22%的水。其吸附原理与色谱法相似，只是没有改变物质的分子组合。5A分子筛选择吸附性高、吸附速度快、特别适用于变压吸附，可适应各种大小的制氧、制氢、制二氧化碳等气体变压吸附装置，是变压吸附行业中的精品。储存：室温，相对湿度不大于90%；不宜直接暴露于空气中；避免水、酸、碱。包装：纸板桶或纸箱包装。注意：避免分子筛直接暴露于空气当中。</w:t>
            </w:r>
          </w:p>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6、</w:t>
            </w:r>
            <w:r>
              <w:rPr>
                <w:rFonts w:ascii="Times New Roman" w:hAnsi="Times New Roman"/>
                <w:b/>
                <w:bCs/>
                <w:color w:val="auto"/>
                <w:sz w:val="24"/>
                <w:szCs w:val="24"/>
              </w:rPr>
              <w:t>产品方案</w:t>
            </w:r>
          </w:p>
          <w:p>
            <w:pPr>
              <w:widowControl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本项目氦气</w:t>
            </w:r>
            <w:r>
              <w:rPr>
                <w:rFonts w:hint="eastAsia" w:ascii="Times New Roman" w:hAnsi="Times New Roman"/>
                <w:bCs/>
                <w:color w:val="auto"/>
                <w:sz w:val="24"/>
                <w:szCs w:val="24"/>
              </w:rPr>
              <w:t>年产10万m</w:t>
            </w:r>
            <w:r>
              <w:rPr>
                <w:rFonts w:hint="eastAsia" w:ascii="Times New Roman" w:hAnsi="Times New Roman"/>
                <w:bCs/>
                <w:color w:val="auto"/>
                <w:sz w:val="24"/>
                <w:szCs w:val="24"/>
                <w:vertAlign w:val="superscript"/>
              </w:rPr>
              <w:t>3</w:t>
            </w:r>
            <w:r>
              <w:rPr>
                <w:rFonts w:hint="eastAsia" w:ascii="Times New Roman" w:hAnsi="Times New Roman"/>
                <w:bCs/>
                <w:color w:val="auto"/>
                <w:sz w:val="24"/>
                <w:szCs w:val="24"/>
              </w:rPr>
              <w:t>，产品指标执行《纯氦、高纯氦和超纯氦》（GB/T 4844-2011）表1中高纯氦的标准，高纯氦标准指标参数见表10。本项目产品规格表见表11。</w:t>
            </w:r>
          </w:p>
          <w:p>
            <w:pPr>
              <w:widowControl w:val="0"/>
              <w:numPr>
                <w:ilvl w:val="0"/>
                <w:numId w:val="13"/>
              </w:numPr>
              <w:spacing w:line="360" w:lineRule="auto"/>
              <w:jc w:val="center"/>
              <w:rPr>
                <w:rFonts w:ascii="Times New Roman" w:hAnsi="Times New Roman"/>
                <w:b/>
                <w:color w:val="auto"/>
                <w:sz w:val="24"/>
                <w:szCs w:val="24"/>
              </w:rPr>
            </w:pPr>
            <w:r>
              <w:rPr>
                <w:rFonts w:hint="eastAsia" w:ascii="Times New Roman" w:hAnsi="Times New Roman"/>
                <w:b/>
                <w:color w:val="auto"/>
                <w:sz w:val="24"/>
                <w:szCs w:val="24"/>
              </w:rPr>
              <w:t>《纯氦、高纯氦和超纯氦》（GB/T 4844-2011）中高纯氦标准</w:t>
            </w:r>
          </w:p>
          <w:tbl>
            <w:tblPr>
              <w:tblStyle w:val="9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3"/>
              <w:gridCol w:w="4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bCs/>
                      <w:color w:val="auto"/>
                      <w:szCs w:val="21"/>
                    </w:rPr>
                  </w:pPr>
                  <w:r>
                    <w:rPr>
                      <w:rFonts w:hint="eastAsia" w:ascii="Times New Roman" w:hAnsi="Times New Roman"/>
                      <w:bCs/>
                      <w:color w:val="auto"/>
                      <w:szCs w:val="21"/>
                      <w:lang w:val="zh-CN"/>
                    </w:rPr>
                    <w:t>项目</w:t>
                  </w:r>
                </w:p>
              </w:tc>
              <w:tc>
                <w:tcPr>
                  <w:tcW w:w="2730" w:type="pct"/>
                  <w:vAlign w:val="center"/>
                </w:tcPr>
                <w:p>
                  <w:pPr>
                    <w:jc w:val="center"/>
                    <w:rPr>
                      <w:rFonts w:ascii="Times New Roman" w:hAnsi="Times New Roman"/>
                      <w:bCs/>
                      <w:color w:val="auto"/>
                      <w:szCs w:val="21"/>
                    </w:rPr>
                  </w:pPr>
                  <w:r>
                    <w:rPr>
                      <w:rFonts w:hint="eastAsia" w:ascii="Times New Roman" w:hAnsi="Times New Roman"/>
                      <w:bCs/>
                      <w:color w:val="auto"/>
                      <w:szCs w:val="21"/>
                    </w:rPr>
                    <w:t>高纯氦指标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氦气纯度（体积分数）/10</w:t>
                  </w:r>
                  <w:r>
                    <w:rPr>
                      <w:rFonts w:hint="eastAsia" w:ascii="Times New Roman" w:hAnsi="Times New Roman"/>
                      <w:color w:val="auto"/>
                      <w:szCs w:val="21"/>
                      <w:vertAlign w:val="superscript"/>
                    </w:rPr>
                    <w:t>-2</w:t>
                  </w:r>
                </w:p>
              </w:tc>
              <w:tc>
                <w:tcPr>
                  <w:tcW w:w="2730" w:type="pct"/>
                  <w:vAlign w:val="center"/>
                </w:tcPr>
                <w:p>
                  <w:pPr>
                    <w:jc w:val="center"/>
                    <w:rPr>
                      <w:rFonts w:ascii="Times New Roman" w:hAnsi="Times New Roman"/>
                      <w:color w:val="auto"/>
                      <w:szCs w:val="21"/>
                    </w:rPr>
                  </w:pPr>
                  <w:r>
                    <w:rPr>
                      <w:rFonts w:hint="eastAsia" w:ascii="宋体" w:hAnsi="宋体" w:cs="宋体"/>
                      <w:color w:val="auto"/>
                      <w:szCs w:val="21"/>
                    </w:rPr>
                    <w:t>≧</w:t>
                  </w:r>
                  <w:r>
                    <w:rPr>
                      <w:rFonts w:hint="eastAsia" w:ascii="Times New Roman" w:hAnsi="Times New Roman"/>
                      <w:color w:val="auto"/>
                      <w:szCs w:val="21"/>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氖气含量（体积分数）/10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氢气含量（体积分数）/10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（氧气+氩）含量（体积分数）/10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氮气含量（体积分数）/10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一氧化碳含量（体积分数）/10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二氧化碳含量（体积分数）/10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甲烷含量（体积分数）/10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color w:val="auto"/>
                      <w:szCs w:val="21"/>
                    </w:rPr>
                  </w:pPr>
                  <w:r>
                    <w:rPr>
                      <w:rFonts w:hint="eastAsia" w:ascii="Times New Roman" w:hAnsi="Times New Roman"/>
                      <w:color w:val="auto"/>
                      <w:szCs w:val="21"/>
                    </w:rPr>
                    <w:t>水分含量（体积分数）/10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m:oMath>
                    <m:r>
                      <m:rPr>
                        <m:sty m:val="p"/>
                      </m:rPr>
                      <w:rPr>
                        <w:rFonts w:ascii="Cambria Math" w:hAnsi="Cambria Math"/>
                        <w:color w:val="auto"/>
                        <w:szCs w:val="21"/>
                      </w:rPr>
                      <m:t>&lt;</m:t>
                    </m:r>
                  </m:oMath>
                  <w:r>
                    <w:rPr>
                      <w:rFonts w:hint="eastAsia" w:ascii="Times New Roman" w:hAnsi="Times New Roman"/>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69" w:type="pct"/>
                  <w:vAlign w:val="center"/>
                </w:tcPr>
                <w:p>
                  <w:pPr>
                    <w:jc w:val="center"/>
                    <w:rPr>
                      <w:rFonts w:ascii="Times New Roman" w:hAnsi="Times New Roman"/>
                      <w:b/>
                      <w:bCs/>
                      <w:color w:val="auto"/>
                      <w:szCs w:val="21"/>
                    </w:rPr>
                  </w:pPr>
                  <w:r>
                    <w:rPr>
                      <w:rFonts w:hint="eastAsia" w:ascii="Times New Roman" w:hAnsi="Times New Roman"/>
                      <w:color w:val="auto"/>
                      <w:szCs w:val="21"/>
                    </w:rPr>
                    <w:t>总杂质含量（体积分数）/10</w:t>
                  </w:r>
                  <w:r>
                    <w:rPr>
                      <w:rFonts w:hint="eastAsia" w:ascii="Times New Roman" w:hAnsi="Times New Roman"/>
                      <w:color w:val="auto"/>
                      <w:szCs w:val="21"/>
                      <w:vertAlign w:val="superscript"/>
                    </w:rPr>
                    <w:t>-6</w:t>
                  </w:r>
                </w:p>
              </w:tc>
              <w:tc>
                <w:tcPr>
                  <w:tcW w:w="2730" w:type="pct"/>
                  <w:vAlign w:val="center"/>
                </w:tcPr>
                <w:p>
                  <w:pPr>
                    <w:jc w:val="center"/>
                    <w:rPr>
                      <w:rFonts w:ascii="Times New Roman" w:hAnsi="Times New Roman"/>
                      <w:color w:val="auto"/>
                      <w:szCs w:val="21"/>
                    </w:rPr>
                  </w:pPr>
                  <w:r>
                    <w:rPr>
                      <w:rFonts w:hint="eastAsia" w:ascii="宋体" w:hAnsi="宋体" w:cs="宋体"/>
                      <w:color w:val="auto"/>
                      <w:szCs w:val="21"/>
                    </w:rPr>
                    <w:t>≦</w:t>
                  </w:r>
                  <w:r>
                    <w:rPr>
                      <w:rFonts w:hint="eastAsia" w:ascii="Times New Roman" w:hAnsi="Times New Roman"/>
                      <w:color w:val="auto"/>
                      <w:szCs w:val="21"/>
                    </w:rPr>
                    <w:t>10</w:t>
                  </w:r>
                </w:p>
              </w:tc>
            </w:tr>
          </w:tbl>
          <w:p>
            <w:pPr>
              <w:widowControl w:val="0"/>
              <w:numPr>
                <w:ilvl w:val="0"/>
                <w:numId w:val="13"/>
              </w:numPr>
              <w:spacing w:line="360" w:lineRule="auto"/>
              <w:jc w:val="center"/>
              <w:rPr>
                <w:rFonts w:ascii="Times New Roman" w:hAnsi="Times New Roman"/>
                <w:b/>
                <w:color w:val="auto"/>
                <w:sz w:val="24"/>
                <w:szCs w:val="24"/>
              </w:rPr>
            </w:pPr>
            <w:r>
              <w:rPr>
                <w:rFonts w:ascii="Times New Roman" w:hAnsi="Times New Roman"/>
                <w:b/>
                <w:color w:val="auto"/>
                <w:sz w:val="24"/>
                <w:szCs w:val="24"/>
              </w:rPr>
              <w:t>氦气产品状态参数表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30" w:type="dxa"/>
                <w:bottom w:w="0" w:type="dxa"/>
                <w:right w:w="30" w:type="dxa"/>
              </w:tblCellMar>
            </w:tblPr>
            <w:tblGrid>
              <w:gridCol w:w="1628"/>
              <w:gridCol w:w="2028"/>
              <w:gridCol w:w="1673"/>
              <w:gridCol w:w="1685"/>
              <w:gridCol w:w="1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jc w:val="center"/>
              </w:trPr>
              <w:tc>
                <w:tcPr>
                  <w:tcW w:w="939" w:type="pct"/>
                  <w:vAlign w:val="center"/>
                </w:tcPr>
                <w:p>
                  <w:pPr>
                    <w:adjustRightInd w:val="0"/>
                    <w:jc w:val="center"/>
                    <w:rPr>
                      <w:rFonts w:ascii="Times New Roman" w:hAnsi="Times New Roman"/>
                      <w:bCs/>
                      <w:color w:val="auto"/>
                      <w:szCs w:val="21"/>
                    </w:rPr>
                  </w:pPr>
                  <w:r>
                    <w:rPr>
                      <w:rFonts w:ascii="Times New Roman" w:hAnsi="Times New Roman"/>
                      <w:bCs/>
                      <w:color w:val="auto"/>
                      <w:szCs w:val="21"/>
                    </w:rPr>
                    <w:t>产品名称</w:t>
                  </w:r>
                </w:p>
              </w:tc>
              <w:tc>
                <w:tcPr>
                  <w:tcW w:w="1170" w:type="pct"/>
                  <w:vAlign w:val="center"/>
                </w:tcPr>
                <w:p>
                  <w:pPr>
                    <w:adjustRightInd w:val="0"/>
                    <w:jc w:val="center"/>
                    <w:rPr>
                      <w:rFonts w:ascii="Times New Roman" w:hAnsi="Times New Roman"/>
                      <w:bCs/>
                      <w:color w:val="auto"/>
                      <w:szCs w:val="21"/>
                    </w:rPr>
                  </w:pPr>
                  <w:r>
                    <w:rPr>
                      <w:rFonts w:ascii="Times New Roman" w:hAnsi="Times New Roman"/>
                      <w:bCs/>
                      <w:color w:val="auto"/>
                      <w:szCs w:val="21"/>
                    </w:rPr>
                    <w:t>纯度（V/V）</w:t>
                  </w:r>
                </w:p>
              </w:tc>
              <w:tc>
                <w:tcPr>
                  <w:tcW w:w="965" w:type="pct"/>
                  <w:vAlign w:val="center"/>
                </w:tcPr>
                <w:p>
                  <w:pPr>
                    <w:adjustRightInd w:val="0"/>
                    <w:jc w:val="center"/>
                    <w:rPr>
                      <w:rFonts w:ascii="Times New Roman" w:hAnsi="Times New Roman"/>
                      <w:bCs/>
                      <w:color w:val="auto"/>
                      <w:szCs w:val="21"/>
                    </w:rPr>
                  </w:pPr>
                  <w:r>
                    <w:rPr>
                      <w:rFonts w:ascii="Times New Roman" w:hAnsi="Times New Roman"/>
                      <w:bCs/>
                      <w:color w:val="auto"/>
                      <w:szCs w:val="21"/>
                    </w:rPr>
                    <w:t>压力</w:t>
                  </w:r>
                </w:p>
              </w:tc>
              <w:tc>
                <w:tcPr>
                  <w:tcW w:w="972" w:type="pct"/>
                  <w:vAlign w:val="center"/>
                </w:tcPr>
                <w:p>
                  <w:pPr>
                    <w:adjustRightInd w:val="0"/>
                    <w:jc w:val="center"/>
                    <w:rPr>
                      <w:rFonts w:ascii="Times New Roman" w:hAnsi="Times New Roman"/>
                      <w:bCs/>
                      <w:color w:val="auto"/>
                      <w:szCs w:val="21"/>
                    </w:rPr>
                  </w:pPr>
                  <w:r>
                    <w:rPr>
                      <w:rFonts w:ascii="Times New Roman" w:hAnsi="Times New Roman"/>
                      <w:bCs/>
                      <w:color w:val="auto"/>
                      <w:szCs w:val="21"/>
                    </w:rPr>
                    <w:t>温度</w:t>
                  </w:r>
                </w:p>
              </w:tc>
              <w:tc>
                <w:tcPr>
                  <w:tcW w:w="952" w:type="pct"/>
                  <w:vAlign w:val="center"/>
                </w:tcPr>
                <w:p>
                  <w:pPr>
                    <w:adjustRightInd w:val="0"/>
                    <w:jc w:val="center"/>
                    <w:rPr>
                      <w:rFonts w:ascii="Times New Roman" w:hAnsi="Times New Roman"/>
                      <w:bCs/>
                      <w:color w:val="auto"/>
                      <w:szCs w:val="21"/>
                      <w:highlight w:val="yellow"/>
                    </w:rPr>
                  </w:pPr>
                  <w:r>
                    <w:rPr>
                      <w:rFonts w:ascii="Times New Roman" w:hAnsi="Times New Roman"/>
                      <w:bCs/>
                      <w:color w:val="auto"/>
                      <w:szCs w:val="21"/>
                    </w:rPr>
                    <w:t>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trHeight w:val="90" w:hRule="atLeast"/>
                <w:jc w:val="center"/>
              </w:trPr>
              <w:tc>
                <w:tcPr>
                  <w:tcW w:w="939" w:type="pct"/>
                  <w:vAlign w:val="center"/>
                </w:tcPr>
                <w:p>
                  <w:pPr>
                    <w:adjustRightInd w:val="0"/>
                    <w:jc w:val="center"/>
                    <w:rPr>
                      <w:rFonts w:ascii="Times New Roman" w:hAnsi="Times New Roman"/>
                      <w:color w:val="auto"/>
                      <w:szCs w:val="21"/>
                    </w:rPr>
                  </w:pPr>
                  <w:r>
                    <w:rPr>
                      <w:rFonts w:ascii="Times New Roman" w:hAnsi="Times New Roman"/>
                      <w:color w:val="auto"/>
                      <w:szCs w:val="21"/>
                    </w:rPr>
                    <w:t>氦气</w:t>
                  </w:r>
                </w:p>
              </w:tc>
              <w:tc>
                <w:tcPr>
                  <w:tcW w:w="1170" w:type="pct"/>
                  <w:vAlign w:val="center"/>
                </w:tcPr>
                <w:p>
                  <w:pPr>
                    <w:adjustRightInd w:val="0"/>
                    <w:jc w:val="center"/>
                    <w:rPr>
                      <w:rFonts w:hint="eastAsia" w:ascii="Times New Roman" w:hAnsi="Times New Roman" w:eastAsia="宋体"/>
                      <w:color w:val="auto"/>
                      <w:szCs w:val="21"/>
                      <w:lang w:val="en-US" w:eastAsia="zh-CN"/>
                    </w:rPr>
                  </w:pPr>
                  <w:r>
                    <w:rPr>
                      <w:rFonts w:ascii="Times New Roman" w:hAnsi="Times New Roman"/>
                      <w:color w:val="auto"/>
                      <w:szCs w:val="21"/>
                    </w:rPr>
                    <w:t>不低于99.999</w:t>
                  </w:r>
                  <w:r>
                    <w:rPr>
                      <w:rFonts w:hint="eastAsia" w:ascii="Times New Roman" w:hAnsi="Times New Roman"/>
                      <w:color w:val="auto"/>
                      <w:szCs w:val="21"/>
                      <w:lang w:val="en-US" w:eastAsia="zh-CN"/>
                    </w:rPr>
                    <w:t>%</w:t>
                  </w:r>
                </w:p>
              </w:tc>
              <w:tc>
                <w:tcPr>
                  <w:tcW w:w="965" w:type="pct"/>
                  <w:vAlign w:val="center"/>
                </w:tcPr>
                <w:p>
                  <w:pPr>
                    <w:adjustRightInd w:val="0"/>
                    <w:jc w:val="center"/>
                    <w:rPr>
                      <w:rFonts w:ascii="Times New Roman" w:hAnsi="Times New Roman"/>
                      <w:color w:val="auto"/>
                      <w:szCs w:val="21"/>
                    </w:rPr>
                  </w:pPr>
                  <w:r>
                    <w:rPr>
                      <w:rFonts w:ascii="Times New Roman" w:hAnsi="Times New Roman"/>
                      <w:color w:val="auto"/>
                      <w:szCs w:val="21"/>
                    </w:rPr>
                    <w:t>20MPaG</w:t>
                  </w:r>
                </w:p>
              </w:tc>
              <w:tc>
                <w:tcPr>
                  <w:tcW w:w="972" w:type="pct"/>
                  <w:vAlign w:val="center"/>
                </w:tcPr>
                <w:p>
                  <w:pPr>
                    <w:adjustRightInd w:val="0"/>
                    <w:jc w:val="center"/>
                    <w:rPr>
                      <w:rFonts w:ascii="Times New Roman" w:hAnsi="Times New Roman"/>
                      <w:color w:val="auto"/>
                      <w:szCs w:val="21"/>
                    </w:rPr>
                  </w:pPr>
                  <w:r>
                    <w:rPr>
                      <w:rFonts w:ascii="Times New Roman" w:hAnsi="Times New Roman"/>
                      <w:color w:val="auto"/>
                      <w:szCs w:val="21"/>
                    </w:rPr>
                    <w:t>常温</w:t>
                  </w:r>
                </w:p>
              </w:tc>
              <w:tc>
                <w:tcPr>
                  <w:tcW w:w="952" w:type="pct"/>
                  <w:vAlign w:val="center"/>
                </w:tcPr>
                <w:p>
                  <w:pPr>
                    <w:jc w:val="center"/>
                    <w:rPr>
                      <w:rFonts w:ascii="Times New Roman" w:hAnsi="Times New Roman"/>
                      <w:color w:val="auto"/>
                      <w:szCs w:val="21"/>
                    </w:rPr>
                  </w:pPr>
                  <w:r>
                    <w:rPr>
                      <w:rFonts w:hint="eastAsia" w:ascii="Times New Roman" w:hAnsi="Times New Roman"/>
                      <w:color w:val="auto"/>
                      <w:kern w:val="0"/>
                      <w:szCs w:val="21"/>
                      <w:lang w:bidi="ar"/>
                    </w:rPr>
                    <w:t>2.231kg</w:t>
                  </w:r>
                  <w:r>
                    <w:rPr>
                      <w:rFonts w:ascii="Times New Roman" w:hAnsi="Times New Roman"/>
                      <w:color w:val="auto"/>
                      <w:kern w:val="0"/>
                      <w:szCs w:val="21"/>
                      <w:lang w:bidi="ar"/>
                    </w:rPr>
                    <w:t>/h</w:t>
                  </w:r>
                </w:p>
              </w:tc>
            </w:tr>
          </w:tbl>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7、物料平衡</w:t>
            </w:r>
          </w:p>
          <w:p>
            <w:pPr>
              <w:widowControl w:val="0"/>
              <w:tabs>
                <w:tab w:val="left" w:pos="4536"/>
              </w:tabs>
              <w:spacing w:line="360" w:lineRule="auto"/>
              <w:ind w:firstLine="480" w:firstLineChars="200"/>
              <w:jc w:val="both"/>
              <w:rPr>
                <w:rFonts w:ascii="Times New Roman" w:hAnsi="Times New Roman"/>
                <w:bCs/>
                <w:color w:val="auto"/>
                <w:sz w:val="24"/>
                <w:szCs w:val="24"/>
              </w:rPr>
            </w:pPr>
            <w:r>
              <w:rPr>
                <w:rFonts w:ascii="Times New Roman" w:hAnsi="Times New Roman"/>
                <w:color w:val="auto"/>
                <w:kern w:val="0"/>
                <w:sz w:val="24"/>
              </w:rPr>
              <w:t>项目</w:t>
            </w:r>
            <w:r>
              <w:rPr>
                <w:rFonts w:ascii="Times New Roman" w:hAnsi="Times New Roman"/>
                <w:bCs/>
                <w:color w:val="auto"/>
                <w:sz w:val="24"/>
                <w:szCs w:val="24"/>
              </w:rPr>
              <w:t>物料平衡分析见以下表</w:t>
            </w:r>
            <w:r>
              <w:rPr>
                <w:rFonts w:hint="eastAsia" w:ascii="Times New Roman" w:hAnsi="Times New Roman"/>
                <w:bCs/>
                <w:color w:val="auto"/>
                <w:sz w:val="24"/>
                <w:szCs w:val="24"/>
              </w:rPr>
              <w:t>12和图1</w:t>
            </w:r>
            <w:r>
              <w:rPr>
                <w:rFonts w:ascii="Times New Roman" w:hAnsi="Times New Roman"/>
                <w:bCs/>
                <w:color w:val="auto"/>
                <w:sz w:val="24"/>
                <w:szCs w:val="24"/>
              </w:rPr>
              <w:t>。</w:t>
            </w:r>
          </w:p>
          <w:p>
            <w:pPr>
              <w:widowControl w:val="0"/>
              <w:numPr>
                <w:ilvl w:val="0"/>
                <w:numId w:val="13"/>
              </w:numPr>
              <w:jc w:val="center"/>
              <w:rPr>
                <w:color w:val="auto"/>
              </w:rPr>
            </w:pPr>
            <w:r>
              <w:rPr>
                <w:rFonts w:ascii="Times New Roman" w:hAnsi="Times New Roman"/>
                <w:b/>
                <w:color w:val="auto"/>
                <w:sz w:val="24"/>
                <w:szCs w:val="24"/>
              </w:rPr>
              <w:t>物料平衡表</w:t>
            </w:r>
          </w:p>
          <w:tbl>
            <w:tblPr>
              <w:tblStyle w:val="9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6"/>
              <w:gridCol w:w="1140"/>
              <w:gridCol w:w="975"/>
              <w:gridCol w:w="1350"/>
              <w:gridCol w:w="1245"/>
              <w:gridCol w:w="1020"/>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22" w:type="pct"/>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进料</w:t>
                  </w:r>
                </w:p>
              </w:tc>
              <w:tc>
                <w:tcPr>
                  <w:tcW w:w="2085" w:type="pct"/>
                  <w:gridSpan w:val="3"/>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出料</w:t>
                  </w:r>
                </w:p>
              </w:tc>
              <w:tc>
                <w:tcPr>
                  <w:tcW w:w="991" w:type="pct"/>
                  <w:vMerge w:val="restart"/>
                  <w:tcBorders>
                    <w:top w:val="single" w:color="auto" w:sz="4" w:space="0"/>
                    <w:left w:val="single" w:color="auto" w:sz="4" w:space="0"/>
                    <w:right w:val="single" w:color="auto" w:sz="4" w:space="0"/>
                  </w:tcBorders>
                  <w:noWrap/>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物料</w:t>
                  </w:r>
                </w:p>
              </w:tc>
              <w:tc>
                <w:tcPr>
                  <w:tcW w:w="65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物料量kg/h</w:t>
                  </w:r>
                </w:p>
              </w:tc>
              <w:tc>
                <w:tcPr>
                  <w:tcW w:w="56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物料量t/a</w:t>
                  </w:r>
                </w:p>
              </w:tc>
              <w:tc>
                <w:tcPr>
                  <w:tcW w:w="7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名称</w:t>
                  </w:r>
                </w:p>
              </w:tc>
              <w:tc>
                <w:tcPr>
                  <w:tcW w:w="71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物料量kg/h</w:t>
                  </w:r>
                </w:p>
              </w:tc>
              <w:tc>
                <w:tcPr>
                  <w:tcW w:w="58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物料量t/a</w:t>
                  </w:r>
                </w:p>
              </w:tc>
              <w:tc>
                <w:tcPr>
                  <w:tcW w:w="991" w:type="pct"/>
                  <w:vMerge w:val="continue"/>
                  <w:tcBorders>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原料气</w:t>
                  </w:r>
                  <w:r>
                    <w:rPr>
                      <w:rFonts w:hint="eastAsia" w:ascii="Times New Roman" w:hAnsi="Times New Roman"/>
                      <w:color w:val="auto"/>
                      <w:szCs w:val="21"/>
                    </w:rPr>
                    <w:t>BOG</w:t>
                  </w:r>
                </w:p>
              </w:tc>
              <w:tc>
                <w:tcPr>
                  <w:tcW w:w="65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398.380</w:t>
                  </w:r>
                </w:p>
              </w:tc>
              <w:tc>
                <w:tcPr>
                  <w:tcW w:w="56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3187.04</w:t>
                  </w:r>
                </w:p>
              </w:tc>
              <w:tc>
                <w:tcPr>
                  <w:tcW w:w="7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氦气</w:t>
                  </w:r>
                </w:p>
              </w:tc>
              <w:tc>
                <w:tcPr>
                  <w:tcW w:w="71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2.231</w:t>
                  </w:r>
                </w:p>
              </w:tc>
              <w:tc>
                <w:tcPr>
                  <w:tcW w:w="58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17.848</w:t>
                  </w:r>
                </w:p>
              </w:tc>
              <w:tc>
                <w:tcPr>
                  <w:tcW w:w="99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Times New Roman" w:hAnsi="Times New Roman"/>
                      <w:color w:val="auto"/>
                      <w:szCs w:val="21"/>
                      <w:lang w:eastAsia="zh-CN"/>
                    </w:rPr>
                  </w:pPr>
                  <w:r>
                    <w:rPr>
                      <w:rFonts w:hint="eastAsia" w:ascii="Times New Roman" w:hAnsi="Times New Roman"/>
                      <w:color w:val="auto"/>
                      <w:szCs w:val="21"/>
                      <w:lang w:eastAsia="zh-CN"/>
                    </w:rPr>
                    <w:t>产品气，</w:t>
                  </w:r>
                </w:p>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纯度</w:t>
                  </w:r>
                  <w:r>
                    <w:rPr>
                      <w:rFonts w:hint="eastAsia" w:ascii="宋体" w:hAnsi="宋体" w:eastAsia="宋体" w:cs="宋体"/>
                      <w:color w:val="auto"/>
                      <w:szCs w:val="21"/>
                      <w:lang w:eastAsia="zh-CN"/>
                    </w:rPr>
                    <w:t>≧</w:t>
                  </w:r>
                  <w:r>
                    <w:rPr>
                      <w:rFonts w:hint="default" w:ascii="Times New Roman" w:hAnsi="Times New Roman" w:eastAsia="宋体" w:cs="Times New Roman"/>
                      <w:color w:val="auto"/>
                      <w:szCs w:val="21"/>
                      <w:lang w:eastAsia="zh-CN"/>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70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液氧</w:t>
                  </w:r>
                </w:p>
              </w:tc>
              <w:tc>
                <w:tcPr>
                  <w:tcW w:w="65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7.231</w:t>
                  </w:r>
                </w:p>
              </w:tc>
              <w:tc>
                <w:tcPr>
                  <w:tcW w:w="56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57.848</w:t>
                  </w:r>
                </w:p>
              </w:tc>
              <w:tc>
                <w:tcPr>
                  <w:tcW w:w="7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氮气</w:t>
                  </w:r>
                </w:p>
              </w:tc>
              <w:tc>
                <w:tcPr>
                  <w:tcW w:w="71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92.406</w:t>
                  </w:r>
                </w:p>
              </w:tc>
              <w:tc>
                <w:tcPr>
                  <w:tcW w:w="58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739.248</w:t>
                  </w:r>
                </w:p>
              </w:tc>
              <w:tc>
                <w:tcPr>
                  <w:tcW w:w="99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Times New Roman" w:hAnsi="Times New Roman"/>
                      <w:color w:val="auto"/>
                      <w:szCs w:val="21"/>
                      <w:lang w:eastAsia="zh-CN"/>
                    </w:rPr>
                  </w:pPr>
                  <w:r>
                    <w:rPr>
                      <w:rFonts w:hint="eastAsia" w:ascii="Times New Roman" w:hAnsi="Times New Roman"/>
                      <w:color w:val="auto"/>
                      <w:szCs w:val="21"/>
                      <w:lang w:eastAsia="zh-CN"/>
                    </w:rPr>
                    <w:t>排放尾气，</w:t>
                  </w:r>
                </w:p>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纯度</w:t>
                  </w:r>
                  <w:r>
                    <w:rPr>
                      <w:rFonts w:hint="eastAsia" w:ascii="宋体" w:hAnsi="宋体" w:eastAsia="宋体" w:cs="宋体"/>
                      <w:color w:val="auto"/>
                      <w:szCs w:val="21"/>
                      <w:lang w:eastAsia="zh-CN"/>
                    </w:rPr>
                    <w:t>≧</w:t>
                  </w:r>
                  <w:r>
                    <w:rPr>
                      <w:rFonts w:hint="default" w:ascii="Times New Roman" w:hAnsi="Times New Roman" w:eastAsia="宋体" w:cs="Times New Roman"/>
                      <w:color w:val="auto"/>
                      <w:szCs w:val="21"/>
                      <w:lang w:eastAsia="zh-CN"/>
                    </w:rPr>
                    <w:t>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70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c>
                <w:tcPr>
                  <w:tcW w:w="65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c>
                <w:tcPr>
                  <w:tcW w:w="56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c>
                <w:tcPr>
                  <w:tcW w:w="7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position w:val="2"/>
                      <w:szCs w:val="21"/>
                    </w:rPr>
                  </w:pPr>
                  <w:r>
                    <w:rPr>
                      <w:rFonts w:hint="eastAsia" w:ascii="Times New Roman" w:hAnsi="Times New Roman"/>
                      <w:color w:val="auto"/>
                      <w:szCs w:val="21"/>
                    </w:rPr>
                    <w:t>富甲烷解析气</w:t>
                  </w:r>
                </w:p>
              </w:tc>
              <w:tc>
                <w:tcPr>
                  <w:tcW w:w="71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302.83</w:t>
                  </w:r>
                </w:p>
              </w:tc>
              <w:tc>
                <w:tcPr>
                  <w:tcW w:w="58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2422.640</w:t>
                  </w:r>
                </w:p>
              </w:tc>
              <w:tc>
                <w:tcPr>
                  <w:tcW w:w="99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回用，充当燃料气，纯度</w:t>
                  </w:r>
                  <w:r>
                    <w:rPr>
                      <w:rFonts w:hint="eastAsia" w:ascii="宋体" w:hAnsi="宋体" w:eastAsia="宋体" w:cs="宋体"/>
                      <w:color w:val="auto"/>
                      <w:szCs w:val="21"/>
                      <w:lang w:eastAsia="zh-CN"/>
                    </w:rPr>
                    <w:t>≧</w:t>
                  </w:r>
                  <w:r>
                    <w:rPr>
                      <w:rFonts w:hint="default" w:ascii="Times New Roman" w:hAnsi="Times New Roman" w:eastAsia="宋体" w:cs="Times New Roman"/>
                      <w:color w:val="auto"/>
                      <w:szCs w:val="21"/>
                      <w:lang w:eastAsia="zh-CN"/>
                    </w:rPr>
                    <w:t>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trPr>
              <w:tc>
                <w:tcPr>
                  <w:tcW w:w="70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auto"/>
                      <w:szCs w:val="21"/>
                    </w:rPr>
                  </w:pPr>
                </w:p>
              </w:tc>
              <w:tc>
                <w:tcPr>
                  <w:tcW w:w="65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auto"/>
                      <w:szCs w:val="21"/>
                    </w:rPr>
                  </w:pPr>
                </w:p>
              </w:tc>
              <w:tc>
                <w:tcPr>
                  <w:tcW w:w="56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auto"/>
                      <w:szCs w:val="21"/>
                    </w:rPr>
                  </w:pPr>
                </w:p>
              </w:tc>
              <w:tc>
                <w:tcPr>
                  <w:tcW w:w="7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color w:val="auto"/>
                      <w:szCs w:val="21"/>
                    </w:rPr>
                  </w:pPr>
                  <w:r>
                    <w:rPr>
                      <w:rFonts w:hint="eastAsia" w:ascii="Times New Roman" w:hAnsi="Times New Roman"/>
                      <w:color w:val="auto"/>
                      <w:position w:val="2"/>
                      <w:szCs w:val="21"/>
                    </w:rPr>
                    <w:t>微量杂质气体</w:t>
                  </w:r>
                </w:p>
              </w:tc>
              <w:tc>
                <w:tcPr>
                  <w:tcW w:w="71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0.009</w:t>
                  </w:r>
                </w:p>
              </w:tc>
              <w:tc>
                <w:tcPr>
                  <w:tcW w:w="58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0.072</w:t>
                  </w:r>
                </w:p>
              </w:tc>
              <w:tc>
                <w:tcPr>
                  <w:tcW w:w="99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color w:val="auto"/>
                      <w:szCs w:val="21"/>
                      <w:lang w:val="en-US" w:eastAsia="zh-CN"/>
                    </w:rPr>
                    <w:t>含</w:t>
                  </w:r>
                  <w:r>
                    <w:rPr>
                      <w:rFonts w:hint="eastAsia" w:ascii="Times New Roman" w:hAnsi="Times New Roman" w:eastAsia="宋体"/>
                      <w:color w:val="auto"/>
                      <w:szCs w:val="21"/>
                      <w:lang w:val="en-US" w:eastAsia="zh-CN"/>
                    </w:rPr>
                    <w:t>氩气、氖气、碳氢化合物等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 w:hRule="atLeast"/>
              </w:trPr>
              <w:tc>
                <w:tcPr>
                  <w:tcW w:w="701" w:type="pct"/>
                  <w:tcBorders>
                    <w:left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c>
                <w:tcPr>
                  <w:tcW w:w="657" w:type="pct"/>
                  <w:tcBorders>
                    <w:left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c>
                <w:tcPr>
                  <w:tcW w:w="562" w:type="pct"/>
                  <w:tcBorders>
                    <w:left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p>
              </w:tc>
              <w:tc>
                <w:tcPr>
                  <w:tcW w:w="778" w:type="pct"/>
                  <w:tcBorders>
                    <w:left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脱氢冷凝</w:t>
                  </w:r>
                  <w:r>
                    <w:rPr>
                      <w:rFonts w:ascii="Times New Roman" w:hAnsi="Times New Roman"/>
                      <w:color w:val="auto"/>
                      <w:szCs w:val="21"/>
                    </w:rPr>
                    <w:t>水</w:t>
                  </w:r>
                </w:p>
              </w:tc>
              <w:tc>
                <w:tcPr>
                  <w:tcW w:w="718" w:type="pct"/>
                  <w:tcBorders>
                    <w:left w:val="single" w:color="auto" w:sz="4" w:space="0"/>
                    <w:right w:val="single" w:color="auto" w:sz="4" w:space="0"/>
                  </w:tcBorders>
                  <w:noWrap/>
                  <w:vAlign w:val="bottom"/>
                </w:tcPr>
                <w:p>
                  <w:pPr>
                    <w:adjustRightInd w:val="0"/>
                    <w:snapToGrid w:val="0"/>
                    <w:jc w:val="center"/>
                    <w:rPr>
                      <w:rFonts w:ascii="Times New Roman" w:hAnsi="Times New Roman"/>
                      <w:color w:val="auto"/>
                      <w:szCs w:val="21"/>
                    </w:rPr>
                  </w:pPr>
                  <w:r>
                    <w:rPr>
                      <w:rFonts w:hint="eastAsia" w:ascii="Times New Roman" w:hAnsi="Times New Roman"/>
                      <w:color w:val="auto"/>
                      <w:szCs w:val="21"/>
                    </w:rPr>
                    <w:t>8.135</w:t>
                  </w:r>
                </w:p>
              </w:tc>
              <w:tc>
                <w:tcPr>
                  <w:tcW w:w="588" w:type="pct"/>
                  <w:tcBorders>
                    <w:left w:val="single" w:color="auto" w:sz="4" w:space="0"/>
                    <w:right w:val="single" w:color="auto" w:sz="4" w:space="0"/>
                  </w:tcBorders>
                  <w:noWrap/>
                  <w:vAlign w:val="bottom"/>
                </w:tcPr>
                <w:p>
                  <w:pPr>
                    <w:adjustRightInd w:val="0"/>
                    <w:snapToGrid w:val="0"/>
                    <w:jc w:val="center"/>
                    <w:rPr>
                      <w:rFonts w:ascii="Times New Roman" w:hAnsi="Times New Roman"/>
                      <w:color w:val="auto"/>
                      <w:szCs w:val="21"/>
                    </w:rPr>
                  </w:pPr>
                  <w:r>
                    <w:rPr>
                      <w:rFonts w:hint="eastAsia" w:ascii="Times New Roman" w:hAnsi="Times New Roman"/>
                      <w:color w:val="auto"/>
                      <w:szCs w:val="21"/>
                    </w:rPr>
                    <w:t>65.080</w:t>
                  </w:r>
                </w:p>
              </w:tc>
              <w:tc>
                <w:tcPr>
                  <w:tcW w:w="991" w:type="pct"/>
                  <w:tcBorders>
                    <w:left w:val="single" w:color="auto" w:sz="4" w:space="0"/>
                    <w:right w:val="single" w:color="auto" w:sz="4" w:space="0"/>
                  </w:tcBorders>
                  <w:noWrap/>
                  <w:vAlign w:val="bottom"/>
                </w:tcPr>
                <w:p>
                  <w:pPr>
                    <w:adjustRightInd w:val="0"/>
                    <w:snapToGrid w:val="0"/>
                    <w:jc w:val="center"/>
                    <w:rPr>
                      <w:rFonts w:hint="eastAsia" w:ascii="Times New Roman" w:hAnsi="Times New Roman"/>
                      <w:color w:val="auto"/>
                      <w:szCs w:val="21"/>
                      <w:lang w:eastAsia="zh-CN"/>
                    </w:rPr>
                  </w:pPr>
                  <w:r>
                    <w:rPr>
                      <w:rFonts w:hint="eastAsia" w:ascii="Times New Roman" w:hAnsi="Times New Roman"/>
                      <w:color w:val="auto"/>
                      <w:szCs w:val="21"/>
                      <w:lang w:eastAsia="zh-CN"/>
                    </w:rPr>
                    <w:t>清净水，</w:t>
                  </w:r>
                </w:p>
                <w:p>
                  <w:pPr>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纯度</w:t>
                  </w:r>
                  <w:r>
                    <w:rPr>
                      <w:rFonts w:hint="eastAsia" w:ascii="宋体" w:hAnsi="宋体" w:eastAsia="宋体" w:cs="宋体"/>
                      <w:color w:val="auto"/>
                      <w:szCs w:val="21"/>
                      <w:lang w:eastAsia="zh-CN"/>
                    </w:rPr>
                    <w:t>≧</w:t>
                  </w:r>
                  <w:r>
                    <w:rPr>
                      <w:rFonts w:hint="default" w:ascii="Times New Roman" w:hAnsi="Times New Roman" w:eastAsia="宋体" w:cs="Times New Roman"/>
                      <w:color w:val="auto"/>
                      <w:szCs w:val="21"/>
                      <w:lang w:eastAsia="zh-CN"/>
                    </w:rPr>
                    <w:t>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70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合计</w:t>
                  </w:r>
                </w:p>
              </w:tc>
              <w:tc>
                <w:tcPr>
                  <w:tcW w:w="657"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405.611</w:t>
                  </w:r>
                </w:p>
              </w:tc>
              <w:tc>
                <w:tcPr>
                  <w:tcW w:w="562"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3244.888</w:t>
                  </w:r>
                </w:p>
              </w:tc>
              <w:tc>
                <w:tcPr>
                  <w:tcW w:w="77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合计</w:t>
                  </w:r>
                </w:p>
              </w:tc>
              <w:tc>
                <w:tcPr>
                  <w:tcW w:w="71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405.611</w:t>
                  </w:r>
                </w:p>
              </w:tc>
              <w:tc>
                <w:tcPr>
                  <w:tcW w:w="588"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3244.888</w:t>
                  </w:r>
                </w:p>
              </w:tc>
              <w:tc>
                <w:tcPr>
                  <w:tcW w:w="991" w:type="pc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hint="eastAsia" w:ascii="Times New Roman" w:hAnsi="Times New Roman"/>
                      <w:color w:val="auto"/>
                      <w:szCs w:val="21"/>
                    </w:rPr>
                  </w:pPr>
                </w:p>
              </w:tc>
            </w:tr>
          </w:tbl>
          <w:p>
            <w:pPr>
              <w:widowControl w:val="0"/>
              <w:tabs>
                <w:tab w:val="left" w:pos="4536"/>
              </w:tabs>
              <w:spacing w:line="360" w:lineRule="auto"/>
              <w:jc w:val="both"/>
              <w:rPr>
                <w:rFonts w:ascii="Times New Roman" w:hAnsi="Times New Roman"/>
                <w:bCs/>
                <w:color w:val="auto"/>
                <w:sz w:val="24"/>
                <w:szCs w:val="24"/>
              </w:rPr>
            </w:pPr>
            <w:r>
              <w:rPr>
                <w:color w:val="auto"/>
              </w:rPr>
              <w:drawing>
                <wp:inline distT="0" distB="0" distL="114300" distR="114300">
                  <wp:extent cx="5516880" cy="3108960"/>
                  <wp:effectExtent l="0" t="0" r="7620" b="15240"/>
                  <wp:docPr id="2" name="ECB019B1-382A-4266-B25C-5B523AA43C14-1" descr="H:\1、优悦环保工作文件\2、环评编写\1-星源提氦\4、2023.2.1会后修改\物料平衡图.jpg物料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1" descr="H:\1、优悦环保工作文件\2、环评编写\1-星源提氦\4、2023.2.1会后修改\物料平衡图.jpg物料平衡图"/>
                          <pic:cNvPicPr>
                            <a:picLocks noChangeAspect="1"/>
                          </pic:cNvPicPr>
                        </pic:nvPicPr>
                        <pic:blipFill>
                          <a:blip r:embed="rId10"/>
                          <a:srcRect/>
                          <a:stretch>
                            <a:fillRect/>
                          </a:stretch>
                        </pic:blipFill>
                        <pic:spPr>
                          <a:xfrm>
                            <a:off x="0" y="0"/>
                            <a:ext cx="5516880" cy="3108960"/>
                          </a:xfrm>
                          <a:prstGeom prst="rect">
                            <a:avLst/>
                          </a:prstGeom>
                        </pic:spPr>
                      </pic:pic>
                    </a:graphicData>
                  </a:graphic>
                </wp:inline>
              </w:drawing>
            </w:r>
          </w:p>
          <w:p>
            <w:pPr>
              <w:pStyle w:val="329"/>
              <w:widowControl w:val="0"/>
              <w:numPr>
                <w:ilvl w:val="0"/>
                <w:numId w:val="14"/>
              </w:numPr>
              <w:snapToGrid w:val="0"/>
              <w:ind w:firstLineChars="0"/>
              <w:jc w:val="center"/>
              <w:rPr>
                <w:rFonts w:ascii="Times New Roman" w:hAnsi="Times New Roman"/>
                <w:b/>
                <w:color w:val="auto"/>
                <w:sz w:val="24"/>
                <w:szCs w:val="24"/>
              </w:rPr>
            </w:pPr>
            <w:r>
              <w:rPr>
                <w:rFonts w:hint="eastAsia" w:ascii="Times New Roman" w:hAnsi="Times New Roman"/>
                <w:b/>
                <w:color w:val="auto"/>
                <w:sz w:val="24"/>
                <w:szCs w:val="24"/>
                <w:highlight w:val="none"/>
              </w:rPr>
              <w:t>物料平衡图</w:t>
            </w:r>
            <w:r>
              <w:rPr>
                <w:rFonts w:hint="eastAsia" w:ascii="Times New Roman" w:hAnsi="Times New Roman"/>
                <w:b/>
                <w:color w:val="auto"/>
                <w:sz w:val="24"/>
                <w:szCs w:val="24"/>
              </w:rPr>
              <w:t>（单位：kg/h）</w:t>
            </w:r>
          </w:p>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8、</w:t>
            </w:r>
            <w:r>
              <w:rPr>
                <w:rFonts w:ascii="Times New Roman" w:hAnsi="Times New Roman"/>
                <w:b/>
                <w:bCs/>
                <w:color w:val="auto"/>
                <w:sz w:val="24"/>
                <w:szCs w:val="24"/>
              </w:rPr>
              <w:t>公用工程</w:t>
            </w:r>
          </w:p>
          <w:p>
            <w:pPr>
              <w:tabs>
                <w:tab w:val="left" w:pos="841"/>
                <w:tab w:val="left" w:pos="3615"/>
                <w:tab w:val="left" w:pos="4536"/>
              </w:tabs>
              <w:spacing w:line="360" w:lineRule="auto"/>
              <w:ind w:firstLine="482" w:firstLineChars="200"/>
              <w:jc w:val="both"/>
              <w:rPr>
                <w:rFonts w:ascii="Times New Roman" w:hAnsi="Times New Roman"/>
                <w:b/>
                <w:color w:val="auto"/>
                <w:sz w:val="24"/>
                <w:szCs w:val="24"/>
              </w:rPr>
            </w:pPr>
            <w:r>
              <w:rPr>
                <w:rFonts w:ascii="Times New Roman" w:hAnsi="Times New Roman"/>
                <w:b/>
                <w:color w:val="auto"/>
                <w:sz w:val="24"/>
                <w:szCs w:val="24"/>
              </w:rPr>
              <w:t>（1）给排水</w:t>
            </w:r>
          </w:p>
          <w:p>
            <w:pPr>
              <w:spacing w:line="360" w:lineRule="auto"/>
              <w:ind w:left="40" w:right="20" w:firstLine="480"/>
              <w:rPr>
                <w:rFonts w:ascii="Times New Roman" w:hAnsi="Times New Roman"/>
                <w:color w:val="auto"/>
                <w:sz w:val="24"/>
                <w:szCs w:val="24"/>
              </w:rPr>
            </w:pPr>
            <w:r>
              <w:rPr>
                <w:rFonts w:ascii="Times New Roman" w:hAnsi="Times New Roman"/>
                <w:b/>
                <w:color w:val="auto"/>
                <w:sz w:val="24"/>
                <w:szCs w:val="24"/>
              </w:rPr>
              <w:t>给水：</w:t>
            </w:r>
            <w:r>
              <w:rPr>
                <w:rFonts w:ascii="Times New Roman" w:hAnsi="Times New Roman"/>
                <w:color w:val="auto"/>
                <w:sz w:val="24"/>
                <w:szCs w:val="24"/>
              </w:rPr>
              <w:t>本技改项目不新增劳动定员，</w:t>
            </w:r>
            <w:r>
              <w:rPr>
                <w:rFonts w:hint="eastAsia" w:ascii="Times New Roman" w:hAnsi="Times New Roman"/>
                <w:color w:val="auto"/>
                <w:sz w:val="24"/>
                <w:szCs w:val="24"/>
              </w:rPr>
              <w:t>在现有定员（73人）中调配，</w:t>
            </w:r>
            <w:r>
              <w:rPr>
                <w:rFonts w:ascii="Times New Roman" w:hAnsi="Times New Roman"/>
                <w:color w:val="auto"/>
                <w:sz w:val="24"/>
                <w:szCs w:val="24"/>
              </w:rPr>
              <w:t>因此生活用水量不新增。生产过程中</w:t>
            </w:r>
            <w:r>
              <w:rPr>
                <w:rFonts w:hint="eastAsia" w:ascii="Times New Roman" w:hAnsi="Times New Roman"/>
                <w:color w:val="auto"/>
                <w:sz w:val="24"/>
                <w:szCs w:val="24"/>
                <w:lang w:eastAsia="zh-CN"/>
              </w:rPr>
              <w:t>需要使用一定量的循环冷却水，据建设单位提供的初步设计资料，项目购买的设备自带冷水机组，机组所需循环水是闭式循环水，设备首次注水量约为1m</w:t>
            </w:r>
            <w:r>
              <w:rPr>
                <w:rFonts w:hint="eastAsia" w:ascii="Times New Roman" w:hAnsi="Times New Roman"/>
                <w:color w:val="auto"/>
                <w:sz w:val="24"/>
                <w:szCs w:val="24"/>
                <w:vertAlign w:val="superscript"/>
                <w:lang w:eastAsia="zh-CN"/>
              </w:rPr>
              <w:t>3</w:t>
            </w:r>
            <w:r>
              <w:rPr>
                <w:rFonts w:hint="eastAsia" w:ascii="Times New Roman" w:hAnsi="Times New Roman"/>
                <w:color w:val="auto"/>
                <w:sz w:val="24"/>
                <w:szCs w:val="24"/>
                <w:lang w:eastAsia="zh-CN"/>
              </w:rPr>
              <w:t>，注水后不排放，日常消耗极小，可忽略不计。</w:t>
            </w:r>
            <w:r>
              <w:rPr>
                <w:rFonts w:ascii="Times New Roman" w:hAnsi="Times New Roman"/>
                <w:color w:val="auto"/>
                <w:sz w:val="24"/>
                <w:szCs w:val="24"/>
              </w:rPr>
              <w:t>当拟建项目区发生火灾事故时，需要一定量的消防用水。</w:t>
            </w:r>
          </w:p>
          <w:p>
            <w:pPr>
              <w:spacing w:line="360" w:lineRule="auto"/>
              <w:ind w:left="40" w:firstLine="480" w:firstLineChars="200"/>
              <w:rPr>
                <w:rFonts w:ascii="Times New Roman" w:hAnsi="Times New Roman"/>
                <w:bCs/>
                <w:color w:val="auto"/>
                <w:sz w:val="24"/>
                <w:szCs w:val="24"/>
              </w:rPr>
            </w:pPr>
            <w:r>
              <w:rPr>
                <w:rFonts w:ascii="Times New Roman" w:hAnsi="Times New Roman"/>
                <w:bCs/>
                <w:color w:val="auto"/>
                <w:sz w:val="24"/>
                <w:szCs w:val="24"/>
              </w:rPr>
              <w:t>根据《建筑设计防火规范》（GB50016-2014（2018 年版））和《天然气液化工厂设计标准》（GB51261-2019）规定，该工艺装置区一次消防用水量为45L/s，火灾延续供水时间按3h计算，一次消防用水量为486m³。厂区现有总消防水供水量为302L/s，消防储水量为6500m³，满足本项目消防用水要求。</w:t>
            </w:r>
          </w:p>
          <w:p>
            <w:pPr>
              <w:spacing w:line="360" w:lineRule="auto"/>
              <w:ind w:left="40" w:right="20" w:firstLine="480"/>
              <w:rPr>
                <w:rFonts w:ascii="Times New Roman" w:hAnsi="Times New Roman"/>
                <w:bCs/>
                <w:color w:val="auto"/>
                <w:sz w:val="24"/>
                <w:szCs w:val="24"/>
              </w:rPr>
            </w:pPr>
            <w:r>
              <w:rPr>
                <w:rFonts w:ascii="Times New Roman" w:hAnsi="Times New Roman"/>
                <w:b/>
                <w:color w:val="auto"/>
                <w:sz w:val="24"/>
                <w:szCs w:val="24"/>
              </w:rPr>
              <w:t>排水：</w:t>
            </w:r>
            <w:r>
              <w:rPr>
                <w:rFonts w:ascii="Times New Roman" w:hAnsi="Times New Roman"/>
                <w:color w:val="auto"/>
                <w:sz w:val="24"/>
                <w:szCs w:val="24"/>
              </w:rPr>
              <w:t>项目排水依托现有排水系统，现有</w:t>
            </w:r>
            <w:r>
              <w:rPr>
                <w:rFonts w:ascii="Times New Roman" w:hAnsi="Times New Roman"/>
                <w:bCs/>
                <w:color w:val="auto"/>
                <w:sz w:val="24"/>
                <w:szCs w:val="24"/>
              </w:rPr>
              <w:t>厂区内排水采用清污分流制，排水系统分为雨水排水系统、生产及生活排水系统、事故废水排水系统。</w:t>
            </w:r>
          </w:p>
          <w:p>
            <w:pPr>
              <w:widowControl w:val="0"/>
              <w:tabs>
                <w:tab w:val="left" w:pos="4536"/>
              </w:tabs>
              <w:spacing w:line="360" w:lineRule="auto"/>
              <w:ind w:firstLine="480" w:firstLineChars="200"/>
              <w:jc w:val="both"/>
              <w:rPr>
                <w:rFonts w:ascii="Times New Roman" w:hAnsi="Times New Roman"/>
                <w:bCs/>
                <w:color w:val="auto"/>
                <w:sz w:val="24"/>
                <w:szCs w:val="24"/>
              </w:rPr>
            </w:pPr>
            <w:r>
              <w:rPr>
                <w:rFonts w:hint="eastAsia" w:ascii="宋体" w:hAnsi="宋体" w:cs="宋体"/>
                <w:bCs/>
                <w:color w:val="auto"/>
                <w:sz w:val="24"/>
                <w:szCs w:val="24"/>
              </w:rPr>
              <w:t>①</w:t>
            </w:r>
            <w:r>
              <w:rPr>
                <w:rFonts w:ascii="Times New Roman" w:hAnsi="Times New Roman"/>
                <w:bCs/>
                <w:color w:val="auto"/>
                <w:sz w:val="24"/>
                <w:szCs w:val="24"/>
              </w:rPr>
              <w:t>雨水排水系统</w:t>
            </w:r>
          </w:p>
          <w:p>
            <w:pPr>
              <w:spacing w:line="360" w:lineRule="auto"/>
              <w:ind w:left="40" w:firstLine="480" w:firstLineChars="200"/>
              <w:rPr>
                <w:rFonts w:ascii="Times New Roman" w:hAnsi="Times New Roman"/>
                <w:bCs/>
                <w:color w:val="auto"/>
                <w:sz w:val="24"/>
                <w:szCs w:val="24"/>
              </w:rPr>
            </w:pPr>
            <w:r>
              <w:rPr>
                <w:rFonts w:ascii="Times New Roman" w:hAnsi="Times New Roman"/>
                <w:bCs/>
                <w:color w:val="auto"/>
                <w:sz w:val="24"/>
                <w:szCs w:val="24"/>
              </w:rPr>
              <w:t>本技改项目所在厂区内雨水采用有组织排放，雨水排水系统主要收纳厂区道路、铺砌地面、建筑屋面等雨水</w:t>
            </w:r>
            <w:r>
              <w:rPr>
                <w:rFonts w:hint="eastAsia" w:ascii="Times New Roman" w:hAnsi="Times New Roman"/>
                <w:bCs/>
                <w:color w:val="auto"/>
                <w:sz w:val="24"/>
                <w:szCs w:val="24"/>
              </w:rPr>
              <w:t>。厂内雨水经雨水管网收集后，排入园区雨水管网</w:t>
            </w:r>
            <w:r>
              <w:rPr>
                <w:rFonts w:ascii="Times New Roman" w:hAnsi="Times New Roman"/>
                <w:bCs/>
                <w:color w:val="auto"/>
                <w:sz w:val="24"/>
                <w:szCs w:val="24"/>
              </w:rPr>
              <w:t>。</w:t>
            </w:r>
          </w:p>
          <w:p>
            <w:pPr>
              <w:widowControl w:val="0"/>
              <w:tabs>
                <w:tab w:val="left" w:pos="4536"/>
              </w:tabs>
              <w:spacing w:line="360" w:lineRule="auto"/>
              <w:ind w:firstLine="480" w:firstLineChars="200"/>
              <w:jc w:val="both"/>
              <w:rPr>
                <w:rFonts w:ascii="Times New Roman" w:hAnsi="Times New Roman"/>
                <w:bCs/>
                <w:color w:val="auto"/>
                <w:sz w:val="24"/>
                <w:szCs w:val="24"/>
              </w:rPr>
            </w:pPr>
            <w:r>
              <w:rPr>
                <w:rFonts w:hint="eastAsia" w:ascii="宋体" w:hAnsi="宋体" w:cs="宋体"/>
                <w:bCs/>
                <w:color w:val="auto"/>
                <w:sz w:val="24"/>
                <w:szCs w:val="24"/>
              </w:rPr>
              <w:t>②</w:t>
            </w:r>
            <w:r>
              <w:rPr>
                <w:rFonts w:ascii="Times New Roman" w:hAnsi="Times New Roman"/>
                <w:bCs/>
                <w:color w:val="auto"/>
                <w:sz w:val="24"/>
                <w:szCs w:val="24"/>
              </w:rPr>
              <w:t>生产及生活排水系统</w:t>
            </w:r>
          </w:p>
          <w:p>
            <w:pPr>
              <w:spacing w:line="360" w:lineRule="auto"/>
              <w:ind w:left="40" w:right="20" w:firstLine="480"/>
              <w:rPr>
                <w:rFonts w:ascii="Times New Roman" w:hAnsi="Times New Roman"/>
                <w:color w:val="auto"/>
                <w:sz w:val="24"/>
                <w:szCs w:val="24"/>
              </w:rPr>
            </w:pPr>
            <w:r>
              <w:rPr>
                <w:rFonts w:ascii="Times New Roman" w:hAnsi="Times New Roman"/>
                <w:color w:val="auto"/>
                <w:sz w:val="24"/>
                <w:szCs w:val="24"/>
              </w:rPr>
              <w:t>本项目不新增人员，</w:t>
            </w:r>
            <w:r>
              <w:rPr>
                <w:rFonts w:hint="eastAsia" w:ascii="Times New Roman" w:hAnsi="Times New Roman"/>
                <w:color w:val="auto"/>
                <w:sz w:val="24"/>
                <w:szCs w:val="24"/>
              </w:rPr>
              <w:t>因此生活污水量也不新增，现有厂区产生的生活污水经化粪池和隔油池（食堂废水）处理后排入现有厂区建设的CASS处理系统进行二级处理，绿化灌溉季节用于厂区绿化，非绿化季节运至靖边县污水处理厂进行处理。</w:t>
            </w:r>
          </w:p>
          <w:p>
            <w:pPr>
              <w:spacing w:line="360" w:lineRule="auto"/>
              <w:ind w:left="40" w:right="20" w:firstLine="480"/>
              <w:rPr>
                <w:rFonts w:ascii="Times New Roman" w:hAnsi="Times New Roman"/>
                <w:color w:val="auto"/>
              </w:rPr>
            </w:pPr>
            <w:r>
              <w:rPr>
                <w:rFonts w:ascii="Times New Roman" w:hAnsi="Times New Roman"/>
                <w:bCs/>
                <w:color w:val="auto"/>
                <w:sz w:val="24"/>
                <w:szCs w:val="24"/>
              </w:rPr>
              <w:t>项目氦气提取装置全工艺过程均为气相物料，</w:t>
            </w:r>
            <w:r>
              <w:rPr>
                <w:rFonts w:ascii="Times New Roman" w:hAnsi="Times New Roman"/>
                <w:color w:val="auto"/>
                <w:sz w:val="24"/>
                <w:szCs w:val="24"/>
              </w:rPr>
              <w:t>生产过程中</w:t>
            </w:r>
            <w:r>
              <w:rPr>
                <w:rFonts w:hint="eastAsia" w:ascii="Times New Roman" w:hAnsi="Times New Roman"/>
                <w:color w:val="auto"/>
                <w:sz w:val="24"/>
                <w:szCs w:val="24"/>
                <w:lang w:eastAsia="zh-CN"/>
              </w:rPr>
              <w:t>涉及设备中注入的少量循环冷却水，这部分循环冷却水注入设备后不排放；</w:t>
            </w:r>
            <w:r>
              <w:rPr>
                <w:rFonts w:ascii="Times New Roman" w:hAnsi="Times New Roman"/>
                <w:bCs/>
                <w:color w:val="auto"/>
                <w:sz w:val="24"/>
                <w:szCs w:val="24"/>
              </w:rPr>
              <w:t>催化脱氢环节</w:t>
            </w:r>
            <w:r>
              <w:rPr>
                <w:rFonts w:hint="eastAsia" w:ascii="Times New Roman" w:hAnsi="Times New Roman"/>
                <w:bCs/>
                <w:color w:val="auto"/>
                <w:sz w:val="24"/>
                <w:szCs w:val="24"/>
                <w:lang w:eastAsia="zh-CN"/>
              </w:rPr>
              <w:t>会</w:t>
            </w:r>
            <w:r>
              <w:rPr>
                <w:rFonts w:ascii="Times New Roman" w:hAnsi="Times New Roman"/>
                <w:bCs/>
                <w:color w:val="auto"/>
                <w:sz w:val="24"/>
                <w:szCs w:val="24"/>
              </w:rPr>
              <w:t>产生少量脱氢冷凝水，</w:t>
            </w:r>
            <w:r>
              <w:rPr>
                <w:rFonts w:hint="eastAsia" w:ascii="Times New Roman" w:hAnsi="Times New Roman"/>
                <w:bCs/>
                <w:color w:val="auto"/>
                <w:sz w:val="24"/>
                <w:szCs w:val="24"/>
                <w:lang w:eastAsia="zh-CN"/>
              </w:rPr>
              <w:t>冷凝水较清洁，</w:t>
            </w:r>
            <w:r>
              <w:rPr>
                <w:rFonts w:hint="eastAsia" w:ascii="Times New Roman" w:hAnsi="Times New Roman"/>
                <w:bCs/>
                <w:color w:val="auto"/>
                <w:sz w:val="24"/>
                <w:szCs w:val="24"/>
              </w:rPr>
              <w:t>根据物料衡算法计算可得</w:t>
            </w:r>
            <w:r>
              <w:rPr>
                <w:rFonts w:ascii="Times New Roman" w:hAnsi="Times New Roman"/>
                <w:bCs/>
                <w:color w:val="auto"/>
                <w:sz w:val="24"/>
                <w:szCs w:val="24"/>
              </w:rPr>
              <w:t>生产废水产量为</w:t>
            </w:r>
            <w:r>
              <w:rPr>
                <w:rFonts w:hint="eastAsia" w:ascii="Times New Roman" w:hAnsi="Times New Roman"/>
                <w:bCs/>
                <w:color w:val="auto"/>
                <w:sz w:val="24"/>
                <w:szCs w:val="24"/>
              </w:rPr>
              <w:t>8.135kg/h（65.080t/a），</w:t>
            </w:r>
            <w:r>
              <w:rPr>
                <w:rFonts w:ascii="Times New Roman" w:hAnsi="Times New Roman"/>
                <w:bCs/>
                <w:color w:val="auto"/>
                <w:sz w:val="24"/>
                <w:szCs w:val="24"/>
              </w:rPr>
              <w:t>项目</w:t>
            </w:r>
            <w:r>
              <w:rPr>
                <w:rFonts w:hint="eastAsia" w:ascii="Times New Roman" w:hAnsi="Times New Roman"/>
                <w:bCs/>
                <w:color w:val="auto"/>
                <w:sz w:val="24"/>
                <w:szCs w:val="24"/>
                <w:lang w:eastAsia="zh-CN"/>
              </w:rPr>
              <w:t>产生的脱氢冷凝水用水桶盛装后用于厂区绿化或洒扫</w:t>
            </w:r>
            <w:r>
              <w:rPr>
                <w:rFonts w:ascii="Times New Roman" w:hAnsi="Times New Roman"/>
                <w:bCs/>
                <w:color w:val="auto"/>
                <w:sz w:val="24"/>
                <w:szCs w:val="24"/>
              </w:rPr>
              <w:t>，不外排。</w:t>
            </w:r>
          </w:p>
          <w:p>
            <w:pPr>
              <w:widowControl w:val="0"/>
              <w:tabs>
                <w:tab w:val="left" w:pos="4536"/>
              </w:tabs>
              <w:spacing w:line="360" w:lineRule="auto"/>
              <w:ind w:firstLine="480" w:firstLineChars="200"/>
              <w:jc w:val="both"/>
              <w:rPr>
                <w:rFonts w:ascii="Times New Roman" w:hAnsi="Times New Roman"/>
                <w:bCs/>
                <w:color w:val="auto"/>
                <w:sz w:val="24"/>
                <w:szCs w:val="24"/>
              </w:rPr>
            </w:pPr>
            <w:r>
              <w:rPr>
                <w:rFonts w:hint="eastAsia" w:ascii="宋体" w:hAnsi="宋体" w:cs="宋体"/>
                <w:bCs/>
                <w:color w:val="auto"/>
                <w:sz w:val="24"/>
                <w:szCs w:val="24"/>
              </w:rPr>
              <w:t>③</w:t>
            </w:r>
            <w:r>
              <w:rPr>
                <w:rFonts w:ascii="Times New Roman" w:hAnsi="Times New Roman"/>
                <w:bCs/>
                <w:color w:val="auto"/>
                <w:sz w:val="24"/>
                <w:szCs w:val="24"/>
              </w:rPr>
              <w:t>事故废水排水系统</w:t>
            </w:r>
          </w:p>
          <w:p>
            <w:pPr>
              <w:spacing w:line="360" w:lineRule="auto"/>
              <w:ind w:left="40" w:firstLine="480" w:firstLineChars="200"/>
              <w:rPr>
                <w:rFonts w:ascii="Times New Roman" w:hAnsi="Times New Roman"/>
                <w:bCs/>
                <w:color w:val="auto"/>
                <w:sz w:val="24"/>
                <w:szCs w:val="24"/>
              </w:rPr>
            </w:pPr>
            <w:r>
              <w:rPr>
                <w:rFonts w:ascii="Times New Roman" w:hAnsi="Times New Roman"/>
                <w:bCs/>
                <w:color w:val="auto"/>
                <w:sz w:val="24"/>
                <w:szCs w:val="24"/>
              </w:rPr>
              <w:t>本技改项目事故状态下的事故废</w:t>
            </w:r>
            <w:r>
              <w:rPr>
                <w:rFonts w:hint="eastAsia" w:ascii="Times New Roman" w:hAnsi="Times New Roman"/>
                <w:bCs/>
                <w:color w:val="auto"/>
                <w:sz w:val="24"/>
                <w:szCs w:val="24"/>
              </w:rPr>
              <w:t>水</w:t>
            </w:r>
            <w:r>
              <w:rPr>
                <w:rFonts w:ascii="Times New Roman" w:hAnsi="Times New Roman"/>
                <w:bCs/>
                <w:color w:val="auto"/>
                <w:sz w:val="24"/>
                <w:szCs w:val="24"/>
              </w:rPr>
              <w:t>处理依托现有工程设置的事故水池收集，事故期间可能外溢的废</w:t>
            </w:r>
            <w:r>
              <w:rPr>
                <w:rFonts w:hint="eastAsia" w:ascii="Times New Roman" w:hAnsi="Times New Roman"/>
                <w:bCs/>
                <w:color w:val="auto"/>
                <w:sz w:val="24"/>
                <w:szCs w:val="24"/>
              </w:rPr>
              <w:t>水</w:t>
            </w:r>
            <w:r>
              <w:rPr>
                <w:rFonts w:ascii="Times New Roman" w:hAnsi="Times New Roman"/>
                <w:bCs/>
                <w:color w:val="auto"/>
                <w:sz w:val="24"/>
                <w:szCs w:val="24"/>
              </w:rPr>
              <w:t>主要有事故污水、消防废水、事故期间雨水等。本项目火灾或爆炸等事故时产生的事故废</w:t>
            </w:r>
            <w:r>
              <w:rPr>
                <w:rFonts w:hint="eastAsia" w:ascii="Times New Roman" w:hAnsi="Times New Roman"/>
                <w:bCs/>
                <w:color w:val="auto"/>
                <w:sz w:val="24"/>
                <w:szCs w:val="24"/>
              </w:rPr>
              <w:t>水</w:t>
            </w:r>
            <w:r>
              <w:rPr>
                <w:rFonts w:ascii="Times New Roman" w:hAnsi="Times New Roman"/>
                <w:bCs/>
                <w:color w:val="auto"/>
                <w:sz w:val="24"/>
                <w:szCs w:val="24"/>
              </w:rPr>
              <w:t>，按事故时一次火灾消防用水量（按工艺装置区最大消防水量 486m³）和事故期降雨量（50m³/次）考虑，其总量约536m³。待事故结束后对水质进行检测，若水质满足《污水综合排放标准》（GB 8978-1996）中的三级排放标准，外运靖边县污水处理厂处理，若不能满足则委托专业单位处理，不外排。</w:t>
            </w:r>
          </w:p>
          <w:p>
            <w:pPr>
              <w:tabs>
                <w:tab w:val="left" w:pos="841"/>
                <w:tab w:val="left" w:pos="3615"/>
                <w:tab w:val="left" w:pos="4536"/>
              </w:tabs>
              <w:spacing w:line="360" w:lineRule="auto"/>
              <w:ind w:firstLine="482" w:firstLineChars="200"/>
              <w:jc w:val="both"/>
              <w:rPr>
                <w:rFonts w:ascii="Times New Roman" w:hAnsi="Times New Roman"/>
                <w:b/>
                <w:color w:val="auto"/>
                <w:sz w:val="24"/>
                <w:szCs w:val="24"/>
              </w:rPr>
            </w:pPr>
            <w:r>
              <w:rPr>
                <w:rFonts w:ascii="Times New Roman" w:hAnsi="Times New Roman"/>
                <w:b/>
                <w:color w:val="auto"/>
                <w:sz w:val="24"/>
                <w:szCs w:val="24"/>
              </w:rPr>
              <w:t>（2）供电</w:t>
            </w:r>
          </w:p>
          <w:p>
            <w:pPr>
              <w:widowControl w:val="0"/>
              <w:tabs>
                <w:tab w:val="left" w:pos="4536"/>
              </w:tabs>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本项目的工作电源引自现有工程中建成的110KV总变电所。总变电所内设置有4台10/0.4kV2500kVA 变压器，剩余容量30%，其剩余容量可满足本项目用电需求。</w:t>
            </w:r>
          </w:p>
          <w:p>
            <w:pPr>
              <w:tabs>
                <w:tab w:val="left" w:pos="841"/>
                <w:tab w:val="left" w:pos="3615"/>
                <w:tab w:val="left" w:pos="4536"/>
              </w:tabs>
              <w:spacing w:line="360" w:lineRule="auto"/>
              <w:ind w:firstLine="482" w:firstLineChars="200"/>
              <w:jc w:val="both"/>
              <w:rPr>
                <w:rFonts w:ascii="Times New Roman" w:hAnsi="Times New Roman"/>
                <w:b/>
                <w:color w:val="auto"/>
                <w:sz w:val="24"/>
                <w:szCs w:val="24"/>
              </w:rPr>
            </w:pPr>
            <w:r>
              <w:rPr>
                <w:rFonts w:ascii="Times New Roman" w:hAnsi="Times New Roman"/>
                <w:b/>
                <w:color w:val="auto"/>
                <w:sz w:val="24"/>
                <w:szCs w:val="24"/>
              </w:rPr>
              <w:t>（3）供气</w:t>
            </w:r>
          </w:p>
          <w:p>
            <w:pPr>
              <w:widowControl w:val="0"/>
              <w:tabs>
                <w:tab w:val="left" w:pos="4536"/>
              </w:tabs>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本项目供气包括原料</w:t>
            </w:r>
            <w:r>
              <w:rPr>
                <w:rFonts w:hint="eastAsia" w:ascii="Times New Roman" w:hAnsi="Times New Roman"/>
                <w:bCs/>
                <w:color w:val="auto"/>
                <w:sz w:val="24"/>
                <w:szCs w:val="24"/>
              </w:rPr>
              <w:t>气</w:t>
            </w:r>
            <w:r>
              <w:rPr>
                <w:rFonts w:ascii="Times New Roman" w:hAnsi="Times New Roman"/>
                <w:bCs/>
                <w:color w:val="auto"/>
                <w:sz w:val="24"/>
                <w:szCs w:val="24"/>
              </w:rPr>
              <w:t>BOG、氧气、氮气、仪表空气等。</w:t>
            </w:r>
          </w:p>
          <w:p>
            <w:pPr>
              <w:pStyle w:val="160"/>
              <w:spacing w:line="360" w:lineRule="auto"/>
              <w:ind w:firstLine="482" w:firstLineChars="200"/>
              <w:rPr>
                <w:rFonts w:ascii="Times New Roman" w:hAnsi="Times New Roman" w:cs="Times New Roman"/>
                <w:bCs/>
                <w:color w:val="auto"/>
              </w:rPr>
            </w:pPr>
            <w:r>
              <w:rPr>
                <w:rFonts w:ascii="Times New Roman" w:hAnsi="Times New Roman" w:cs="Times New Roman"/>
                <w:b/>
                <w:color w:val="auto"/>
              </w:rPr>
              <w:t>原料BOG：</w:t>
            </w:r>
            <w:r>
              <w:rPr>
                <w:rFonts w:hint="eastAsia" w:ascii="Times New Roman" w:hAnsi="Times New Roman" w:cs="Times New Roman"/>
                <w:color w:val="auto"/>
              </w:rPr>
              <w:t>本项目原料气为来自陕西靖边星源实业有限公司现有厂区液化天然气装置产生的BOG气体，</w:t>
            </w:r>
            <w:r>
              <w:rPr>
                <w:rFonts w:hint="eastAsia" w:ascii="Times New Roman" w:hAnsi="Times New Roman"/>
                <w:color w:val="auto"/>
              </w:rPr>
              <w:t>根据建设单位提供的资料，</w:t>
            </w:r>
            <w:r>
              <w:rPr>
                <w:rFonts w:ascii="Times New Roman" w:hAnsi="Times New Roman"/>
                <w:color w:val="auto"/>
              </w:rPr>
              <w:t>厂区现有液化天然气装置</w:t>
            </w:r>
            <w:r>
              <w:rPr>
                <w:rFonts w:hint="eastAsia" w:ascii="Times New Roman" w:hAnsi="Times New Roman"/>
                <w:color w:val="auto"/>
              </w:rPr>
              <w:t>可产生BOG约</w:t>
            </w:r>
            <w:r>
              <w:rPr>
                <w:rFonts w:hint="eastAsia" w:ascii="Times New Roman" w:hAnsi="Times New Roman"/>
                <w:color w:val="auto"/>
                <w:lang w:eastAsia="zh-CN"/>
              </w:rPr>
              <w:t>3000</w:t>
            </w:r>
            <w:r>
              <w:rPr>
                <w:rFonts w:hint="eastAsia" w:ascii="Times New Roman" w:hAnsi="Times New Roman"/>
                <w:color w:val="auto"/>
              </w:rPr>
              <w:t>Nm</w:t>
            </w:r>
            <w:r>
              <w:rPr>
                <w:rFonts w:hint="eastAsia" w:ascii="Times New Roman" w:hAnsi="Times New Roman"/>
                <w:color w:val="auto"/>
                <w:vertAlign w:val="superscript"/>
              </w:rPr>
              <w:t>3</w:t>
            </w:r>
            <w:r>
              <w:rPr>
                <w:rFonts w:hint="eastAsia" w:ascii="Times New Roman" w:hAnsi="Times New Roman"/>
                <w:color w:val="auto"/>
              </w:rPr>
              <w:t>/h，本项目提氦装置</w:t>
            </w:r>
            <w:r>
              <w:rPr>
                <w:rFonts w:ascii="Times New Roman" w:hAnsi="Times New Roman" w:cs="Times New Roman"/>
                <w:bCs/>
                <w:color w:val="auto"/>
              </w:rPr>
              <w:t>生产过程需BOG的量为</w:t>
            </w:r>
            <w:r>
              <w:rPr>
                <w:rFonts w:hint="eastAsia" w:ascii="Times New Roman" w:hAnsi="Times New Roman" w:cs="Times New Roman"/>
                <w:bCs/>
                <w:color w:val="auto"/>
              </w:rPr>
              <w:t>900</w:t>
            </w:r>
            <w:r>
              <w:rPr>
                <w:rFonts w:hint="eastAsia" w:ascii="Times New Roman" w:hAnsi="Times New Roman"/>
                <w:color w:val="auto"/>
              </w:rPr>
              <w:t>Nm</w:t>
            </w:r>
            <w:r>
              <w:rPr>
                <w:rFonts w:hint="eastAsia" w:ascii="Times New Roman" w:hAnsi="Times New Roman"/>
                <w:color w:val="auto"/>
                <w:vertAlign w:val="superscript"/>
              </w:rPr>
              <w:t>3</w:t>
            </w:r>
            <w:r>
              <w:rPr>
                <w:rFonts w:hint="eastAsia" w:ascii="Times New Roman" w:hAnsi="Times New Roman"/>
                <w:color w:val="auto"/>
              </w:rPr>
              <w:t>/h（</w:t>
            </w:r>
            <w:r>
              <w:rPr>
                <w:rFonts w:ascii="Times New Roman" w:hAnsi="Times New Roman" w:cs="Times New Roman"/>
                <w:bCs/>
                <w:color w:val="auto"/>
              </w:rPr>
              <w:t>7</w:t>
            </w:r>
            <w:r>
              <w:rPr>
                <w:rFonts w:hint="eastAsia" w:ascii="Times New Roman" w:hAnsi="Times New Roman" w:cs="Times New Roman"/>
                <w:bCs/>
                <w:color w:val="auto"/>
              </w:rPr>
              <w:t>20</w:t>
            </w:r>
            <w:r>
              <w:rPr>
                <w:rFonts w:ascii="Times New Roman" w:hAnsi="Times New Roman" w:cs="Times New Roman"/>
                <w:bCs/>
                <w:color w:val="auto"/>
              </w:rPr>
              <w:t>×10</w:t>
            </w:r>
            <w:r>
              <w:rPr>
                <w:rFonts w:ascii="Times New Roman" w:hAnsi="Times New Roman" w:cs="Times New Roman"/>
                <w:bCs/>
                <w:color w:val="auto"/>
                <w:vertAlign w:val="superscript"/>
              </w:rPr>
              <w:t>4</w:t>
            </w:r>
            <w:r>
              <w:rPr>
                <w:rFonts w:ascii="Times New Roman" w:hAnsi="Times New Roman" w:cs="Times New Roman"/>
                <w:bCs/>
                <w:color w:val="auto"/>
              </w:rPr>
              <w:t>m</w:t>
            </w:r>
            <w:r>
              <w:rPr>
                <w:rFonts w:ascii="Times New Roman" w:hAnsi="Times New Roman" w:cs="Times New Roman"/>
                <w:bCs/>
                <w:color w:val="auto"/>
                <w:vertAlign w:val="superscript"/>
              </w:rPr>
              <w:t>3</w:t>
            </w:r>
            <w:r>
              <w:rPr>
                <w:rFonts w:ascii="Times New Roman" w:hAnsi="Times New Roman" w:cs="Times New Roman"/>
                <w:bCs/>
                <w:color w:val="auto"/>
              </w:rPr>
              <w:t>/a</w:t>
            </w:r>
            <w:r>
              <w:rPr>
                <w:rFonts w:hint="eastAsia" w:ascii="Times New Roman" w:hAnsi="Times New Roman"/>
                <w:color w:val="auto"/>
              </w:rPr>
              <w:t>）。</w:t>
            </w:r>
          </w:p>
          <w:p>
            <w:pPr>
              <w:pStyle w:val="160"/>
              <w:spacing w:line="360" w:lineRule="auto"/>
              <w:ind w:firstLine="482" w:firstLineChars="200"/>
              <w:rPr>
                <w:rFonts w:ascii="Times New Roman" w:hAnsi="Times New Roman" w:cs="Times New Roman"/>
                <w:bCs/>
                <w:color w:val="auto"/>
                <w:kern w:val="2"/>
              </w:rPr>
            </w:pPr>
            <w:r>
              <w:rPr>
                <w:rFonts w:hint="eastAsia" w:ascii="Times New Roman" w:hAnsi="Times New Roman" w:cs="Times New Roman"/>
                <w:b/>
                <w:color w:val="auto"/>
                <w:kern w:val="2"/>
              </w:rPr>
              <w:t>氧气</w:t>
            </w:r>
            <w:r>
              <w:rPr>
                <w:rFonts w:ascii="Times New Roman" w:hAnsi="Times New Roman" w:cs="Times New Roman"/>
                <w:b/>
                <w:color w:val="auto"/>
                <w:kern w:val="2"/>
              </w:rPr>
              <w:t>：</w:t>
            </w:r>
            <w:r>
              <w:rPr>
                <w:rFonts w:ascii="Times New Roman" w:hAnsi="Times New Roman" w:cs="Times New Roman"/>
                <w:bCs/>
                <w:color w:val="auto"/>
                <w:kern w:val="2"/>
              </w:rPr>
              <w:t>作为催化脱氢环节的反应物，</w:t>
            </w:r>
            <w:r>
              <w:rPr>
                <w:rFonts w:hint="eastAsia" w:ascii="Times New Roman" w:hAnsi="Times New Roman" w:cs="Times New Roman"/>
                <w:bCs/>
                <w:color w:val="auto"/>
                <w:kern w:val="2"/>
              </w:rPr>
              <w:t>储存于项目新建的</w:t>
            </w:r>
            <w:r>
              <w:rPr>
                <w:rFonts w:ascii="Times New Roman" w:hAnsi="Times New Roman" w:cs="Times New Roman"/>
                <w:bCs/>
                <w:color w:val="auto"/>
              </w:rPr>
              <w:t>一台含汽化器的10m</w:t>
            </w:r>
            <w:r>
              <w:rPr>
                <w:rFonts w:ascii="Times New Roman" w:hAnsi="Times New Roman" w:cs="Times New Roman"/>
                <w:bCs/>
                <w:color w:val="auto"/>
                <w:vertAlign w:val="superscript"/>
              </w:rPr>
              <w:t>3</w:t>
            </w:r>
            <w:r>
              <w:rPr>
                <w:rFonts w:ascii="Times New Roman" w:hAnsi="Times New Roman" w:cs="Times New Roman"/>
                <w:bCs/>
                <w:color w:val="auto"/>
              </w:rPr>
              <w:t>液氧储罐</w:t>
            </w:r>
            <w:r>
              <w:rPr>
                <w:rFonts w:hint="eastAsia" w:ascii="Times New Roman" w:hAnsi="Times New Roman" w:cs="Times New Roman"/>
                <w:bCs/>
                <w:color w:val="auto"/>
              </w:rPr>
              <w:t>内，经罐内汽化器出罐时为气体，</w:t>
            </w:r>
            <w:r>
              <w:rPr>
                <w:rFonts w:ascii="Times New Roman" w:hAnsi="Times New Roman" w:cs="Times New Roman"/>
                <w:bCs/>
                <w:color w:val="auto"/>
              </w:rPr>
              <w:t>进入</w:t>
            </w:r>
            <w:r>
              <w:rPr>
                <w:rFonts w:hint="eastAsia" w:ascii="Times New Roman" w:hAnsi="Times New Roman" w:cs="Times New Roman"/>
                <w:bCs/>
                <w:color w:val="auto"/>
              </w:rPr>
              <w:t>催化脱氢单元的</w:t>
            </w:r>
            <w:r>
              <w:rPr>
                <w:rFonts w:ascii="Times New Roman" w:hAnsi="Times New Roman" w:cs="Times New Roman"/>
                <w:bCs/>
                <w:color w:val="auto"/>
              </w:rPr>
              <w:t>催化反应器内</w:t>
            </w:r>
            <w:r>
              <w:rPr>
                <w:rFonts w:hint="eastAsia" w:ascii="Times New Roman" w:hAnsi="Times New Roman" w:cs="Times New Roman"/>
                <w:bCs/>
                <w:color w:val="auto"/>
              </w:rPr>
              <w:t>与氢气反应生成脱氢冷凝水排出，根据物料衡算法计算可得液氧的</w:t>
            </w:r>
            <w:r>
              <w:rPr>
                <w:rFonts w:ascii="Times New Roman" w:hAnsi="Times New Roman" w:cs="Times New Roman"/>
                <w:bCs/>
                <w:color w:val="auto"/>
              </w:rPr>
              <w:t>消耗量为</w:t>
            </w:r>
            <w:r>
              <w:rPr>
                <w:rFonts w:hint="eastAsia" w:ascii="Times New Roman" w:hAnsi="Times New Roman" w:cs="Times New Roman"/>
                <w:bCs/>
                <w:color w:val="auto"/>
              </w:rPr>
              <w:t>7.231</w:t>
            </w:r>
            <w:r>
              <w:rPr>
                <w:rFonts w:ascii="Times New Roman" w:hAnsi="Times New Roman" w:cs="Times New Roman"/>
                <w:bCs/>
                <w:color w:val="auto"/>
              </w:rPr>
              <w:t>kg/h。</w:t>
            </w:r>
          </w:p>
          <w:p>
            <w:pPr>
              <w:pStyle w:val="160"/>
              <w:spacing w:line="360" w:lineRule="auto"/>
              <w:ind w:firstLine="482" w:firstLineChars="200"/>
              <w:rPr>
                <w:rFonts w:ascii="Times New Roman" w:hAnsi="Times New Roman" w:cs="Times New Roman"/>
                <w:bCs/>
                <w:color w:val="auto"/>
                <w:kern w:val="2"/>
              </w:rPr>
            </w:pPr>
            <w:r>
              <w:rPr>
                <w:rFonts w:hint="eastAsia" w:ascii="Times New Roman" w:hAnsi="Times New Roman" w:cs="Times New Roman"/>
                <w:b/>
                <w:color w:val="auto"/>
              </w:rPr>
              <w:t>氮气</w:t>
            </w:r>
            <w:r>
              <w:rPr>
                <w:rFonts w:ascii="Times New Roman" w:hAnsi="Times New Roman" w:cs="Times New Roman"/>
                <w:b/>
                <w:color w:val="auto"/>
              </w:rPr>
              <w:t>：</w:t>
            </w:r>
            <w:r>
              <w:rPr>
                <w:rFonts w:hint="eastAsia" w:ascii="Times New Roman" w:hAnsi="Times New Roman" w:cs="Times New Roman"/>
                <w:bCs/>
                <w:color w:val="auto"/>
                <w:kern w:val="2"/>
              </w:rPr>
              <w:t>项目中氮气用于氦气精制单元纯化器活化再生吹扫气体，项目所用氮气依托现有氮气系统，根据建设单位提供的初步设计资料，氮气</w:t>
            </w:r>
            <w:r>
              <w:rPr>
                <w:rFonts w:ascii="Times New Roman" w:hAnsi="Times New Roman" w:cs="Times New Roman"/>
                <w:bCs/>
                <w:color w:val="auto"/>
              </w:rPr>
              <w:t>消耗量为</w:t>
            </w:r>
            <w:r>
              <w:rPr>
                <w:rFonts w:hint="eastAsia" w:ascii="Times New Roman" w:hAnsi="Times New Roman" w:cs="Times New Roman"/>
                <w:bCs/>
                <w:color w:val="auto"/>
              </w:rPr>
              <w:t>100</w:t>
            </w:r>
            <w:r>
              <w:rPr>
                <w:rFonts w:ascii="Times New Roman" w:hAnsi="Times New Roman" w:cs="Times New Roman"/>
                <w:bCs/>
                <w:color w:val="auto"/>
              </w:rPr>
              <w:t>m</w:t>
            </w:r>
            <w:r>
              <w:rPr>
                <w:rFonts w:ascii="Times New Roman" w:hAnsi="Times New Roman" w:cs="Times New Roman"/>
                <w:bCs/>
                <w:color w:val="auto"/>
                <w:vertAlign w:val="superscript"/>
              </w:rPr>
              <w:t>3</w:t>
            </w:r>
            <w:r>
              <w:rPr>
                <w:rFonts w:ascii="Times New Roman" w:hAnsi="Times New Roman" w:cs="Times New Roman"/>
                <w:bCs/>
                <w:color w:val="auto"/>
              </w:rPr>
              <w:t>/h。</w:t>
            </w:r>
          </w:p>
          <w:p>
            <w:pPr>
              <w:widowControl w:val="0"/>
              <w:tabs>
                <w:tab w:val="left" w:pos="4536"/>
              </w:tabs>
              <w:spacing w:line="360" w:lineRule="auto"/>
              <w:ind w:firstLine="482" w:firstLineChars="200"/>
              <w:jc w:val="both"/>
              <w:rPr>
                <w:rFonts w:ascii="Times New Roman" w:hAnsi="Times New Roman"/>
                <w:bCs/>
                <w:color w:val="auto"/>
                <w:sz w:val="24"/>
                <w:szCs w:val="24"/>
              </w:rPr>
            </w:pPr>
            <w:r>
              <w:rPr>
                <w:rFonts w:ascii="Times New Roman" w:hAnsi="Times New Roman"/>
                <w:b/>
                <w:color w:val="auto"/>
                <w:sz w:val="24"/>
                <w:szCs w:val="24"/>
              </w:rPr>
              <w:t>仪表空气：</w:t>
            </w:r>
            <w:r>
              <w:rPr>
                <w:rFonts w:ascii="Times New Roman" w:hAnsi="Times New Roman"/>
                <w:bCs/>
                <w:color w:val="auto"/>
                <w:sz w:val="24"/>
                <w:szCs w:val="24"/>
              </w:rPr>
              <w:t>本项目</w:t>
            </w:r>
            <w:r>
              <w:rPr>
                <w:rFonts w:hint="eastAsia" w:ascii="Times New Roman" w:hAnsi="Times New Roman"/>
                <w:bCs/>
                <w:color w:val="auto"/>
                <w:sz w:val="24"/>
                <w:szCs w:val="24"/>
              </w:rPr>
              <w:t>仪表风</w:t>
            </w:r>
            <w:r>
              <w:rPr>
                <w:rFonts w:ascii="Times New Roman" w:hAnsi="Times New Roman"/>
                <w:bCs/>
                <w:color w:val="auto"/>
                <w:sz w:val="24"/>
                <w:szCs w:val="24"/>
              </w:rPr>
              <w:t>依托现有仪表风系统，</w:t>
            </w:r>
            <w:r>
              <w:rPr>
                <w:rFonts w:hint="eastAsia" w:ascii="Times New Roman" w:hAnsi="Times New Roman"/>
                <w:bCs/>
                <w:color w:val="auto"/>
                <w:sz w:val="24"/>
                <w:szCs w:val="24"/>
              </w:rPr>
              <w:t>根据建设单位提供的初步设计资料，</w:t>
            </w:r>
            <w:r>
              <w:rPr>
                <w:rFonts w:ascii="Times New Roman" w:hAnsi="Times New Roman"/>
                <w:bCs/>
                <w:color w:val="auto"/>
                <w:sz w:val="24"/>
                <w:szCs w:val="24"/>
              </w:rPr>
              <w:t>项目仪表风消耗量为50m</w:t>
            </w:r>
            <w:r>
              <w:rPr>
                <w:rFonts w:ascii="Times New Roman" w:hAnsi="Times New Roman"/>
                <w:bCs/>
                <w:color w:val="auto"/>
                <w:sz w:val="24"/>
                <w:szCs w:val="24"/>
                <w:vertAlign w:val="superscript"/>
              </w:rPr>
              <w:t>3</w:t>
            </w:r>
            <w:r>
              <w:rPr>
                <w:rFonts w:ascii="Times New Roman" w:hAnsi="Times New Roman"/>
                <w:bCs/>
                <w:color w:val="auto"/>
                <w:sz w:val="24"/>
                <w:szCs w:val="24"/>
              </w:rPr>
              <w:t>/h。</w:t>
            </w:r>
          </w:p>
          <w:p>
            <w:pPr>
              <w:widowControl w:val="0"/>
              <w:tabs>
                <w:tab w:val="left" w:pos="4536"/>
              </w:tabs>
              <w:spacing w:line="360" w:lineRule="auto"/>
              <w:ind w:firstLine="482" w:firstLineChars="200"/>
              <w:jc w:val="both"/>
              <w:rPr>
                <w:rFonts w:ascii="Times New Roman" w:hAnsi="Times New Roman"/>
                <w:bCs/>
                <w:color w:val="auto"/>
                <w:sz w:val="24"/>
                <w:szCs w:val="24"/>
              </w:rPr>
            </w:pPr>
            <w:r>
              <w:rPr>
                <w:rFonts w:ascii="Times New Roman" w:hAnsi="Times New Roman"/>
                <w:b/>
                <w:color w:val="auto"/>
                <w:sz w:val="24"/>
                <w:szCs w:val="24"/>
              </w:rPr>
              <w:t>（4）采暖</w:t>
            </w:r>
          </w:p>
          <w:p>
            <w:pPr>
              <w:widowControl w:val="0"/>
              <w:spacing w:line="360" w:lineRule="auto"/>
              <w:ind w:firstLine="480" w:firstLineChars="200"/>
              <w:jc w:val="both"/>
              <w:rPr>
                <w:rFonts w:ascii="Times New Roman" w:hAnsi="Times New Roman"/>
                <w:bCs/>
                <w:color w:val="auto"/>
                <w:sz w:val="24"/>
                <w:szCs w:val="24"/>
              </w:rPr>
            </w:pPr>
            <w:r>
              <w:rPr>
                <w:rFonts w:hint="eastAsia" w:ascii="Times New Roman" w:hAnsi="Times New Roman"/>
                <w:bCs/>
                <w:color w:val="auto"/>
                <w:sz w:val="24"/>
                <w:szCs w:val="24"/>
              </w:rPr>
              <w:t>本</w:t>
            </w:r>
            <w:r>
              <w:rPr>
                <w:rFonts w:ascii="Times New Roman" w:hAnsi="Times New Roman"/>
                <w:bCs/>
                <w:color w:val="auto"/>
                <w:sz w:val="24"/>
                <w:szCs w:val="24"/>
              </w:rPr>
              <w:t>项目冬季采暖利用现有3台0.7MW燃气热水锅炉（两用一备）供暖</w:t>
            </w:r>
            <w:r>
              <w:rPr>
                <w:rFonts w:hint="eastAsia" w:ascii="Times New Roman" w:hAnsi="Times New Roman"/>
                <w:bCs/>
                <w:color w:val="auto"/>
                <w:sz w:val="24"/>
                <w:szCs w:val="24"/>
              </w:rPr>
              <w:t>，供暖燃料气部分源于本项目粗氦提取单元从原料气BOG中分离出的富甲烷解析气</w:t>
            </w:r>
            <w:r>
              <w:rPr>
                <w:rFonts w:ascii="Times New Roman" w:hAnsi="Times New Roman"/>
                <w:bCs/>
                <w:color w:val="auto"/>
                <w:sz w:val="24"/>
                <w:szCs w:val="24"/>
              </w:rPr>
              <w:t>。</w:t>
            </w:r>
          </w:p>
          <w:p>
            <w:pPr>
              <w:widowControl w:val="0"/>
              <w:spacing w:line="360" w:lineRule="auto"/>
              <w:ind w:left="412" w:leftChars="196"/>
              <w:jc w:val="both"/>
              <w:rPr>
                <w:rFonts w:ascii="Times New Roman" w:hAnsi="Times New Roman"/>
                <w:bCs/>
                <w:color w:val="auto"/>
                <w:sz w:val="24"/>
                <w:szCs w:val="24"/>
              </w:rPr>
            </w:pPr>
            <w:r>
              <w:rPr>
                <w:rFonts w:ascii="Times New Roman" w:hAnsi="Times New Roman"/>
                <w:b/>
                <w:bCs/>
                <w:color w:val="auto"/>
                <w:sz w:val="24"/>
                <w:szCs w:val="24"/>
              </w:rPr>
              <w:t>（5）消防</w:t>
            </w:r>
          </w:p>
          <w:p>
            <w:pPr>
              <w:pStyle w:val="35"/>
              <w:tabs>
                <w:tab w:val="left" w:pos="1384"/>
              </w:tabs>
              <w:spacing w:after="0" w:line="360" w:lineRule="auto"/>
              <w:ind w:left="0" w:leftChars="0" w:firstLine="480" w:firstLineChars="200"/>
              <w:rPr>
                <w:color w:val="auto"/>
                <w:kern w:val="2"/>
                <w:szCs w:val="24"/>
              </w:rPr>
            </w:pPr>
            <w:r>
              <w:rPr>
                <w:color w:val="auto"/>
                <w:kern w:val="2"/>
                <w:szCs w:val="24"/>
              </w:rPr>
              <w:t>本技改项目消防配套设施</w:t>
            </w:r>
            <w:r>
              <w:rPr>
                <w:rFonts w:hint="eastAsia"/>
                <w:color w:val="auto"/>
                <w:kern w:val="2"/>
                <w:szCs w:val="24"/>
              </w:rPr>
              <w:t>（消防管道、消火栓、水炮等）</w:t>
            </w:r>
            <w:r>
              <w:rPr>
                <w:color w:val="auto"/>
                <w:kern w:val="2"/>
                <w:szCs w:val="24"/>
              </w:rPr>
              <w:t>依托现有，仅新增一定数量的灭火器</w:t>
            </w:r>
            <w:r>
              <w:rPr>
                <w:rFonts w:hint="eastAsia"/>
                <w:color w:val="auto"/>
                <w:kern w:val="2"/>
                <w:szCs w:val="24"/>
              </w:rPr>
              <w:t>（50kg 推车式 ABC 类干粉灭火器4个、8kg 手提式 ABC 类干粉灭火器8个）</w:t>
            </w:r>
            <w:r>
              <w:rPr>
                <w:color w:val="auto"/>
                <w:kern w:val="2"/>
                <w:szCs w:val="24"/>
              </w:rPr>
              <w:t>。</w:t>
            </w:r>
          </w:p>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9、项目平面布置</w:t>
            </w:r>
          </w:p>
          <w:p>
            <w:pPr>
              <w:widowControl w:val="0"/>
              <w:spacing w:line="360" w:lineRule="auto"/>
              <w:ind w:firstLine="480" w:firstLineChars="200"/>
              <w:jc w:val="both"/>
              <w:rPr>
                <w:rFonts w:ascii="Times New Roman" w:hAnsi="Times New Roman"/>
                <w:b/>
                <w:bCs/>
                <w:color w:val="auto"/>
                <w:sz w:val="24"/>
                <w:szCs w:val="24"/>
              </w:rPr>
            </w:pPr>
            <w:r>
              <w:rPr>
                <w:rFonts w:ascii="Times New Roman" w:hAnsi="Times New Roman"/>
                <w:color w:val="auto"/>
                <w:sz w:val="24"/>
                <w:szCs w:val="24"/>
              </w:rPr>
              <w:t>本技改项目位于</w:t>
            </w:r>
            <w:r>
              <w:rPr>
                <w:rFonts w:ascii="Times New Roman" w:hAnsi="Times New Roman"/>
                <w:snapToGrid w:val="0"/>
                <w:color w:val="auto"/>
                <w:sz w:val="24"/>
              </w:rPr>
              <w:t>陕西</w:t>
            </w:r>
            <w:r>
              <w:rPr>
                <w:rFonts w:ascii="Times New Roman" w:hAnsi="Times New Roman"/>
                <w:color w:val="auto"/>
                <w:kern w:val="0"/>
                <w:sz w:val="24"/>
                <w:szCs w:val="24"/>
                <w:lang w:bidi="ar"/>
              </w:rPr>
              <w:t>靖边星源实业有限公司场地内，不新增用地</w:t>
            </w:r>
            <w:r>
              <w:rPr>
                <w:rFonts w:ascii="Times New Roman" w:hAnsi="Times New Roman"/>
                <w:color w:val="auto"/>
                <w:sz w:val="24"/>
                <w:szCs w:val="24"/>
              </w:rPr>
              <w:t>（项目</w:t>
            </w:r>
            <w:r>
              <w:rPr>
                <w:rFonts w:ascii="Times New Roman" w:hAnsi="Times New Roman"/>
                <w:snapToGrid w:val="0"/>
                <w:color w:val="auto"/>
                <w:sz w:val="24"/>
              </w:rPr>
              <w:t>占地6267m</w:t>
            </w:r>
            <w:r>
              <w:rPr>
                <w:rFonts w:ascii="Times New Roman" w:hAnsi="Times New Roman"/>
                <w:snapToGrid w:val="0"/>
                <w:color w:val="auto"/>
                <w:sz w:val="24"/>
                <w:vertAlign w:val="superscript"/>
              </w:rPr>
              <w:t>2</w:t>
            </w:r>
            <w:r>
              <w:rPr>
                <w:rFonts w:ascii="Times New Roman" w:hAnsi="Times New Roman"/>
                <w:color w:val="auto"/>
                <w:sz w:val="24"/>
                <w:szCs w:val="24"/>
              </w:rPr>
              <w:t>）</w:t>
            </w:r>
            <w:r>
              <w:rPr>
                <w:rFonts w:hint="eastAsia" w:ascii="Times New Roman" w:hAnsi="Times New Roman"/>
                <w:color w:val="auto"/>
                <w:sz w:val="24"/>
                <w:szCs w:val="24"/>
              </w:rPr>
              <w:t>，在现有厂区预留空地上建设，现有LNG厂区建设过程中已经预先考虑了本项目装置区安装工程。本项目的平面布局与现有场地相协调，提氦装置区预留区域位于</w:t>
            </w:r>
            <w:r>
              <w:rPr>
                <w:rFonts w:ascii="Times New Roman" w:hAnsi="Times New Roman"/>
                <w:color w:val="auto"/>
                <w:sz w:val="24"/>
                <w:szCs w:val="24"/>
              </w:rPr>
              <w:t>现有厂区液化天然气生产装置区</w:t>
            </w:r>
            <w:r>
              <w:rPr>
                <w:rFonts w:hint="eastAsia" w:ascii="Times New Roman" w:hAnsi="Times New Roman"/>
                <w:color w:val="auto"/>
                <w:sz w:val="24"/>
                <w:szCs w:val="24"/>
              </w:rPr>
              <w:t>以南</w:t>
            </w:r>
            <w:r>
              <w:rPr>
                <w:rFonts w:ascii="Times New Roman" w:hAnsi="Times New Roman"/>
                <w:color w:val="auto"/>
                <w:sz w:val="24"/>
                <w:szCs w:val="24"/>
              </w:rPr>
              <w:t>，危化品停车场</w:t>
            </w:r>
            <w:r>
              <w:rPr>
                <w:rFonts w:hint="eastAsia" w:ascii="Times New Roman" w:hAnsi="Times New Roman"/>
                <w:color w:val="auto"/>
                <w:sz w:val="24"/>
                <w:szCs w:val="24"/>
              </w:rPr>
              <w:t>以西，</w:t>
            </w:r>
            <w:r>
              <w:rPr>
                <w:rFonts w:ascii="Times New Roman" w:hAnsi="Times New Roman"/>
                <w:color w:val="auto"/>
                <w:sz w:val="24"/>
                <w:szCs w:val="24"/>
              </w:rPr>
              <w:t>碳酸二甲酯生产装置区</w:t>
            </w:r>
            <w:r>
              <w:rPr>
                <w:rFonts w:hint="eastAsia" w:ascii="Times New Roman" w:hAnsi="Times New Roman"/>
                <w:color w:val="auto"/>
                <w:sz w:val="24"/>
                <w:szCs w:val="24"/>
              </w:rPr>
              <w:t>预留空地东北方向的区域</w:t>
            </w:r>
            <w:r>
              <w:rPr>
                <w:rFonts w:ascii="Times New Roman" w:hAnsi="Times New Roman"/>
                <w:color w:val="auto"/>
                <w:sz w:val="24"/>
                <w:szCs w:val="24"/>
              </w:rPr>
              <w:t>。</w:t>
            </w:r>
            <w:r>
              <w:rPr>
                <w:rFonts w:hint="eastAsia" w:ascii="Times New Roman" w:hAnsi="Times New Roman"/>
                <w:color w:val="auto"/>
                <w:sz w:val="24"/>
                <w:szCs w:val="24"/>
              </w:rPr>
              <w:t>拟建项目用地合理安排，顺应生产工艺流程，在符合现行防火、安全、卫生、环保等标准、规范的要求下，尽可能采用露天化联合集中布置，力求达到功能分区明确，布置紧凑，管线短捷，节约用地。</w:t>
            </w:r>
            <w:r>
              <w:rPr>
                <w:rFonts w:ascii="Times New Roman" w:hAnsi="Times New Roman"/>
                <w:color w:val="auto"/>
                <w:sz w:val="24"/>
                <w:szCs w:val="24"/>
              </w:rPr>
              <w:t>本技改项目具体平面布置见附图3。</w:t>
            </w:r>
          </w:p>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10、依托工程可行性分析</w:t>
            </w:r>
          </w:p>
          <w:p>
            <w:pPr>
              <w:widowControl w:val="0"/>
              <w:spacing w:line="360" w:lineRule="auto"/>
              <w:ind w:firstLine="480" w:firstLineChars="200"/>
              <w:jc w:val="both"/>
              <w:rPr>
                <w:rFonts w:ascii="Times New Roman" w:hAnsi="Times New Roman"/>
                <w:color w:val="auto"/>
                <w:sz w:val="24"/>
                <w:szCs w:val="24"/>
              </w:rPr>
            </w:pPr>
            <w:r>
              <w:rPr>
                <w:rFonts w:hint="eastAsia" w:ascii="Times New Roman" w:hAnsi="Times New Roman"/>
                <w:color w:val="auto"/>
                <w:sz w:val="24"/>
                <w:szCs w:val="24"/>
              </w:rPr>
              <w:t>本项目在现有厂区预留空地上新建一条液化天然气提取氦气生产线，公用及环保工程均依托厂区现有条件，依托工程及可行性分析见表13。</w:t>
            </w:r>
          </w:p>
          <w:p>
            <w:pPr>
              <w:widowControl w:val="0"/>
              <w:numPr>
                <w:ilvl w:val="0"/>
                <w:numId w:val="13"/>
              </w:numPr>
              <w:jc w:val="center"/>
              <w:rPr>
                <w:rFonts w:ascii="Times New Roman" w:hAnsi="Times New Roman"/>
                <w:b/>
                <w:color w:val="auto"/>
                <w:sz w:val="24"/>
                <w:szCs w:val="24"/>
              </w:rPr>
            </w:pPr>
            <w:r>
              <w:rPr>
                <w:rFonts w:hint="eastAsia" w:ascii="Times New Roman" w:hAnsi="Times New Roman"/>
                <w:b/>
                <w:color w:val="auto"/>
                <w:sz w:val="24"/>
                <w:szCs w:val="24"/>
              </w:rPr>
              <w:t>依托工程及可行性分析一览表</w:t>
            </w:r>
          </w:p>
          <w:tbl>
            <w:tblPr>
              <w:tblStyle w:val="91"/>
              <w:tblW w:w="85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890"/>
              <w:gridCol w:w="4065"/>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依托工程</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本项目需求</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工厂现有工程能力</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w:t>
                  </w:r>
                </w:p>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原料来源</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本项目BOG设计处理量为900Nm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现有工程二期</w:t>
                  </w:r>
                  <w:r>
                    <w:rPr>
                      <w:rFonts w:hint="eastAsia" w:ascii="Times New Roman" w:hAnsi="Times New Roman"/>
                      <w:color w:val="auto"/>
                      <w:kern w:val="0"/>
                      <w:szCs w:val="21"/>
                      <w:lang w:eastAsia="zh-CN"/>
                    </w:rPr>
                    <w:t>项目</w:t>
                  </w:r>
                  <w:r>
                    <w:rPr>
                      <w:rFonts w:hint="eastAsia" w:ascii="Times New Roman" w:hAnsi="Times New Roman"/>
                      <w:color w:val="auto"/>
                      <w:kern w:val="0"/>
                      <w:szCs w:val="21"/>
                    </w:rPr>
                    <w:t>处理规模为150×10</w:t>
                  </w:r>
                  <w:r>
                    <w:rPr>
                      <w:rFonts w:hint="eastAsia" w:ascii="Times New Roman" w:hAnsi="Times New Roman"/>
                      <w:color w:val="auto"/>
                      <w:kern w:val="0"/>
                      <w:szCs w:val="21"/>
                      <w:vertAlign w:val="superscript"/>
                    </w:rPr>
                    <w:t>4</w:t>
                  </w:r>
                  <w:r>
                    <w:rPr>
                      <w:rFonts w:hint="eastAsia" w:ascii="Times New Roman" w:hAnsi="Times New Roman"/>
                      <w:color w:val="auto"/>
                      <w:kern w:val="0"/>
                      <w:szCs w:val="21"/>
                    </w:rPr>
                    <w:t>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/d，液化天然气存储规模为20000m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；目前二期项目的BOG回收量约为</w:t>
                  </w:r>
                  <w:r>
                    <w:rPr>
                      <w:rFonts w:hint="eastAsia" w:ascii="Times New Roman" w:hAnsi="Times New Roman"/>
                      <w:color w:val="auto"/>
                      <w:kern w:val="0"/>
                      <w:szCs w:val="21"/>
                      <w:lang w:eastAsia="zh-CN"/>
                    </w:rPr>
                    <w:t>3000</w:t>
                  </w:r>
                  <w:r>
                    <w:rPr>
                      <w:rFonts w:hint="eastAsia" w:ascii="Times New Roman" w:hAnsi="Times New Roman"/>
                      <w:color w:val="auto"/>
                      <w:kern w:val="0"/>
                      <w:szCs w:val="21"/>
                    </w:rPr>
                    <w:t>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/h。本项目从厂区</w:t>
                  </w:r>
                  <w:r>
                    <w:rPr>
                      <w:rFonts w:hint="eastAsia" w:ascii="Times New Roman" w:hAnsi="Times New Roman"/>
                      <w:color w:val="auto"/>
                      <w:kern w:val="0"/>
                      <w:szCs w:val="21"/>
                      <w:lang w:eastAsia="zh-CN"/>
                    </w:rPr>
                    <w:t>二期项目</w:t>
                  </w:r>
                  <w:r>
                    <w:rPr>
                      <w:rFonts w:hint="eastAsia" w:ascii="Times New Roman" w:hAnsi="Times New Roman"/>
                      <w:color w:val="auto"/>
                      <w:kern w:val="0"/>
                      <w:szCs w:val="21"/>
                    </w:rPr>
                    <w:t>BOG回收系统中将BOG气体（900Nm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/h）引入提氦装置使用，原料供应可靠。</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hint="eastAsia" w:ascii="Times New Roman" w:hAnsi="Times New Roman" w:eastAsia="宋体"/>
                      <w:color w:val="auto"/>
                      <w:kern w:val="0"/>
                      <w:szCs w:val="21"/>
                      <w:lang w:eastAsia="zh-CN"/>
                    </w:rPr>
                  </w:pPr>
                  <w:r>
                    <w:rPr>
                      <w:rFonts w:hint="eastAsia" w:ascii="Times New Roman" w:hAnsi="Times New Roman"/>
                      <w:color w:val="auto"/>
                      <w:kern w:val="0"/>
                      <w:szCs w:val="21"/>
                    </w:rPr>
                    <w:t>BOG</w:t>
                  </w:r>
                  <w:r>
                    <w:rPr>
                      <w:rFonts w:hint="eastAsia" w:ascii="Times New Roman" w:hAnsi="Times New Roman"/>
                      <w:color w:val="auto"/>
                      <w:kern w:val="0"/>
                      <w:szCs w:val="21"/>
                      <w:lang w:eastAsia="zh-CN"/>
                    </w:rPr>
                    <w:t>压缩机</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lang w:eastAsia="zh-CN"/>
                    </w:rPr>
                    <w:t>给原料气</w:t>
                  </w:r>
                  <w:r>
                    <w:rPr>
                      <w:rFonts w:hint="eastAsia" w:ascii="Times New Roman" w:hAnsi="Times New Roman"/>
                      <w:color w:val="auto"/>
                      <w:kern w:val="0"/>
                      <w:szCs w:val="21"/>
                    </w:rPr>
                    <w:t>BOG</w:t>
                  </w:r>
                  <w:r>
                    <w:rPr>
                      <w:rFonts w:hint="eastAsia" w:ascii="Times New Roman" w:hAnsi="Times New Roman"/>
                      <w:color w:val="auto"/>
                      <w:kern w:val="0"/>
                      <w:szCs w:val="21"/>
                      <w:lang w:eastAsia="zh-CN"/>
                    </w:rPr>
                    <w:t>增压，使</w:t>
                  </w:r>
                  <w:r>
                    <w:rPr>
                      <w:rFonts w:hint="eastAsia" w:ascii="Times New Roman" w:hAnsi="Times New Roman"/>
                      <w:color w:val="auto"/>
                      <w:kern w:val="0"/>
                      <w:szCs w:val="21"/>
                    </w:rPr>
                    <w:t>BOG</w:t>
                  </w:r>
                  <w:r>
                    <w:rPr>
                      <w:rFonts w:hint="eastAsia" w:ascii="Times New Roman" w:hAnsi="Times New Roman"/>
                      <w:color w:val="auto"/>
                      <w:kern w:val="0"/>
                      <w:szCs w:val="21"/>
                      <w:lang w:eastAsia="zh-CN"/>
                    </w:rPr>
                    <w:t>进入提氦装置区</w:t>
                  </w:r>
                  <w:r>
                    <w:rPr>
                      <w:rFonts w:hint="eastAsia" w:ascii="Times New Roman" w:hAnsi="Times New Roman"/>
                      <w:color w:val="auto"/>
                      <w:kern w:val="0"/>
                      <w:szCs w:val="21"/>
                    </w:rPr>
                    <w:t>。</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lang w:eastAsia="zh-CN"/>
                    </w:rPr>
                    <w:t>现有工程</w:t>
                  </w:r>
                  <w:r>
                    <w:rPr>
                      <w:rFonts w:hint="eastAsia" w:ascii="Times New Roman" w:hAnsi="Times New Roman"/>
                      <w:color w:val="auto"/>
                      <w:kern w:val="0"/>
                      <w:szCs w:val="21"/>
                    </w:rPr>
                    <w:t>二期</w:t>
                  </w:r>
                  <w:r>
                    <w:rPr>
                      <w:rFonts w:hint="eastAsia" w:ascii="Times New Roman" w:hAnsi="Times New Roman"/>
                      <w:color w:val="auto"/>
                      <w:kern w:val="0"/>
                      <w:szCs w:val="21"/>
                      <w:lang w:eastAsia="zh-CN"/>
                    </w:rPr>
                    <w:t>项目</w:t>
                  </w:r>
                  <w:r>
                    <w:rPr>
                      <w:rFonts w:hint="eastAsia" w:ascii="Times New Roman" w:hAnsi="Times New Roman"/>
                      <w:color w:val="auto"/>
                      <w:kern w:val="0"/>
                      <w:szCs w:val="21"/>
                      <w:lang w:val="en-US" w:eastAsia="zh-CN"/>
                    </w:rPr>
                    <w:t>BOG回收系统配备BOG压缩机组，包含2台活塞式BOG压缩机（1用1备），工作流量为3000</w:t>
                  </w:r>
                  <w:r>
                    <w:rPr>
                      <w:rFonts w:hint="eastAsia" w:ascii="Times New Roman" w:hAnsi="Times New Roman"/>
                      <w:color w:val="auto"/>
                      <w:kern w:val="0"/>
                      <w:szCs w:val="21"/>
                    </w:rPr>
                    <w:t>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/h，可满足本项目对BOG气体的</w:t>
                  </w:r>
                  <w:r>
                    <w:rPr>
                      <w:rFonts w:hint="eastAsia" w:ascii="Times New Roman" w:hAnsi="Times New Roman"/>
                      <w:color w:val="auto"/>
                      <w:kern w:val="0"/>
                      <w:szCs w:val="21"/>
                      <w:lang w:eastAsia="zh-CN"/>
                    </w:rPr>
                    <w:t>需求</w:t>
                  </w:r>
                  <w:r>
                    <w:rPr>
                      <w:rFonts w:hint="eastAsia" w:ascii="Times New Roman" w:hAnsi="Times New Roman"/>
                      <w:color w:val="auto"/>
                      <w:kern w:val="0"/>
                      <w:szCs w:val="21"/>
                    </w:rPr>
                    <w:t>。</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氮气</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本项目氦气精制单元纯化器活化再生时利用氮气对其进行吹扫，氮气使用量约为100Nm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现有工程已建有较为完备的制氮系统，包括一期</w:t>
                  </w:r>
                  <w:r>
                    <w:rPr>
                      <w:rFonts w:hint="eastAsia" w:ascii="Times New Roman" w:hAnsi="Times New Roman"/>
                      <w:color w:val="auto"/>
                      <w:kern w:val="0"/>
                      <w:szCs w:val="21"/>
                      <w:lang w:eastAsia="zh-CN"/>
                    </w:rPr>
                    <w:t>项目</w:t>
                  </w:r>
                  <w:r>
                    <w:rPr>
                      <w:rFonts w:hint="eastAsia" w:ascii="Times New Roman" w:hAnsi="Times New Roman"/>
                      <w:color w:val="auto"/>
                      <w:kern w:val="0"/>
                      <w:szCs w:val="21"/>
                    </w:rPr>
                    <w:t>设立的制氮机1台（200Nm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/h)、制氮机入口缓冲罐1座（5m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)、制氮机出口缓冲罐1座（5m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)、氮气缓冲罐1座（10m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)、汽化器1台、液氮泵1台；二期</w:t>
                  </w:r>
                  <w:r>
                    <w:rPr>
                      <w:rFonts w:hint="eastAsia" w:ascii="Times New Roman" w:hAnsi="Times New Roman"/>
                      <w:color w:val="auto"/>
                      <w:kern w:val="0"/>
                      <w:szCs w:val="21"/>
                      <w:lang w:eastAsia="zh-CN"/>
                    </w:rPr>
                    <w:t>项目</w:t>
                  </w:r>
                  <w:r>
                    <w:rPr>
                      <w:rFonts w:hint="eastAsia" w:ascii="Times New Roman" w:hAnsi="Times New Roman"/>
                      <w:color w:val="auto"/>
                      <w:kern w:val="0"/>
                      <w:szCs w:val="21"/>
                    </w:rPr>
                    <w:t>新增制氮</w:t>
                  </w:r>
                  <w:r>
                    <w:rPr>
                      <w:rFonts w:hint="eastAsia" w:ascii="Times New Roman" w:hAnsi="Times New Roman"/>
                      <w:color w:val="auto"/>
                      <w:kern w:val="0"/>
                      <w:szCs w:val="21"/>
                      <w:lang w:eastAsia="zh-CN"/>
                    </w:rPr>
                    <w:t>机</w:t>
                  </w:r>
                  <w:r>
                    <w:rPr>
                      <w:rFonts w:hint="eastAsia" w:ascii="Times New Roman" w:hAnsi="Times New Roman"/>
                      <w:color w:val="auto"/>
                      <w:kern w:val="0"/>
                      <w:szCs w:val="21"/>
                    </w:rPr>
                    <w:t>1台（200Nm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/h)、氮气缓冲罐1座（</w:t>
                  </w:r>
                  <w:r>
                    <w:rPr>
                      <w:rFonts w:hint="eastAsia" w:ascii="Times New Roman" w:hAnsi="Times New Roman"/>
                      <w:color w:val="auto"/>
                      <w:kern w:val="0"/>
                      <w:szCs w:val="21"/>
                      <w:lang w:val="en-US" w:eastAsia="zh-CN"/>
                    </w:rPr>
                    <w:t>20</w:t>
                  </w:r>
                  <w:r>
                    <w:rPr>
                      <w:rFonts w:hint="eastAsia" w:ascii="Times New Roman" w:hAnsi="Times New Roman"/>
                      <w:color w:val="auto"/>
                      <w:kern w:val="0"/>
                      <w:szCs w:val="21"/>
                    </w:rPr>
                    <w:t>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)、空压机2台。</w:t>
                  </w:r>
                  <w:r>
                    <w:rPr>
                      <w:rFonts w:hint="eastAsia" w:ascii="Times New Roman" w:hAnsi="Times New Roman"/>
                      <w:color w:val="auto"/>
                      <w:kern w:val="0"/>
                      <w:szCs w:val="21"/>
                      <w:lang w:eastAsia="zh-CN"/>
                    </w:rPr>
                    <w:t>二期项目</w:t>
                  </w:r>
                  <w:r>
                    <w:rPr>
                      <w:rFonts w:hint="eastAsia" w:ascii="Times New Roman" w:hAnsi="Times New Roman"/>
                      <w:color w:val="auto"/>
                      <w:kern w:val="0"/>
                      <w:szCs w:val="21"/>
                    </w:rPr>
                    <w:t>完全可满足本项目的氮气需求</w:t>
                  </w:r>
                  <w:r>
                    <w:rPr>
                      <w:rFonts w:hint="eastAsia" w:ascii="Times New Roman" w:hAnsi="Times New Roman"/>
                      <w:color w:val="auto"/>
                      <w:kern w:val="0"/>
                      <w:szCs w:val="21"/>
                      <w:lang w:eastAsia="zh-CN"/>
                    </w:rPr>
                    <w:t>，因此本项目所需氮气主要依托二期项目</w:t>
                  </w:r>
                  <w:r>
                    <w:rPr>
                      <w:rFonts w:hint="eastAsia" w:ascii="Times New Roman" w:hAnsi="Times New Roman"/>
                      <w:color w:val="auto"/>
                      <w:kern w:val="0"/>
                      <w:szCs w:val="21"/>
                    </w:rPr>
                    <w:t>。</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消防</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本项目</w:t>
                  </w:r>
                  <w:r>
                    <w:rPr>
                      <w:rFonts w:ascii="Times New Roman" w:hAnsi="Times New Roman"/>
                      <w:color w:val="auto"/>
                      <w:kern w:val="0"/>
                      <w:szCs w:val="21"/>
                    </w:rPr>
                    <w:t>装置区一次消防用水量为45L/s，火灾延续供水时间按3h计算，一次消防用水量为486m³。</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本项目所在厂区内</w:t>
                  </w:r>
                  <w:r>
                    <w:rPr>
                      <w:rFonts w:hint="eastAsia" w:ascii="Times New Roman" w:hAnsi="Times New Roman"/>
                      <w:color w:val="auto"/>
                      <w:kern w:val="0"/>
                      <w:szCs w:val="21"/>
                      <w:lang w:eastAsia="zh-CN"/>
                    </w:rPr>
                    <w:t>现有</w:t>
                  </w:r>
                  <w:r>
                    <w:rPr>
                      <w:rFonts w:hint="eastAsia" w:ascii="Times New Roman" w:hAnsi="Times New Roman"/>
                      <w:color w:val="auto"/>
                      <w:kern w:val="0"/>
                      <w:szCs w:val="21"/>
                    </w:rPr>
                    <w:t>工程</w:t>
                  </w:r>
                  <w:r>
                    <w:rPr>
                      <w:rFonts w:hint="eastAsia" w:ascii="Times New Roman" w:hAnsi="Times New Roman"/>
                      <w:color w:val="auto"/>
                      <w:kern w:val="0"/>
                      <w:szCs w:val="21"/>
                      <w:lang w:eastAsia="zh-CN"/>
                    </w:rPr>
                    <w:t>一期项目设</w:t>
                  </w:r>
                  <w:r>
                    <w:rPr>
                      <w:rFonts w:hint="eastAsia" w:ascii="Times New Roman" w:hAnsi="Times New Roman"/>
                      <w:color w:val="auto"/>
                      <w:kern w:val="0"/>
                      <w:szCs w:val="21"/>
                    </w:rPr>
                    <w:t>有一套完善的消防给水系统，且靖边能源化工综合利用产业园区内建设有6座消防站，距现有厂区最近的约0.8 km，现有厂区2.5 km范围内也有1座消防站，两座消防站消防设施齐全。</w:t>
                  </w:r>
                  <w:r>
                    <w:rPr>
                      <w:rFonts w:hint="eastAsia" w:ascii="Times New Roman" w:hAnsi="Times New Roman"/>
                      <w:color w:val="auto"/>
                      <w:kern w:val="0"/>
                      <w:szCs w:val="21"/>
                      <w:lang w:eastAsia="zh-CN"/>
                    </w:rPr>
                    <w:t>现有</w:t>
                  </w:r>
                  <w:r>
                    <w:rPr>
                      <w:rFonts w:hint="eastAsia" w:ascii="Times New Roman" w:hAnsi="Times New Roman"/>
                      <w:color w:val="auto"/>
                      <w:kern w:val="0"/>
                      <w:szCs w:val="21"/>
                    </w:rPr>
                    <w:t>工程</w:t>
                  </w:r>
                  <w:r>
                    <w:rPr>
                      <w:rFonts w:hint="eastAsia" w:ascii="Times New Roman" w:hAnsi="Times New Roman"/>
                      <w:color w:val="auto"/>
                      <w:kern w:val="0"/>
                      <w:szCs w:val="21"/>
                      <w:lang w:eastAsia="zh-CN"/>
                    </w:rPr>
                    <w:t>一期项目</w:t>
                  </w:r>
                  <w:r>
                    <w:rPr>
                      <w:rFonts w:ascii="Times New Roman" w:hAnsi="Times New Roman"/>
                      <w:color w:val="auto"/>
                      <w:kern w:val="0"/>
                      <w:szCs w:val="21"/>
                    </w:rPr>
                    <w:t>消防水供水量为302L/s，消防储水量为6500m³，满足本项目消防用水要求。</w:t>
                  </w:r>
                  <w:r>
                    <w:rPr>
                      <w:rFonts w:hint="eastAsia" w:ascii="Times New Roman" w:hAnsi="Times New Roman"/>
                      <w:color w:val="auto"/>
                      <w:kern w:val="0"/>
                      <w:szCs w:val="21"/>
                    </w:rPr>
                    <w:t>综上，本项目室外消防利用</w:t>
                  </w:r>
                  <w:r>
                    <w:rPr>
                      <w:rFonts w:hint="eastAsia" w:ascii="Times New Roman" w:hAnsi="Times New Roman"/>
                      <w:color w:val="auto"/>
                      <w:kern w:val="0"/>
                      <w:szCs w:val="21"/>
                      <w:lang w:eastAsia="zh-CN"/>
                    </w:rPr>
                    <w:t>现有</w:t>
                  </w:r>
                  <w:r>
                    <w:rPr>
                      <w:rFonts w:hint="eastAsia" w:ascii="Times New Roman" w:hAnsi="Times New Roman"/>
                      <w:color w:val="auto"/>
                      <w:kern w:val="0"/>
                      <w:szCs w:val="21"/>
                    </w:rPr>
                    <w:t>工程</w:t>
                  </w:r>
                  <w:r>
                    <w:rPr>
                      <w:rFonts w:hint="eastAsia" w:ascii="Times New Roman" w:hAnsi="Times New Roman"/>
                      <w:color w:val="auto"/>
                      <w:kern w:val="0"/>
                      <w:szCs w:val="21"/>
                      <w:lang w:eastAsia="zh-CN"/>
                    </w:rPr>
                    <w:t>一期项目</w:t>
                  </w:r>
                  <w:r>
                    <w:rPr>
                      <w:rFonts w:hint="eastAsia" w:ascii="Times New Roman" w:hAnsi="Times New Roman"/>
                      <w:color w:val="auto"/>
                      <w:kern w:val="0"/>
                      <w:szCs w:val="21"/>
                    </w:rPr>
                    <w:t>设施，只需要在车间增加一定数量的灭火器。</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事故水池</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ascii="Times New Roman" w:hAnsi="Times New Roman"/>
                      <w:color w:val="auto"/>
                      <w:kern w:val="0"/>
                      <w:szCs w:val="21"/>
                    </w:rPr>
                    <w:t>本项目火灾或爆炸等事故时产生的事故废</w:t>
                  </w:r>
                  <w:r>
                    <w:rPr>
                      <w:rFonts w:hint="eastAsia" w:ascii="Times New Roman" w:hAnsi="Times New Roman"/>
                      <w:color w:val="auto"/>
                      <w:kern w:val="0"/>
                      <w:szCs w:val="21"/>
                    </w:rPr>
                    <w:t>水</w:t>
                  </w:r>
                  <w:r>
                    <w:rPr>
                      <w:rFonts w:ascii="Times New Roman" w:hAnsi="Times New Roman"/>
                      <w:color w:val="auto"/>
                      <w:kern w:val="0"/>
                      <w:szCs w:val="21"/>
                    </w:rPr>
                    <w:t>，按事故时一次火灾消防用水量（按工艺装置区最大消防水量 486m³）和事故期降雨量（50m³/次）考虑，其总量约536m³</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lang w:eastAsia="zh-CN"/>
                    </w:rPr>
                    <w:t>厂区现有工程一、二期项目LNG储罐均建有围堰，容积均为</w:t>
                  </w:r>
                  <w:r>
                    <w:rPr>
                      <w:rFonts w:hint="eastAsia" w:ascii="Times New Roman" w:hAnsi="Times New Roman"/>
                      <w:color w:val="auto"/>
                      <w:kern w:val="0"/>
                      <w:szCs w:val="21"/>
                      <w:lang w:val="en-US" w:eastAsia="zh-CN"/>
                    </w:rPr>
                    <w:t>36451.5</w:t>
                  </w:r>
                  <w:r>
                    <w:rPr>
                      <w:rFonts w:ascii="Times New Roman" w:hAnsi="Times New Roman"/>
                      <w:color w:val="auto"/>
                      <w:kern w:val="0"/>
                      <w:szCs w:val="21"/>
                    </w:rPr>
                    <w:t>m³</w:t>
                  </w:r>
                  <w:r>
                    <w:rPr>
                      <w:rFonts w:hint="eastAsia" w:ascii="Times New Roman" w:hAnsi="Times New Roman"/>
                      <w:color w:val="auto"/>
                      <w:kern w:val="0"/>
                      <w:szCs w:val="21"/>
                      <w:lang w:val="en-US" w:eastAsia="zh-CN"/>
                    </w:rPr>
                    <w:t>，</w:t>
                  </w:r>
                  <w:r>
                    <w:rPr>
                      <w:rFonts w:hint="eastAsia" w:ascii="Times New Roman" w:hAnsi="Times New Roman"/>
                      <w:color w:val="auto"/>
                      <w:kern w:val="0"/>
                      <w:szCs w:val="21"/>
                    </w:rPr>
                    <w:t>现有工程一期</w:t>
                  </w:r>
                  <w:r>
                    <w:rPr>
                      <w:rFonts w:hint="eastAsia" w:ascii="Times New Roman" w:hAnsi="Times New Roman"/>
                      <w:color w:val="auto"/>
                      <w:kern w:val="0"/>
                      <w:szCs w:val="21"/>
                      <w:lang w:eastAsia="zh-CN"/>
                    </w:rPr>
                    <w:t>项目</w:t>
                  </w:r>
                  <w:r>
                    <w:rPr>
                      <w:rFonts w:hint="eastAsia" w:ascii="Times New Roman" w:hAnsi="Times New Roman"/>
                      <w:color w:val="auto"/>
                      <w:kern w:val="0"/>
                      <w:szCs w:val="21"/>
                    </w:rPr>
                    <w:t>设置1座75</w:t>
                  </w:r>
                  <w:r>
                    <w:rPr>
                      <w:rFonts w:ascii="Times New Roman" w:hAnsi="Times New Roman"/>
                      <w:color w:val="auto"/>
                      <w:kern w:val="0"/>
                      <w:szCs w:val="21"/>
                    </w:rPr>
                    <w:t>m³</w:t>
                  </w:r>
                  <w:r>
                    <w:rPr>
                      <w:rFonts w:hint="eastAsia" w:ascii="Times New Roman" w:hAnsi="Times New Roman"/>
                      <w:color w:val="auto"/>
                      <w:kern w:val="0"/>
                      <w:szCs w:val="21"/>
                    </w:rPr>
                    <w:t>LNG储罐区事故集液池、1座46.65</w:t>
                  </w:r>
                  <w:r>
                    <w:rPr>
                      <w:rFonts w:ascii="Times New Roman" w:hAnsi="Times New Roman"/>
                      <w:color w:val="auto"/>
                      <w:kern w:val="0"/>
                      <w:szCs w:val="21"/>
                    </w:rPr>
                    <w:t>m³</w:t>
                  </w:r>
                  <w:r>
                    <w:rPr>
                      <w:rFonts w:hint="eastAsia" w:ascii="Times New Roman" w:hAnsi="Times New Roman"/>
                      <w:color w:val="auto"/>
                      <w:kern w:val="0"/>
                      <w:szCs w:val="21"/>
                    </w:rPr>
                    <w:t>装置区事故集液池、1座112.5</w:t>
                  </w:r>
                  <w:r>
                    <w:rPr>
                      <w:rFonts w:ascii="Times New Roman" w:hAnsi="Times New Roman"/>
                      <w:color w:val="auto"/>
                      <w:kern w:val="0"/>
                      <w:szCs w:val="21"/>
                    </w:rPr>
                    <w:t>m³</w:t>
                  </w:r>
                  <w:r>
                    <w:rPr>
                      <w:rFonts w:hint="eastAsia" w:ascii="Times New Roman" w:hAnsi="Times New Roman"/>
                      <w:color w:val="auto"/>
                      <w:kern w:val="0"/>
                      <w:szCs w:val="21"/>
                    </w:rPr>
                    <w:t>装车站事故集液池、1座1000</w:t>
                  </w:r>
                  <w:r>
                    <w:rPr>
                      <w:rFonts w:ascii="Times New Roman" w:hAnsi="Times New Roman"/>
                      <w:color w:val="auto"/>
                      <w:kern w:val="0"/>
                      <w:szCs w:val="21"/>
                    </w:rPr>
                    <w:t>m³</w:t>
                  </w:r>
                  <w:r>
                    <w:rPr>
                      <w:rFonts w:hint="eastAsia" w:ascii="Times New Roman" w:hAnsi="Times New Roman"/>
                      <w:color w:val="auto"/>
                      <w:kern w:val="0"/>
                      <w:szCs w:val="21"/>
                    </w:rPr>
                    <w:t>事故水池。</w:t>
                  </w:r>
                  <w:r>
                    <w:rPr>
                      <w:rFonts w:hint="eastAsia" w:ascii="Times New Roman" w:hAnsi="Times New Roman"/>
                      <w:color w:val="auto"/>
                      <w:kern w:val="0"/>
                      <w:szCs w:val="21"/>
                      <w:lang w:eastAsia="zh-CN"/>
                    </w:rPr>
                    <w:t>一期项目设置的事故集液池完全能</w:t>
                  </w:r>
                  <w:r>
                    <w:rPr>
                      <w:rFonts w:hint="eastAsia" w:ascii="Times New Roman" w:hAnsi="Times New Roman"/>
                      <w:color w:val="auto"/>
                      <w:kern w:val="0"/>
                      <w:szCs w:val="21"/>
                    </w:rPr>
                    <w:t>满足本项目发生事故时产生的事故污水的存储要求。事故废水在事故结束后对水质进行检测，若水质满足《污水综合排放标准》（GB 8978-1996）中的三级排放标准，外运至靖边污水处理厂，若不能满足委托专业单位进行处置。</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仪表空气</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本项目装置仪表空气使用量约50Nm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lang w:eastAsia="zh-CN"/>
                    </w:rPr>
                    <w:t>厂区现有工程一期项目</w:t>
                  </w:r>
                  <w:r>
                    <w:rPr>
                      <w:rFonts w:hint="eastAsia" w:ascii="Times New Roman" w:hAnsi="Times New Roman"/>
                      <w:color w:val="auto"/>
                      <w:kern w:val="0"/>
                      <w:szCs w:val="21"/>
                    </w:rPr>
                    <w:t>配置</w:t>
                  </w:r>
                  <w:r>
                    <w:rPr>
                      <w:rFonts w:hint="eastAsia" w:ascii="Times New Roman" w:hAnsi="Times New Roman"/>
                      <w:color w:val="auto"/>
                      <w:kern w:val="0"/>
                      <w:szCs w:val="21"/>
                      <w:lang w:eastAsia="zh-CN"/>
                    </w:rPr>
                    <w:t>了</w:t>
                  </w:r>
                  <w:r>
                    <w:rPr>
                      <w:rFonts w:hint="eastAsia" w:ascii="Times New Roman" w:hAnsi="Times New Roman"/>
                      <w:color w:val="auto"/>
                      <w:kern w:val="0"/>
                      <w:szCs w:val="21"/>
                    </w:rPr>
                    <w:t>一套仪表风系统，设空压机3台(17Nm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/min)、微热再生空气干燥机2台，仪表风空气储罐1台（30m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)，空压机出口缓冲罐1座。</w:t>
                  </w:r>
                  <w:r>
                    <w:rPr>
                      <w:rFonts w:hint="eastAsia" w:ascii="Times New Roman" w:hAnsi="Times New Roman"/>
                      <w:color w:val="auto"/>
                      <w:kern w:val="0"/>
                      <w:szCs w:val="21"/>
                      <w:lang w:eastAsia="zh-CN"/>
                    </w:rPr>
                    <w:t>现有工程一、二期项目</w:t>
                  </w:r>
                  <w:r>
                    <w:rPr>
                      <w:rFonts w:hint="eastAsia" w:ascii="Times New Roman" w:hAnsi="Times New Roman"/>
                      <w:color w:val="auto"/>
                      <w:kern w:val="0"/>
                      <w:szCs w:val="21"/>
                    </w:rPr>
                    <w:t>液化天然气装置</w:t>
                  </w:r>
                  <w:r>
                    <w:rPr>
                      <w:rFonts w:hint="eastAsia" w:ascii="Times New Roman" w:hAnsi="Times New Roman"/>
                      <w:color w:val="auto"/>
                      <w:kern w:val="0"/>
                      <w:szCs w:val="21"/>
                      <w:lang w:eastAsia="zh-CN"/>
                    </w:rPr>
                    <w:t>总</w:t>
                  </w:r>
                  <w:r>
                    <w:rPr>
                      <w:rFonts w:hint="eastAsia" w:ascii="Times New Roman" w:hAnsi="Times New Roman"/>
                      <w:color w:val="auto"/>
                      <w:kern w:val="0"/>
                      <w:szCs w:val="21"/>
                    </w:rPr>
                    <w:t>用气量为1200Nm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/h，目前剩余1860Nm</w:t>
                  </w:r>
                  <w:r>
                    <w:rPr>
                      <w:rFonts w:hint="eastAsia" w:ascii="Times New Roman" w:hAnsi="Times New Roman"/>
                      <w:color w:val="auto"/>
                      <w:kern w:val="0"/>
                      <w:szCs w:val="21"/>
                      <w:vertAlign w:val="superscript"/>
                    </w:rPr>
                    <w:t>3</w:t>
                  </w:r>
                  <w:r>
                    <w:rPr>
                      <w:rFonts w:hint="eastAsia" w:ascii="Times New Roman" w:hAnsi="Times New Roman"/>
                      <w:color w:val="auto"/>
                      <w:kern w:val="0"/>
                      <w:szCs w:val="21"/>
                    </w:rPr>
                    <w:t>/h，可满足本项目仪表空气用气需求。</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废气</w:t>
                  </w:r>
                </w:p>
              </w:tc>
              <w:tc>
                <w:tcPr>
                  <w:tcW w:w="1890"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项目原料为BOG气体，非正常工况下装置的安全阀放空气进入厂区现有火炬系统燃烧排放。</w:t>
                  </w:r>
                </w:p>
              </w:tc>
              <w:tc>
                <w:tcPr>
                  <w:tcW w:w="4065" w:type="dxa"/>
                  <w:vAlign w:val="center"/>
                </w:tcPr>
                <w:p>
                  <w:pPr>
                    <w:widowControl w:val="0"/>
                    <w:autoSpaceDE w:val="0"/>
                    <w:autoSpaceDN w:val="0"/>
                    <w:adjustRightInd w:val="0"/>
                    <w:snapToGrid w:val="0"/>
                    <w:spacing w:line="240" w:lineRule="auto"/>
                    <w:ind w:firstLine="0"/>
                    <w:jc w:val="center"/>
                    <w:textAlignment w:val="baseline"/>
                    <w:rPr>
                      <w:rFonts w:hint="eastAsia" w:ascii="Times New Roman" w:hAnsi="Times New Roman" w:eastAsia="宋体"/>
                      <w:color w:val="auto"/>
                      <w:kern w:val="0"/>
                      <w:szCs w:val="21"/>
                      <w:lang w:eastAsia="zh-CN"/>
                    </w:rPr>
                  </w:pPr>
                  <w:r>
                    <w:rPr>
                      <w:rFonts w:hint="eastAsia" w:ascii="Times New Roman" w:hAnsi="Times New Roman"/>
                      <w:color w:val="auto"/>
                      <w:kern w:val="0"/>
                      <w:szCs w:val="21"/>
                    </w:rPr>
                    <w:t>现有工程一期</w:t>
                  </w:r>
                  <w:r>
                    <w:rPr>
                      <w:rFonts w:hint="eastAsia" w:ascii="Times New Roman" w:hAnsi="Times New Roman"/>
                      <w:color w:val="auto"/>
                      <w:kern w:val="0"/>
                      <w:szCs w:val="21"/>
                      <w:lang w:eastAsia="zh-CN"/>
                    </w:rPr>
                    <w:t>项目设有火炬系统，包括分液罐、火炬相应的点火、密封设施。火炬</w:t>
                  </w:r>
                  <w:r>
                    <w:rPr>
                      <w:rFonts w:hint="eastAsia" w:ascii="Times New Roman" w:hAnsi="Times New Roman"/>
                      <w:color w:val="auto"/>
                      <w:kern w:val="0"/>
                      <w:szCs w:val="21"/>
                    </w:rPr>
                    <w:t>由火炬头、长明灯、火炬筒体及自动点火系统组成。现有二期</w:t>
                  </w:r>
                  <w:r>
                    <w:rPr>
                      <w:rFonts w:hint="eastAsia" w:ascii="Times New Roman" w:hAnsi="Times New Roman"/>
                      <w:color w:val="auto"/>
                      <w:kern w:val="0"/>
                      <w:szCs w:val="21"/>
                      <w:lang w:eastAsia="zh-CN"/>
                    </w:rPr>
                    <w:t>项目</w:t>
                  </w:r>
                  <w:r>
                    <w:rPr>
                      <w:rFonts w:hint="eastAsia" w:ascii="Times New Roman" w:hAnsi="Times New Roman"/>
                      <w:color w:val="auto"/>
                      <w:kern w:val="0"/>
                      <w:szCs w:val="21"/>
                    </w:rPr>
                    <w:t>设</w:t>
                  </w:r>
                  <w:r>
                    <w:rPr>
                      <w:rStyle w:val="1275"/>
                      <w:rFonts w:ascii="Times New Roman" w:hAnsi="Times New Roman" w:cs="Times New Roman"/>
                      <w:color w:val="auto"/>
                      <w:sz w:val="21"/>
                      <w:szCs w:val="21"/>
                      <w:lang w:val="en-US"/>
                    </w:rPr>
                    <w:t>低温</w:t>
                  </w:r>
                  <w:r>
                    <w:rPr>
                      <w:rFonts w:hint="eastAsia" w:ascii="Times New Roman" w:hAnsi="Times New Roman"/>
                      <w:color w:val="auto"/>
                      <w:kern w:val="0"/>
                      <w:szCs w:val="21"/>
                    </w:rPr>
                    <w:t>放空分液罐一具、</w:t>
                  </w:r>
                  <w:r>
                    <w:rPr>
                      <w:rStyle w:val="1275"/>
                      <w:rFonts w:ascii="Times New Roman" w:hAnsi="Times New Roman" w:cs="Times New Roman"/>
                      <w:color w:val="auto"/>
                      <w:sz w:val="21"/>
                      <w:szCs w:val="21"/>
                      <w:lang w:val="en-US"/>
                    </w:rPr>
                    <w:t>EGA加热器</w:t>
                  </w:r>
                  <w:r>
                    <w:rPr>
                      <w:rFonts w:hint="eastAsia" w:ascii="Times New Roman" w:hAnsi="Times New Roman"/>
                      <w:color w:val="auto"/>
                      <w:kern w:val="0"/>
                      <w:szCs w:val="21"/>
                      <w:lang w:eastAsia="zh-CN"/>
                    </w:rPr>
                    <w:t>一个</w:t>
                  </w:r>
                  <w:r>
                    <w:rPr>
                      <w:rFonts w:hint="eastAsia" w:ascii="Times New Roman" w:hAnsi="Times New Roman"/>
                      <w:color w:val="auto"/>
                      <w:kern w:val="0"/>
                      <w:szCs w:val="21"/>
                    </w:rPr>
                    <w:t>。</w:t>
                  </w:r>
                  <w:r>
                    <w:rPr>
                      <w:rFonts w:hint="eastAsia" w:ascii="Times New Roman" w:hAnsi="Times New Roman"/>
                      <w:color w:val="auto"/>
                      <w:kern w:val="0"/>
                      <w:szCs w:val="21"/>
                      <w:lang w:eastAsia="zh-CN"/>
                    </w:rPr>
                    <w:t>可满足本项目非正常工况下装置安全阀放空气排放。</w:t>
                  </w:r>
                </w:p>
              </w:tc>
              <w:tc>
                <w:tcPr>
                  <w:tcW w:w="1195"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依托可行</w:t>
                  </w:r>
                </w:p>
              </w:tc>
            </w:tr>
          </w:tbl>
          <w:p>
            <w:pPr>
              <w:widowControl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11、</w:t>
            </w:r>
            <w:r>
              <w:rPr>
                <w:rFonts w:ascii="Times New Roman" w:hAnsi="Times New Roman"/>
                <w:b/>
                <w:bCs/>
                <w:color w:val="auto"/>
                <w:sz w:val="24"/>
                <w:szCs w:val="24"/>
              </w:rPr>
              <w:t>工作制度与劳动定员</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根据建设单位提供的资料，本技改项目</w:t>
            </w:r>
            <w:r>
              <w:rPr>
                <w:rFonts w:hint="eastAsia" w:ascii="Times New Roman" w:hAnsi="Times New Roman"/>
                <w:color w:val="auto"/>
                <w:sz w:val="24"/>
                <w:szCs w:val="24"/>
              </w:rPr>
              <w:t>需要工人3名，在现有厂区内调配，全厂不新增</w:t>
            </w:r>
            <w:r>
              <w:rPr>
                <w:rFonts w:ascii="Times New Roman" w:hAnsi="Times New Roman"/>
                <w:color w:val="auto"/>
                <w:sz w:val="24"/>
                <w:szCs w:val="24"/>
              </w:rPr>
              <w:t>劳动定员，仍为73人，本项目提氦装置年工作333天，日工作24小时，全年累计生产8000小时</w:t>
            </w:r>
            <w:r>
              <w:rPr>
                <w:rFonts w:hint="eastAsia" w:ascii="Times New Roman" w:hAnsi="Times New Roman"/>
                <w:color w:val="auto"/>
                <w:sz w:val="24"/>
                <w:szCs w:val="24"/>
              </w:rPr>
              <w:t>，</w:t>
            </w:r>
            <w:r>
              <w:rPr>
                <w:rFonts w:ascii="Times New Roman" w:hAnsi="Times New Roman"/>
                <w:color w:val="auto"/>
                <w:sz w:val="24"/>
                <w:szCs w:val="24"/>
              </w:rPr>
              <w:t>采用每天3班操作4班人员编制，每班每天工作8小时。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1" w:type="pct"/>
            <w:vAlign w:val="center"/>
          </w:tcPr>
          <w:p>
            <w:pPr>
              <w:adjustRightInd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工艺流程和产排污环节</w:t>
            </w:r>
          </w:p>
        </w:tc>
        <w:tc>
          <w:tcPr>
            <w:tcW w:w="4789" w:type="pct"/>
          </w:tcPr>
          <w:p>
            <w:pPr>
              <w:widowControl w:val="0"/>
              <w:numPr>
                <w:ilvl w:val="0"/>
                <w:numId w:val="15"/>
              </w:numPr>
              <w:spacing w:line="360" w:lineRule="auto"/>
              <w:jc w:val="both"/>
              <w:rPr>
                <w:rFonts w:ascii="Times New Roman" w:hAnsi="Times New Roman"/>
                <w:b/>
                <w:bCs/>
                <w:color w:val="auto"/>
                <w:sz w:val="24"/>
                <w:szCs w:val="24"/>
              </w:rPr>
            </w:pPr>
            <w:bookmarkStart w:id="2" w:name="_Toc48617254"/>
            <w:bookmarkStart w:id="3" w:name="_Toc94084524"/>
            <w:bookmarkStart w:id="4" w:name="_Toc64258020"/>
            <w:r>
              <w:rPr>
                <w:rFonts w:ascii="Times New Roman" w:hAnsi="Times New Roman"/>
                <w:b/>
                <w:bCs/>
                <w:color w:val="auto"/>
                <w:sz w:val="24"/>
                <w:szCs w:val="24"/>
              </w:rPr>
              <w:t>施工期工艺流程</w:t>
            </w:r>
          </w:p>
          <w:p>
            <w:pPr>
              <w:adjustRightInd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1、工艺流程简介</w:t>
            </w:r>
          </w:p>
          <w:p>
            <w:pPr>
              <w:widowControl w:val="0"/>
              <w:adjustRightInd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本技改项目</w:t>
            </w:r>
            <w:r>
              <w:rPr>
                <w:rFonts w:ascii="Times New Roman" w:hAnsi="Times New Roman"/>
                <w:color w:val="auto"/>
                <w:kern w:val="0"/>
                <w:sz w:val="24"/>
                <w:szCs w:val="24"/>
                <w:lang w:bidi="ar"/>
              </w:rPr>
              <w:t>在现有厂区的预留空地上进行建设。施工期间，</w:t>
            </w:r>
            <w:r>
              <w:rPr>
                <w:rFonts w:ascii="Times New Roman" w:hAnsi="Times New Roman"/>
                <w:color w:val="auto"/>
                <w:sz w:val="24"/>
                <w:szCs w:val="24"/>
              </w:rPr>
              <w:t>新建一条液化天然气提取氦气生产线（包括粗氦提取单元、催化脱氢单元、氦气精制单元、充装单元四部分内容）以及其他配套设施，因此可能产生的环境影响主要为</w:t>
            </w:r>
            <w:r>
              <w:rPr>
                <w:rFonts w:hint="eastAsia" w:ascii="Times New Roman" w:hAnsi="Times New Roman"/>
                <w:color w:val="auto"/>
                <w:sz w:val="24"/>
                <w:szCs w:val="24"/>
              </w:rPr>
              <w:t>土地平整</w:t>
            </w:r>
            <w:r>
              <w:rPr>
                <w:rFonts w:ascii="Times New Roman" w:hAnsi="Times New Roman"/>
                <w:color w:val="auto"/>
                <w:sz w:val="24"/>
                <w:szCs w:val="24"/>
              </w:rPr>
              <w:t>及生产设备安装过程产生的施工扬尘、运输车辆尾气、生活污水、</w:t>
            </w:r>
            <w:r>
              <w:rPr>
                <w:rFonts w:hint="eastAsia" w:ascii="Times New Roman" w:hAnsi="Times New Roman"/>
                <w:color w:val="auto"/>
                <w:sz w:val="24"/>
                <w:szCs w:val="24"/>
              </w:rPr>
              <w:t>施工过程中产生的冲洗废水</w:t>
            </w:r>
            <w:r>
              <w:rPr>
                <w:rFonts w:ascii="Times New Roman" w:hAnsi="Times New Roman"/>
                <w:color w:val="auto"/>
                <w:sz w:val="24"/>
                <w:szCs w:val="24"/>
              </w:rPr>
              <w:t>、运输车辆噪声、设备安装噪声、生活垃圾以及建筑垃圾等固体废物等，项目施工期流程及产污环节见图2。</w:t>
            </w:r>
          </w:p>
          <w:p>
            <w:pPr>
              <w:widowControl w:val="0"/>
              <w:adjustRightInd w:val="0"/>
              <w:spacing w:line="360" w:lineRule="auto"/>
              <w:jc w:val="both"/>
              <w:rPr>
                <w:rFonts w:ascii="Times New Roman" w:hAnsi="Times New Roman"/>
                <w:color w:val="auto"/>
                <w:sz w:val="24"/>
                <w:szCs w:val="24"/>
              </w:rPr>
            </w:pPr>
            <w:r>
              <w:rPr>
                <w:rFonts w:hint="eastAsia"/>
                <w:color w:val="auto"/>
              </w:rPr>
              <w:t xml:space="preserve">  </w:t>
            </w:r>
            <w:r>
              <w:rPr>
                <w:color w:val="auto"/>
              </w:rPr>
              <w:drawing>
                <wp:inline distT="0" distB="0" distL="114300" distR="114300">
                  <wp:extent cx="4724400" cy="2732405"/>
                  <wp:effectExtent l="0" t="0" r="0" b="0"/>
                  <wp:docPr id="1" name="ECB019B1-382A-4266-B25C-5B523AA43C14-2" descr="w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wpp"/>
                          <pic:cNvPicPr>
                            <a:picLocks noChangeAspect="1"/>
                          </pic:cNvPicPr>
                        </pic:nvPicPr>
                        <pic:blipFill>
                          <a:blip r:embed="rId11"/>
                          <a:srcRect l="4095" t="7742"/>
                          <a:stretch>
                            <a:fillRect/>
                          </a:stretch>
                        </pic:blipFill>
                        <pic:spPr>
                          <a:xfrm>
                            <a:off x="0" y="0"/>
                            <a:ext cx="4724400" cy="2732405"/>
                          </a:xfrm>
                          <a:prstGeom prst="rect">
                            <a:avLst/>
                          </a:prstGeom>
                        </pic:spPr>
                      </pic:pic>
                    </a:graphicData>
                  </a:graphic>
                </wp:inline>
              </w:drawing>
            </w:r>
          </w:p>
          <w:p>
            <w:pPr>
              <w:pStyle w:val="329"/>
              <w:widowControl w:val="0"/>
              <w:numPr>
                <w:ilvl w:val="0"/>
                <w:numId w:val="14"/>
              </w:numPr>
              <w:snapToGrid w:val="0"/>
              <w:ind w:left="0" w:firstLine="0" w:firstLineChars="0"/>
              <w:jc w:val="center"/>
              <w:rPr>
                <w:rFonts w:ascii="Times New Roman" w:hAnsi="Times New Roman"/>
                <w:color w:val="auto"/>
                <w:sz w:val="24"/>
                <w:szCs w:val="24"/>
              </w:rPr>
            </w:pPr>
            <w:r>
              <w:rPr>
                <w:rFonts w:ascii="Times New Roman" w:hAnsi="Times New Roman"/>
                <w:b/>
                <w:color w:val="auto"/>
                <w:sz w:val="24"/>
                <w:szCs w:val="24"/>
              </w:rPr>
              <w:t>项目施工期工艺流程及产污环节图</w:t>
            </w:r>
          </w:p>
          <w:p>
            <w:pPr>
              <w:widowControl w:val="0"/>
              <w:adjustRightIn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2、项目主要产污环节：</w:t>
            </w:r>
          </w:p>
          <w:p>
            <w:pPr>
              <w:widowControl w:val="0"/>
              <w:adjustRightIn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本技改项目施工期的污染情况如下：</w:t>
            </w:r>
          </w:p>
          <w:p>
            <w:pPr>
              <w:widowControl w:val="0"/>
              <w:numPr>
                <w:ilvl w:val="0"/>
                <w:numId w:val="16"/>
              </w:numPr>
              <w:adjustRightInd w:val="0"/>
              <w:spacing w:line="360" w:lineRule="auto"/>
              <w:ind w:left="0" w:firstLine="480" w:firstLineChars="200"/>
              <w:rPr>
                <w:rFonts w:ascii="Times New Roman" w:hAnsi="Times New Roman"/>
                <w:color w:val="auto"/>
                <w:sz w:val="24"/>
                <w:szCs w:val="24"/>
              </w:rPr>
            </w:pPr>
            <w:r>
              <w:rPr>
                <w:rFonts w:ascii="Times New Roman" w:hAnsi="Times New Roman"/>
                <w:color w:val="auto"/>
                <w:sz w:val="24"/>
                <w:szCs w:val="24"/>
              </w:rPr>
              <w:t>废气：</w:t>
            </w:r>
            <w:r>
              <w:rPr>
                <w:rFonts w:hint="eastAsia" w:ascii="Times New Roman" w:hAnsi="Times New Roman"/>
                <w:color w:val="auto"/>
                <w:sz w:val="24"/>
                <w:szCs w:val="24"/>
              </w:rPr>
              <w:t>土地平整</w:t>
            </w:r>
            <w:r>
              <w:rPr>
                <w:rFonts w:ascii="Times New Roman" w:hAnsi="Times New Roman"/>
                <w:color w:val="auto"/>
                <w:sz w:val="24"/>
                <w:szCs w:val="24"/>
              </w:rPr>
              <w:t>及生产设备安装过程产生的施工扬尘、运输车辆尾气；</w:t>
            </w:r>
          </w:p>
          <w:p>
            <w:pPr>
              <w:widowControl w:val="0"/>
              <w:numPr>
                <w:ilvl w:val="0"/>
                <w:numId w:val="16"/>
              </w:numPr>
              <w:adjustRightInd w:val="0"/>
              <w:spacing w:line="360" w:lineRule="auto"/>
              <w:ind w:left="0" w:firstLine="480" w:firstLineChars="200"/>
              <w:rPr>
                <w:rFonts w:ascii="Times New Roman" w:hAnsi="Times New Roman"/>
                <w:bCs/>
                <w:color w:val="auto"/>
                <w:sz w:val="24"/>
                <w:szCs w:val="24"/>
              </w:rPr>
            </w:pPr>
            <w:r>
              <w:rPr>
                <w:rFonts w:ascii="Times New Roman" w:hAnsi="Times New Roman"/>
                <w:bCs/>
                <w:color w:val="auto"/>
                <w:sz w:val="24"/>
                <w:szCs w:val="24"/>
              </w:rPr>
              <w:t>废水：施工人员日常生活产生的生活污水、</w:t>
            </w:r>
            <w:r>
              <w:rPr>
                <w:rFonts w:hint="eastAsia" w:ascii="Times New Roman" w:hAnsi="Times New Roman"/>
                <w:color w:val="auto"/>
                <w:sz w:val="24"/>
                <w:szCs w:val="24"/>
              </w:rPr>
              <w:t>施工过程中产生的冲洗</w:t>
            </w:r>
            <w:r>
              <w:rPr>
                <w:rFonts w:ascii="Times New Roman" w:hAnsi="Times New Roman"/>
                <w:color w:val="auto"/>
                <w:sz w:val="24"/>
                <w:szCs w:val="24"/>
              </w:rPr>
              <w:t>废水</w:t>
            </w:r>
            <w:r>
              <w:rPr>
                <w:rFonts w:ascii="Times New Roman" w:hAnsi="Times New Roman"/>
                <w:bCs/>
                <w:color w:val="auto"/>
                <w:sz w:val="24"/>
                <w:szCs w:val="24"/>
              </w:rPr>
              <w:t>；</w:t>
            </w:r>
          </w:p>
          <w:p>
            <w:pPr>
              <w:widowControl w:val="0"/>
              <w:numPr>
                <w:ilvl w:val="0"/>
                <w:numId w:val="16"/>
              </w:numPr>
              <w:adjustRightInd w:val="0"/>
              <w:spacing w:line="360" w:lineRule="auto"/>
              <w:ind w:left="0" w:firstLine="480" w:firstLineChars="200"/>
              <w:rPr>
                <w:rFonts w:ascii="Times New Roman" w:hAnsi="Times New Roman"/>
                <w:bCs/>
                <w:color w:val="auto"/>
                <w:sz w:val="24"/>
                <w:szCs w:val="24"/>
              </w:rPr>
            </w:pPr>
            <w:r>
              <w:rPr>
                <w:rFonts w:ascii="Times New Roman" w:hAnsi="Times New Roman"/>
                <w:bCs/>
                <w:color w:val="auto"/>
                <w:sz w:val="24"/>
                <w:szCs w:val="24"/>
              </w:rPr>
              <w:t>噪声：</w:t>
            </w:r>
            <w:r>
              <w:rPr>
                <w:rFonts w:ascii="Times New Roman" w:hAnsi="Times New Roman"/>
                <w:color w:val="auto"/>
                <w:sz w:val="24"/>
                <w:szCs w:val="24"/>
              </w:rPr>
              <w:t>运输车辆产生的噪声、设备安装过程产生的噪声；</w:t>
            </w:r>
          </w:p>
          <w:p>
            <w:pPr>
              <w:adjustRightInd w:val="0"/>
              <w:spacing w:line="360" w:lineRule="auto"/>
              <w:ind w:firstLine="480" w:firstLineChars="200"/>
              <w:jc w:val="both"/>
              <w:rPr>
                <w:rFonts w:ascii="Times New Roman" w:hAnsi="Times New Roman"/>
                <w:color w:val="auto"/>
                <w:sz w:val="24"/>
                <w:szCs w:val="24"/>
              </w:rPr>
            </w:pPr>
            <w:r>
              <w:rPr>
                <w:rFonts w:ascii="Times New Roman" w:hAnsi="Times New Roman"/>
                <w:bCs/>
                <w:color w:val="auto"/>
                <w:sz w:val="24"/>
                <w:szCs w:val="24"/>
              </w:rPr>
              <w:t>（4）固废：施工人员日常生活产生的生活垃圾、基础</w:t>
            </w:r>
            <w:r>
              <w:rPr>
                <w:rFonts w:hint="eastAsia" w:ascii="Times New Roman" w:hAnsi="Times New Roman"/>
                <w:bCs/>
                <w:color w:val="auto"/>
                <w:sz w:val="24"/>
                <w:szCs w:val="24"/>
              </w:rPr>
              <w:t>工程</w:t>
            </w:r>
            <w:r>
              <w:rPr>
                <w:rFonts w:ascii="Times New Roman" w:hAnsi="Times New Roman"/>
                <w:bCs/>
                <w:color w:val="auto"/>
                <w:sz w:val="24"/>
                <w:szCs w:val="24"/>
              </w:rPr>
              <w:t>施工中产生的</w:t>
            </w:r>
            <w:r>
              <w:rPr>
                <w:rFonts w:hint="eastAsia" w:ascii="Times New Roman" w:hAnsi="Times New Roman"/>
                <w:bCs/>
                <w:color w:val="auto"/>
                <w:sz w:val="24"/>
                <w:szCs w:val="24"/>
              </w:rPr>
              <w:t>建筑</w:t>
            </w:r>
            <w:r>
              <w:rPr>
                <w:rFonts w:ascii="Times New Roman" w:hAnsi="Times New Roman"/>
                <w:bCs/>
                <w:color w:val="auto"/>
                <w:sz w:val="24"/>
                <w:szCs w:val="24"/>
              </w:rPr>
              <w:t>垃圾、设备安装过程产生的废弃包装物等。</w:t>
            </w:r>
          </w:p>
          <w:p>
            <w:pPr>
              <w:widowControl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二、</w:t>
            </w:r>
            <w:r>
              <w:rPr>
                <w:rFonts w:ascii="Times New Roman" w:hAnsi="Times New Roman"/>
                <w:b/>
                <w:bCs/>
                <w:color w:val="auto"/>
                <w:sz w:val="24"/>
                <w:szCs w:val="24"/>
                <w:highlight w:val="none"/>
              </w:rPr>
              <w:t>运营期工艺流程</w:t>
            </w:r>
          </w:p>
          <w:p>
            <w:pPr>
              <w:adjustRightInd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1、工艺流程简介</w:t>
            </w:r>
          </w:p>
          <w:p>
            <w:pPr>
              <w:adjustRightInd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根据初步设计资料，</w:t>
            </w:r>
            <w:r>
              <w:rPr>
                <w:rFonts w:hint="eastAsia" w:ascii="Times New Roman" w:hAnsi="Times New Roman"/>
                <w:color w:val="auto"/>
                <w:sz w:val="24"/>
                <w:szCs w:val="24"/>
              </w:rPr>
              <w:t>项目原料气BOG来自现有厂区</w:t>
            </w:r>
            <w:r>
              <w:rPr>
                <w:rFonts w:hint="eastAsia" w:ascii="Times New Roman" w:hAnsi="Times New Roman"/>
                <w:color w:val="auto"/>
                <w:sz w:val="24"/>
                <w:szCs w:val="24"/>
                <w:lang w:eastAsia="zh-CN"/>
              </w:rPr>
              <w:t>二期工程</w:t>
            </w:r>
            <w:r>
              <w:rPr>
                <w:rFonts w:hint="eastAsia" w:ascii="Times New Roman" w:hAnsi="Times New Roman"/>
                <w:color w:val="auto"/>
                <w:sz w:val="24"/>
                <w:szCs w:val="24"/>
              </w:rPr>
              <w:t>的BOG缓冲罐</w:t>
            </w:r>
            <w:r>
              <w:rPr>
                <w:rFonts w:hint="eastAsia" w:ascii="Times New Roman" w:hAnsi="Times New Roman"/>
                <w:color w:val="auto"/>
                <w:sz w:val="24"/>
                <w:szCs w:val="24"/>
                <w:lang w:eastAsia="zh-CN"/>
              </w:rPr>
              <w:t>（设计压力</w:t>
            </w:r>
            <w:r>
              <w:rPr>
                <w:rFonts w:hint="eastAsia" w:ascii="Times New Roman" w:hAnsi="Times New Roman"/>
                <w:color w:val="auto"/>
                <w:sz w:val="24"/>
                <w:szCs w:val="24"/>
                <w:lang w:val="en-US" w:eastAsia="zh-CN"/>
              </w:rPr>
              <w:t>1.0MPa，温度60</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，容积</w:t>
            </w:r>
            <w:r>
              <w:rPr>
                <w:rFonts w:hint="eastAsia" w:ascii="Times New Roman" w:hAnsi="Times New Roman"/>
                <w:color w:val="auto"/>
                <w:sz w:val="24"/>
                <w:szCs w:val="24"/>
                <w:lang w:val="en-US" w:eastAsia="zh-CN"/>
              </w:rPr>
              <w:t>30m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eastAsia="zh-CN"/>
              </w:rPr>
              <w:t>）</w:t>
            </w:r>
            <w:r>
              <w:rPr>
                <w:rFonts w:hint="eastAsia" w:ascii="Times New Roman" w:hAnsi="Times New Roman"/>
                <w:color w:val="auto"/>
                <w:sz w:val="24"/>
                <w:szCs w:val="24"/>
              </w:rPr>
              <w:t>，</w:t>
            </w:r>
            <w:r>
              <w:rPr>
                <w:rFonts w:hint="eastAsia" w:ascii="Times New Roman" w:hAnsi="Times New Roman"/>
                <w:color w:val="auto"/>
                <w:sz w:val="24"/>
                <w:szCs w:val="24"/>
                <w:lang w:eastAsia="zh-CN"/>
              </w:rPr>
              <w:t>原料气</w:t>
            </w:r>
            <w:r>
              <w:rPr>
                <w:rFonts w:hint="eastAsia" w:ascii="Times New Roman" w:hAnsi="Times New Roman"/>
                <w:color w:val="auto"/>
                <w:sz w:val="24"/>
                <w:szCs w:val="24"/>
                <w:lang w:val="en-US" w:eastAsia="zh-CN"/>
              </w:rPr>
              <w:t>BOG的成分包括氦气、氢气、氮气、甲烷、其他（氩气、氖气、碳氢化合物）等。</w:t>
            </w:r>
            <w:r>
              <w:rPr>
                <w:rFonts w:ascii="Times New Roman" w:hAnsi="Times New Roman"/>
                <w:color w:val="auto"/>
                <w:sz w:val="24"/>
                <w:szCs w:val="24"/>
              </w:rPr>
              <w:t>项目</w:t>
            </w:r>
            <w:r>
              <w:rPr>
                <w:rFonts w:hint="eastAsia" w:ascii="Times New Roman" w:hAnsi="Times New Roman"/>
                <w:color w:val="auto"/>
                <w:sz w:val="24"/>
                <w:szCs w:val="24"/>
              </w:rPr>
              <w:t>BOG提氦装置的工艺路线为：来自BOG缓冲罐的原料气进入</w:t>
            </w:r>
            <w:r>
              <w:rPr>
                <w:rFonts w:ascii="Times New Roman" w:hAnsi="Times New Roman"/>
                <w:color w:val="auto"/>
                <w:sz w:val="24"/>
                <w:szCs w:val="24"/>
              </w:rPr>
              <w:t>粗氦提取单元</w:t>
            </w:r>
            <w:r>
              <w:rPr>
                <w:rFonts w:hint="eastAsia" w:ascii="Times New Roman" w:hAnsi="Times New Roman"/>
                <w:color w:val="auto"/>
                <w:sz w:val="24"/>
                <w:szCs w:val="24"/>
              </w:rPr>
              <w:t>（</w:t>
            </w:r>
            <w:r>
              <w:rPr>
                <w:rFonts w:ascii="Times New Roman" w:hAnsi="Times New Roman"/>
                <w:color w:val="auto"/>
                <w:sz w:val="24"/>
                <w:szCs w:val="24"/>
              </w:rPr>
              <w:t>变压吸附+膜</w:t>
            </w:r>
            <w:r>
              <w:rPr>
                <w:rFonts w:hint="eastAsia" w:ascii="Times New Roman" w:hAnsi="Times New Roman"/>
                <w:color w:val="auto"/>
                <w:sz w:val="24"/>
                <w:szCs w:val="24"/>
              </w:rPr>
              <w:t>分离）将</w:t>
            </w:r>
            <w:r>
              <w:rPr>
                <w:rFonts w:ascii="Times New Roman" w:hAnsi="Times New Roman"/>
                <w:color w:val="auto"/>
                <w:sz w:val="24"/>
                <w:szCs w:val="24"/>
              </w:rPr>
              <w:t>氦气、氢气与甲烷和氮气进行分离，获得</w:t>
            </w:r>
            <w:r>
              <w:rPr>
                <w:rFonts w:hint="eastAsia" w:ascii="Times New Roman" w:hAnsi="Times New Roman"/>
                <w:color w:val="auto"/>
                <w:sz w:val="24"/>
                <w:szCs w:val="24"/>
              </w:rPr>
              <w:t>氦气</w:t>
            </w:r>
            <w:r>
              <w:rPr>
                <w:rFonts w:ascii="Times New Roman" w:hAnsi="Times New Roman"/>
                <w:color w:val="auto"/>
                <w:sz w:val="24"/>
                <w:szCs w:val="24"/>
              </w:rPr>
              <w:t>95%以上</w:t>
            </w:r>
            <w:r>
              <w:rPr>
                <w:rFonts w:hint="eastAsia" w:ascii="Times New Roman" w:hAnsi="Times New Roman"/>
                <w:color w:val="auto"/>
                <w:sz w:val="24"/>
                <w:szCs w:val="24"/>
              </w:rPr>
              <w:t>纯度</w:t>
            </w:r>
            <w:r>
              <w:rPr>
                <w:rFonts w:ascii="Times New Roman" w:hAnsi="Times New Roman"/>
                <w:color w:val="auto"/>
                <w:sz w:val="24"/>
                <w:szCs w:val="24"/>
              </w:rPr>
              <w:t>的氦气、氢气</w:t>
            </w:r>
            <w:r>
              <w:rPr>
                <w:rFonts w:hint="eastAsia" w:ascii="Times New Roman" w:hAnsi="Times New Roman"/>
                <w:color w:val="auto"/>
                <w:sz w:val="24"/>
                <w:szCs w:val="24"/>
              </w:rPr>
              <w:t>及微量杂质</w:t>
            </w:r>
            <w:r>
              <w:rPr>
                <w:rFonts w:ascii="Times New Roman" w:hAnsi="Times New Roman"/>
                <w:color w:val="auto"/>
                <w:sz w:val="24"/>
                <w:szCs w:val="24"/>
              </w:rPr>
              <w:t>混合气体</w:t>
            </w:r>
            <w:r>
              <w:rPr>
                <w:rFonts w:hint="eastAsia" w:ascii="Times New Roman" w:hAnsi="Times New Roman"/>
                <w:color w:val="auto"/>
                <w:sz w:val="24"/>
                <w:szCs w:val="24"/>
              </w:rPr>
              <w:t>；然后将混合气体送入</w:t>
            </w:r>
            <w:r>
              <w:rPr>
                <w:rFonts w:ascii="Times New Roman" w:hAnsi="Times New Roman"/>
                <w:color w:val="auto"/>
                <w:sz w:val="24"/>
                <w:szCs w:val="24"/>
              </w:rPr>
              <w:t>催化脱氢单元</w:t>
            </w:r>
            <w:r>
              <w:rPr>
                <w:rFonts w:hint="eastAsia" w:ascii="Times New Roman" w:hAnsi="Times New Roman"/>
                <w:color w:val="auto"/>
                <w:sz w:val="24"/>
                <w:szCs w:val="24"/>
              </w:rPr>
              <w:t>将粗氦中的氢脱除至1ppm以下；</w:t>
            </w:r>
            <w:r>
              <w:rPr>
                <w:rFonts w:hint="eastAsia" w:ascii="Arial" w:hAnsi="Arial" w:cs="Arial"/>
                <w:color w:val="auto"/>
                <w:sz w:val="24"/>
                <w:szCs w:val="24"/>
              </w:rPr>
              <w:t>其次将脱氢粗氦送入</w:t>
            </w:r>
            <w:r>
              <w:rPr>
                <w:rFonts w:ascii="Times New Roman" w:hAnsi="Times New Roman"/>
                <w:color w:val="auto"/>
                <w:sz w:val="24"/>
                <w:szCs w:val="24"/>
              </w:rPr>
              <w:t>氦气精制单元</w:t>
            </w:r>
            <w:r>
              <w:rPr>
                <w:rFonts w:hint="eastAsia" w:ascii="Times New Roman" w:hAnsi="Times New Roman"/>
                <w:color w:val="auto"/>
                <w:sz w:val="24"/>
                <w:szCs w:val="24"/>
              </w:rPr>
              <w:t>实现微量杂质的高精度分离，将氦气提纯至99.999%（摩尔比）；</w:t>
            </w:r>
            <w:r>
              <w:rPr>
                <w:rFonts w:hint="eastAsia" w:ascii="Arial" w:hAnsi="Arial" w:cs="Arial"/>
                <w:color w:val="auto"/>
                <w:sz w:val="24"/>
                <w:szCs w:val="24"/>
              </w:rPr>
              <w:t>最后将精制氦气送入</w:t>
            </w:r>
            <w:r>
              <w:rPr>
                <w:rFonts w:ascii="Times New Roman" w:hAnsi="Times New Roman"/>
                <w:color w:val="auto"/>
                <w:sz w:val="24"/>
                <w:szCs w:val="24"/>
              </w:rPr>
              <w:t>充装单元</w:t>
            </w:r>
            <w:r>
              <w:rPr>
                <w:rFonts w:hint="eastAsia" w:ascii="Times New Roman" w:hAnsi="Times New Roman"/>
                <w:color w:val="auto"/>
                <w:sz w:val="24"/>
                <w:szCs w:val="24"/>
              </w:rPr>
              <w:t>装瓶。项目可能产生的环境影响主要为粗氦提取单元产生的富甲烷解析气、氮气以及氦气精制单元产生的吹扫氮气、微量杂质气体；催化脱氢单元产生的脱氢冷凝水；装置运行中压缩机、泵类等设施产生的噪声；废分子筛、废催化剂、废活性炭、压缩机及泵类检修时产生的废润滑油等危险性固体废物。项目运营期工艺流程及产污环节见图3。</w:t>
            </w:r>
          </w:p>
          <w:p>
            <w:pPr>
              <w:widowControl w:val="0"/>
              <w:spacing w:line="360" w:lineRule="auto"/>
              <w:jc w:val="center"/>
              <w:rPr>
                <w:rFonts w:ascii="Times New Roman" w:hAnsi="Times New Roman"/>
                <w:color w:val="auto"/>
                <w:sz w:val="24"/>
                <w:szCs w:val="24"/>
              </w:rPr>
            </w:pPr>
            <w:r>
              <w:rPr>
                <w:color w:val="auto"/>
              </w:rPr>
              <w:drawing>
                <wp:inline distT="0" distB="0" distL="114300" distR="114300">
                  <wp:extent cx="5534025" cy="3531235"/>
                  <wp:effectExtent l="0" t="0" r="9525" b="12065"/>
                  <wp:docPr id="3" name="ECB019B1-382A-4266-B25C-5B523AA43C14-3" descr="H:\1、优悦环保工作文件\2、环评编写\1-星源提氦\4、2023.2.1会后修改\生产工艺流程及产污环节图.jpg生产工艺流程及产污环节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H:\1、优悦环保工作文件\2、环评编写\1-星源提氦\4、2023.2.1会后修改\生产工艺流程及产污环节图.jpg生产工艺流程及产污环节图"/>
                          <pic:cNvPicPr>
                            <a:picLocks noChangeAspect="1"/>
                          </pic:cNvPicPr>
                        </pic:nvPicPr>
                        <pic:blipFill>
                          <a:blip r:embed="rId12"/>
                          <a:srcRect/>
                          <a:stretch>
                            <a:fillRect/>
                          </a:stretch>
                        </pic:blipFill>
                        <pic:spPr>
                          <a:xfrm>
                            <a:off x="0" y="0"/>
                            <a:ext cx="5534025" cy="3531235"/>
                          </a:xfrm>
                          <a:prstGeom prst="rect">
                            <a:avLst/>
                          </a:prstGeom>
                        </pic:spPr>
                      </pic:pic>
                    </a:graphicData>
                  </a:graphic>
                </wp:inline>
              </w:drawing>
            </w:r>
          </w:p>
          <w:p>
            <w:pPr>
              <w:pStyle w:val="329"/>
              <w:widowControl w:val="0"/>
              <w:numPr>
                <w:ilvl w:val="0"/>
                <w:numId w:val="14"/>
              </w:numPr>
              <w:spacing w:line="360" w:lineRule="auto"/>
              <w:ind w:left="0" w:firstLine="0" w:firstLineChars="0"/>
              <w:jc w:val="center"/>
              <w:rPr>
                <w:rFonts w:ascii="Times New Roman" w:hAnsi="Times New Roman"/>
                <w:b/>
                <w:bCs/>
                <w:color w:val="auto"/>
                <w:sz w:val="24"/>
                <w:szCs w:val="24"/>
              </w:rPr>
            </w:pPr>
            <w:r>
              <w:rPr>
                <w:rFonts w:ascii="Times New Roman" w:hAnsi="Times New Roman"/>
                <w:b/>
                <w:color w:val="auto"/>
                <w:sz w:val="24"/>
                <w:szCs w:val="24"/>
                <w:highlight w:val="none"/>
              </w:rPr>
              <w:t>生产工艺流程及产污环节图</w:t>
            </w:r>
          </w:p>
          <w:p>
            <w:pPr>
              <w:widowControl w:val="0"/>
              <w:numPr>
                <w:ilvl w:val="0"/>
                <w:numId w:val="17"/>
              </w:numPr>
              <w:adjustRightInd w:val="0"/>
              <w:snapToGrid w:val="0"/>
              <w:spacing w:line="360" w:lineRule="auto"/>
              <w:ind w:left="480"/>
              <w:rPr>
                <w:rFonts w:ascii="Times New Roman" w:hAnsi="Times New Roman"/>
                <w:color w:val="auto"/>
                <w:sz w:val="24"/>
                <w:szCs w:val="24"/>
              </w:rPr>
            </w:pPr>
            <w:r>
              <w:rPr>
                <w:rFonts w:hint="eastAsia" w:ascii="Times New Roman" w:hAnsi="Times New Roman"/>
                <w:color w:val="auto"/>
                <w:sz w:val="24"/>
                <w:szCs w:val="24"/>
              </w:rPr>
              <w:t>粗氦提取单元</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来自</w:t>
            </w:r>
            <w:r>
              <w:rPr>
                <w:rFonts w:hint="eastAsia" w:ascii="Times New Roman" w:hAnsi="Times New Roman"/>
                <w:color w:val="auto"/>
                <w:sz w:val="24"/>
                <w:szCs w:val="24"/>
                <w:lang w:eastAsia="zh-CN"/>
              </w:rPr>
              <w:t>现有厂区二期工程</w:t>
            </w:r>
            <w:r>
              <w:rPr>
                <w:rFonts w:hint="eastAsia" w:ascii="Times New Roman" w:hAnsi="Times New Roman"/>
                <w:color w:val="auto"/>
                <w:sz w:val="24"/>
                <w:szCs w:val="24"/>
              </w:rPr>
              <w:t>BOG缓冲罐的原料气</w:t>
            </w:r>
            <w:r>
              <w:rPr>
                <w:rFonts w:hint="eastAsia" w:ascii="Times New Roman" w:hAnsi="Times New Roman"/>
                <w:color w:val="auto"/>
                <w:sz w:val="24"/>
                <w:szCs w:val="24"/>
                <w:lang w:eastAsia="zh-CN"/>
              </w:rPr>
              <w:t>通过压缩机</w:t>
            </w:r>
            <w:r>
              <w:rPr>
                <w:rFonts w:hint="eastAsia" w:ascii="Times New Roman" w:hAnsi="Times New Roman"/>
                <w:color w:val="auto"/>
                <w:sz w:val="24"/>
                <w:szCs w:val="24"/>
              </w:rPr>
              <w:t>进入</w:t>
            </w:r>
            <w:r>
              <w:rPr>
                <w:rFonts w:ascii="Times New Roman" w:hAnsi="Times New Roman"/>
                <w:color w:val="auto"/>
                <w:sz w:val="24"/>
                <w:szCs w:val="24"/>
              </w:rPr>
              <w:t>粗氦提取单元</w:t>
            </w:r>
            <w:r>
              <w:rPr>
                <w:rFonts w:hint="eastAsia" w:ascii="Times New Roman" w:hAnsi="Times New Roman"/>
                <w:color w:val="auto"/>
                <w:sz w:val="24"/>
                <w:szCs w:val="24"/>
              </w:rPr>
              <w:t>（</w:t>
            </w:r>
            <w:r>
              <w:rPr>
                <w:rFonts w:ascii="Times New Roman" w:hAnsi="Times New Roman"/>
                <w:color w:val="auto"/>
                <w:sz w:val="24"/>
                <w:szCs w:val="24"/>
              </w:rPr>
              <w:t>变压吸附+膜</w:t>
            </w:r>
            <w:r>
              <w:rPr>
                <w:rFonts w:hint="eastAsia" w:ascii="Times New Roman" w:hAnsi="Times New Roman"/>
                <w:color w:val="auto"/>
                <w:sz w:val="24"/>
                <w:szCs w:val="24"/>
              </w:rPr>
              <w:t>分离）</w:t>
            </w:r>
            <w:r>
              <w:rPr>
                <w:rFonts w:hint="eastAsia" w:ascii="Times New Roman" w:hAnsi="Times New Roman"/>
                <w:color w:val="auto"/>
                <w:sz w:val="24"/>
                <w:szCs w:val="24"/>
                <w:lang w:eastAsia="zh-CN"/>
              </w:rPr>
              <w:t>，该单元采用室温加压吸附、常压解析技术，利用</w:t>
            </w:r>
            <w:r>
              <w:rPr>
                <w:rFonts w:hint="eastAsia" w:ascii="Times New Roman" w:hAnsi="Times New Roman"/>
                <w:color w:val="auto"/>
                <w:sz w:val="24"/>
                <w:szCs w:val="24"/>
                <w:lang w:val="en-US" w:eastAsia="zh-CN"/>
              </w:rPr>
              <w:t>BOG中不同组分分子极性和粒径大小不同的特性，</w:t>
            </w:r>
            <w:r>
              <w:rPr>
                <w:rFonts w:hint="eastAsia" w:ascii="Times New Roman" w:hAnsi="Times New Roman"/>
                <w:color w:val="auto"/>
                <w:sz w:val="24"/>
                <w:szCs w:val="24"/>
              </w:rPr>
              <w:t>将</w:t>
            </w:r>
            <w:r>
              <w:rPr>
                <w:rFonts w:hint="eastAsia" w:ascii="Times New Roman" w:hAnsi="Times New Roman"/>
                <w:color w:val="auto"/>
                <w:sz w:val="24"/>
                <w:szCs w:val="24"/>
                <w:lang w:val="en-US" w:eastAsia="zh-CN"/>
              </w:rPr>
              <w:t>BOG中的</w:t>
            </w:r>
            <w:r>
              <w:rPr>
                <w:rFonts w:ascii="Times New Roman" w:hAnsi="Times New Roman"/>
                <w:color w:val="auto"/>
                <w:sz w:val="24"/>
                <w:szCs w:val="24"/>
              </w:rPr>
              <w:t>氦气、氢气与甲烷和氮气进行分离，</w:t>
            </w:r>
            <w:r>
              <w:rPr>
                <w:rFonts w:hint="eastAsia" w:ascii="Times New Roman" w:hAnsi="Times New Roman"/>
                <w:color w:val="auto"/>
                <w:sz w:val="24"/>
                <w:szCs w:val="24"/>
                <w:lang w:eastAsia="zh-CN"/>
              </w:rPr>
              <w:t>分离出的氮气经高位放空管线放空，变压吸附解析后得到的解析气为富甲烷解析气，由解析气压缩机送至厂区现有燃料气系统充当燃料气使用，该单元能</w:t>
            </w:r>
            <w:r>
              <w:rPr>
                <w:rFonts w:ascii="Times New Roman" w:hAnsi="Times New Roman"/>
                <w:color w:val="auto"/>
                <w:sz w:val="24"/>
                <w:szCs w:val="24"/>
              </w:rPr>
              <w:t>获得</w:t>
            </w:r>
            <w:r>
              <w:rPr>
                <w:rFonts w:hint="eastAsia" w:ascii="Times New Roman" w:hAnsi="Times New Roman"/>
                <w:color w:val="auto"/>
                <w:sz w:val="24"/>
                <w:szCs w:val="24"/>
              </w:rPr>
              <w:t>氦气纯度</w:t>
            </w:r>
            <w:r>
              <w:rPr>
                <w:rFonts w:ascii="Times New Roman" w:hAnsi="Times New Roman"/>
                <w:color w:val="auto"/>
                <w:sz w:val="24"/>
                <w:szCs w:val="24"/>
              </w:rPr>
              <w:t>95%以上的氦气、氢气</w:t>
            </w:r>
            <w:r>
              <w:rPr>
                <w:rFonts w:hint="eastAsia" w:ascii="Times New Roman" w:hAnsi="Times New Roman"/>
                <w:color w:val="auto"/>
                <w:sz w:val="24"/>
                <w:szCs w:val="24"/>
              </w:rPr>
              <w:t>及微量杂质</w:t>
            </w:r>
            <w:r>
              <w:rPr>
                <w:rFonts w:ascii="Times New Roman" w:hAnsi="Times New Roman"/>
                <w:color w:val="auto"/>
                <w:sz w:val="24"/>
                <w:szCs w:val="24"/>
              </w:rPr>
              <w:t>混合气体</w:t>
            </w:r>
            <w:r>
              <w:rPr>
                <w:rFonts w:hint="eastAsia" w:ascii="Times New Roman" w:hAnsi="Times New Roman"/>
                <w:color w:val="auto"/>
                <w:sz w:val="24"/>
                <w:szCs w:val="24"/>
              </w:rPr>
              <w:t>。</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本工序产生的污染物主要为原料气中分离出的氮气和富甲烷解析气，压缩机运行产生的噪声和检修时产生的废润滑油，膜分离装置产生的废分子筛。</w:t>
            </w:r>
          </w:p>
          <w:p>
            <w:pPr>
              <w:widowControl w:val="0"/>
              <w:numPr>
                <w:ilvl w:val="0"/>
                <w:numId w:val="17"/>
              </w:numPr>
              <w:adjustRightInd w:val="0"/>
              <w:snapToGrid w:val="0"/>
              <w:spacing w:line="360" w:lineRule="auto"/>
              <w:ind w:left="480"/>
              <w:rPr>
                <w:rFonts w:ascii="Times New Roman" w:hAnsi="Times New Roman"/>
                <w:color w:val="auto"/>
                <w:sz w:val="24"/>
                <w:szCs w:val="24"/>
              </w:rPr>
            </w:pPr>
            <w:r>
              <w:rPr>
                <w:rFonts w:hint="eastAsia" w:ascii="Times New Roman" w:hAnsi="Times New Roman"/>
                <w:color w:val="auto"/>
                <w:sz w:val="24"/>
                <w:szCs w:val="24"/>
              </w:rPr>
              <w:t>催化脱氢单元</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eastAsia="zh-CN"/>
              </w:rPr>
              <w:t>从粗氦提取单元出来的</w:t>
            </w:r>
            <w:r>
              <w:rPr>
                <w:rFonts w:hint="eastAsia" w:ascii="Times New Roman" w:hAnsi="Times New Roman"/>
                <w:color w:val="auto"/>
                <w:sz w:val="24"/>
                <w:szCs w:val="24"/>
              </w:rPr>
              <w:t>混合气体</w:t>
            </w:r>
            <w:r>
              <w:rPr>
                <w:rFonts w:hint="eastAsia" w:ascii="Times New Roman" w:hAnsi="Times New Roman"/>
                <w:color w:val="auto"/>
                <w:sz w:val="24"/>
                <w:szCs w:val="24"/>
                <w:lang w:eastAsia="zh-CN"/>
              </w:rPr>
              <w:t>（粗制氦气）进入</w:t>
            </w:r>
            <w:r>
              <w:rPr>
                <w:rFonts w:ascii="Times New Roman" w:hAnsi="Times New Roman"/>
                <w:color w:val="auto"/>
                <w:sz w:val="24"/>
                <w:szCs w:val="24"/>
              </w:rPr>
              <w:t>催化脱氢单元</w:t>
            </w:r>
            <w:r>
              <w:rPr>
                <w:rFonts w:hint="eastAsia" w:ascii="Times New Roman" w:hAnsi="Times New Roman"/>
                <w:color w:val="auto"/>
                <w:sz w:val="24"/>
                <w:szCs w:val="24"/>
                <w:lang w:eastAsia="zh-CN"/>
              </w:rPr>
              <w:t>，</w:t>
            </w:r>
            <w:r>
              <w:rPr>
                <w:rFonts w:hint="eastAsia" w:ascii="Times New Roman" w:hAnsi="Times New Roman"/>
                <w:color w:val="auto"/>
                <w:sz w:val="24"/>
                <w:szCs w:val="24"/>
              </w:rPr>
              <w:t>项目采用催化氧化法脱除氢</w:t>
            </w:r>
            <w:r>
              <w:rPr>
                <w:rFonts w:hint="eastAsia" w:ascii="Times New Roman" w:hAnsi="Times New Roman"/>
                <w:color w:val="auto"/>
                <w:sz w:val="24"/>
                <w:szCs w:val="24"/>
                <w:lang w:eastAsia="zh-CN"/>
              </w:rPr>
              <w:t>，该单元催化脱氢装置由脱氢反应器、循环压缩机和脱水吸附器三部分组成，脱氢反应器内装填有高效催化剂（钯-氧化铝），并通入液氧罐提供的氧气与粗氦中的氢气反应，可</w:t>
            </w:r>
            <w:r>
              <w:rPr>
                <w:rFonts w:hint="eastAsia" w:ascii="Times New Roman" w:hAnsi="Times New Roman"/>
                <w:color w:val="auto"/>
                <w:sz w:val="24"/>
                <w:szCs w:val="24"/>
              </w:rPr>
              <w:t>将粗氦中的氢脱除至1ppm以下</w:t>
            </w:r>
            <w:r>
              <w:rPr>
                <w:rFonts w:hint="eastAsia" w:ascii="Times New Roman" w:hAnsi="Times New Roman"/>
                <w:color w:val="auto"/>
                <w:sz w:val="24"/>
                <w:szCs w:val="24"/>
                <w:lang w:eastAsia="zh-CN"/>
              </w:rPr>
              <w:t>，催化氧化塔出来的气体中含有大量的反应水，这部分气体首先通过冷却器冷却，然后经气液分离后通过循环压缩机进入装有分子筛吸附剂的切换式脱水干燥器内</w:t>
            </w:r>
            <w:r>
              <w:rPr>
                <w:rFonts w:hint="eastAsia" w:ascii="Times New Roman" w:hAnsi="Times New Roman"/>
                <w:color w:val="auto"/>
                <w:sz w:val="24"/>
                <w:szCs w:val="24"/>
              </w:rPr>
              <w:t>（2台交替，连续干燥）</w:t>
            </w:r>
            <w:r>
              <w:rPr>
                <w:rFonts w:hint="eastAsia" w:ascii="Times New Roman" w:hAnsi="Times New Roman"/>
                <w:color w:val="auto"/>
                <w:sz w:val="24"/>
                <w:szCs w:val="24"/>
                <w:lang w:eastAsia="zh-CN"/>
              </w:rPr>
              <w:t>，可将气体中的水脱除至</w:t>
            </w:r>
            <w:r>
              <w:rPr>
                <w:rFonts w:hint="eastAsia" w:ascii="Times New Roman" w:hAnsi="Times New Roman"/>
                <w:color w:val="auto"/>
                <w:sz w:val="24"/>
                <w:szCs w:val="24"/>
                <w:lang w:val="en-US" w:eastAsia="zh-CN"/>
              </w:rPr>
              <w:t>3</w:t>
            </w:r>
            <w:r>
              <w:rPr>
                <w:rFonts w:hint="eastAsia" w:ascii="Times New Roman" w:hAnsi="Times New Roman"/>
                <w:color w:val="auto"/>
                <w:sz w:val="24"/>
                <w:szCs w:val="24"/>
              </w:rPr>
              <w:t>ppm以下</w:t>
            </w:r>
            <w:r>
              <w:rPr>
                <w:rFonts w:hint="eastAsia" w:ascii="Times New Roman" w:hAnsi="Times New Roman"/>
                <w:color w:val="auto"/>
                <w:sz w:val="24"/>
                <w:szCs w:val="24"/>
                <w:lang w:eastAsia="zh-CN"/>
              </w:rPr>
              <w:t>，该单元能得到含有少部分微量杂质的脱氢粗氦</w:t>
            </w:r>
            <w:r>
              <w:rPr>
                <w:rFonts w:hint="eastAsia" w:ascii="Times New Roman" w:hAnsi="Times New Roman"/>
                <w:color w:val="auto"/>
                <w:sz w:val="24"/>
                <w:szCs w:val="24"/>
              </w:rPr>
              <w:t>。</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本工序产生的污染物主要为脱氢冷凝水、压缩机运行产生的噪声和检修时产生的废润滑油、催化脱氢反应器产生的废催化剂、脱水干燥器产生的废分子筛。</w:t>
            </w:r>
          </w:p>
          <w:p>
            <w:pPr>
              <w:widowControl w:val="0"/>
              <w:numPr>
                <w:ilvl w:val="0"/>
                <w:numId w:val="17"/>
              </w:numPr>
              <w:adjustRightInd w:val="0"/>
              <w:snapToGrid w:val="0"/>
              <w:spacing w:line="360" w:lineRule="auto"/>
              <w:ind w:left="480"/>
              <w:rPr>
                <w:rFonts w:ascii="Times New Roman" w:hAnsi="Times New Roman"/>
                <w:color w:val="auto"/>
                <w:sz w:val="24"/>
                <w:szCs w:val="24"/>
              </w:rPr>
            </w:pPr>
            <w:r>
              <w:rPr>
                <w:rFonts w:hint="eastAsia" w:ascii="Times New Roman" w:hAnsi="Times New Roman"/>
                <w:color w:val="auto"/>
                <w:sz w:val="24"/>
                <w:szCs w:val="24"/>
              </w:rPr>
              <w:t>氦气精制单元</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eastAsia="zh-CN"/>
              </w:rPr>
              <w:t>从催化脱氢单元出来的脱氢粗氦还含有一些微量杂质，这种含有微量杂质的脱氢粗氦进入氦气精制单元，该单元包括粗氦压缩机和低温氦气纯化器（</w:t>
            </w:r>
            <w:r>
              <w:rPr>
                <w:rFonts w:hint="eastAsia" w:ascii="Times New Roman" w:hAnsi="Times New Roman"/>
                <w:color w:val="auto"/>
                <w:sz w:val="24"/>
                <w:szCs w:val="24"/>
                <w:lang w:val="en-US" w:eastAsia="zh-CN"/>
              </w:rPr>
              <w:t>2台，</w:t>
            </w:r>
            <w:r>
              <w:rPr>
                <w:rFonts w:hint="eastAsia" w:ascii="Times New Roman" w:hAnsi="Times New Roman"/>
                <w:color w:val="auto"/>
                <w:sz w:val="24"/>
                <w:szCs w:val="24"/>
              </w:rPr>
              <w:t>1用1备</w:t>
            </w:r>
            <w:r>
              <w:rPr>
                <w:rFonts w:hint="eastAsia" w:ascii="Times New Roman" w:hAnsi="Times New Roman"/>
                <w:color w:val="auto"/>
                <w:sz w:val="24"/>
                <w:szCs w:val="24"/>
                <w:lang w:eastAsia="zh-CN"/>
              </w:rPr>
              <w:t>），脱氢粗氦经过粗氦压缩机增压至</w:t>
            </w:r>
            <w:r>
              <w:rPr>
                <w:rFonts w:hint="eastAsia" w:ascii="Times New Roman" w:hAnsi="Times New Roman"/>
                <w:color w:val="auto"/>
                <w:sz w:val="24"/>
                <w:szCs w:val="24"/>
                <w:lang w:val="en-US" w:eastAsia="zh-CN"/>
              </w:rPr>
              <w:t>20MPa后进入低温氦气纯化器，在液氮温度77K（-196</w:t>
            </w:r>
            <w:r>
              <w:rPr>
                <w:rFonts w:hint="eastAsia" w:ascii="宋体" w:hAnsi="宋体" w:eastAsia="宋体" w:cs="宋体"/>
                <w:color w:val="auto"/>
                <w:sz w:val="24"/>
                <w:szCs w:val="24"/>
                <w:lang w:val="en-US" w:eastAsia="zh-CN"/>
              </w:rPr>
              <w:t>℃</w:t>
            </w:r>
            <w:r>
              <w:rPr>
                <w:rFonts w:hint="eastAsia" w:ascii="Times New Roman" w:hAnsi="Times New Roman"/>
                <w:color w:val="auto"/>
                <w:sz w:val="24"/>
                <w:szCs w:val="24"/>
                <w:lang w:val="en-US" w:eastAsia="zh-CN"/>
              </w:rPr>
              <w:t>）下进入纯化器的未经纯化的粗氦和出纯化器的已经纯化的粗氦在高压套管换热器中进行逆流热交换，出换热器的高压、未经纯化的粗氦温度一般略高于液氮温度10~13K左右，再经过浸泡在液氮的过冷换热器中进一步冷却，在这种高压低温环境下，粗氦中混有的微量杂质因沸点高于液氮温度而过冷饱和析出，杂质气体通过高压低温气动阀排放阀排入大气，经过纯化的粗氦</w:t>
            </w:r>
            <w:r>
              <w:rPr>
                <w:rFonts w:hint="eastAsia" w:ascii="Times New Roman" w:hAnsi="Times New Roman"/>
                <w:color w:val="auto"/>
                <w:sz w:val="24"/>
                <w:szCs w:val="24"/>
              </w:rPr>
              <w:t>从低温纯化器出来</w:t>
            </w:r>
            <w:r>
              <w:rPr>
                <w:rFonts w:hint="eastAsia" w:ascii="Times New Roman" w:hAnsi="Times New Roman"/>
                <w:color w:val="auto"/>
                <w:sz w:val="24"/>
                <w:szCs w:val="24"/>
                <w:lang w:val="en-US" w:eastAsia="zh-CN"/>
              </w:rPr>
              <w:t>进入装有活性炭和分子筛的低温吸附筒中，利用</w:t>
            </w:r>
            <w:r>
              <w:rPr>
                <w:rFonts w:hint="eastAsia" w:ascii="Times New Roman" w:hAnsi="Times New Roman"/>
                <w:color w:val="auto"/>
                <w:sz w:val="24"/>
                <w:szCs w:val="24"/>
              </w:rPr>
              <w:t>活性炭在低温环境下</w:t>
            </w:r>
            <w:r>
              <w:rPr>
                <w:rFonts w:hint="eastAsia" w:ascii="Times New Roman" w:hAnsi="Times New Roman"/>
                <w:color w:val="auto"/>
                <w:sz w:val="24"/>
                <w:szCs w:val="24"/>
                <w:lang w:val="en-US" w:eastAsia="zh-CN"/>
              </w:rPr>
              <w:t>的吸附特性吸附剩余杂质气体，</w:t>
            </w:r>
            <w:r>
              <w:rPr>
                <w:rFonts w:hint="eastAsia" w:ascii="Times New Roman" w:hAnsi="Times New Roman"/>
                <w:color w:val="auto"/>
                <w:sz w:val="24"/>
                <w:szCs w:val="24"/>
              </w:rPr>
              <w:t>将氦气提纯至99.999%（摩尔比）</w:t>
            </w:r>
            <w:r>
              <w:rPr>
                <w:rFonts w:hint="eastAsia" w:ascii="Times New Roman" w:hAnsi="Times New Roman"/>
                <w:color w:val="auto"/>
                <w:sz w:val="24"/>
                <w:szCs w:val="24"/>
                <w:lang w:eastAsia="zh-CN"/>
              </w:rPr>
              <w:t>。</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rPr>
              <w:t>本工序产生的污染物主要为脱氢粗氦中分离出的甲烷、氮气等杂质组分气体，纯化器活化再生时采用热氮气+抽真空处理方式会产生吹扫氮气，压缩机运行产生的噪声和检修时产生的废润滑油，以及低温吸附装置产生的废活性炭。</w:t>
            </w:r>
          </w:p>
          <w:p>
            <w:pPr>
              <w:widowControl w:val="0"/>
              <w:numPr>
                <w:ilvl w:val="0"/>
                <w:numId w:val="17"/>
              </w:numPr>
              <w:adjustRightInd w:val="0"/>
              <w:snapToGrid w:val="0"/>
              <w:spacing w:line="360" w:lineRule="auto"/>
              <w:ind w:left="480"/>
              <w:rPr>
                <w:rFonts w:ascii="Times New Roman" w:hAnsi="Times New Roman"/>
                <w:color w:val="auto"/>
                <w:sz w:val="24"/>
                <w:szCs w:val="24"/>
              </w:rPr>
            </w:pPr>
            <w:r>
              <w:rPr>
                <w:rFonts w:hint="eastAsia" w:ascii="Times New Roman" w:hAnsi="Times New Roman"/>
                <w:color w:val="auto"/>
                <w:sz w:val="24"/>
                <w:szCs w:val="24"/>
              </w:rPr>
              <w:t>充装单元</w:t>
            </w:r>
          </w:p>
          <w:p>
            <w:pPr>
              <w:widowControl w:val="0"/>
              <w:adjustRightInd w:val="0"/>
              <w:snapToGrid w:val="0"/>
              <w:spacing w:line="360" w:lineRule="auto"/>
              <w:ind w:firstLine="480" w:firstLineChars="200"/>
              <w:rPr>
                <w:rFonts w:ascii="Times New Roman" w:hAnsi="Times New Roman"/>
                <w:color w:val="auto"/>
                <w:sz w:val="24"/>
                <w:szCs w:val="24"/>
              </w:rPr>
            </w:pPr>
            <w:r>
              <w:rPr>
                <w:rFonts w:hint="eastAsia" w:ascii="Arial" w:hAnsi="Arial" w:cs="Arial"/>
                <w:color w:val="auto"/>
                <w:sz w:val="24"/>
                <w:szCs w:val="24"/>
              </w:rPr>
              <w:t>精制氦气最后</w:t>
            </w:r>
            <w:r>
              <w:rPr>
                <w:rFonts w:hint="eastAsia" w:ascii="Arial" w:hAnsi="Arial" w:cs="Arial"/>
                <w:color w:val="auto"/>
                <w:sz w:val="24"/>
                <w:szCs w:val="24"/>
                <w:lang w:eastAsia="zh-CN"/>
              </w:rPr>
              <w:t>被</w:t>
            </w:r>
            <w:r>
              <w:rPr>
                <w:rFonts w:hint="eastAsia" w:ascii="Arial" w:hAnsi="Arial" w:cs="Arial"/>
                <w:color w:val="auto"/>
                <w:sz w:val="24"/>
                <w:szCs w:val="24"/>
              </w:rPr>
              <w:t>送入</w:t>
            </w:r>
            <w:r>
              <w:rPr>
                <w:rFonts w:ascii="Times New Roman" w:hAnsi="Times New Roman"/>
                <w:color w:val="auto"/>
                <w:sz w:val="24"/>
                <w:szCs w:val="24"/>
              </w:rPr>
              <w:t>充装单元</w:t>
            </w:r>
            <w:r>
              <w:rPr>
                <w:rFonts w:hint="eastAsia" w:ascii="Times New Roman" w:hAnsi="Times New Roman"/>
                <w:color w:val="auto"/>
                <w:sz w:val="24"/>
                <w:szCs w:val="24"/>
                <w:lang w:eastAsia="zh-CN"/>
              </w:rPr>
              <w:t>高压储存</w:t>
            </w:r>
            <w:r>
              <w:rPr>
                <w:rFonts w:hint="eastAsia" w:ascii="Times New Roman" w:hAnsi="Times New Roman"/>
                <w:color w:val="auto"/>
                <w:sz w:val="24"/>
                <w:szCs w:val="24"/>
              </w:rPr>
              <w:t>。氦气精制装置最高出气压力为20MPa，从氦气精制单元出来的精制氦气首先通过充装汇流排进入现场高压缓存钢瓶组，当氦气集装管束车入场后，再从高压缓存钢瓶组向氦气集装管束车充气。</w:t>
            </w:r>
          </w:p>
          <w:p>
            <w:pPr>
              <w:widowControl w:val="0"/>
              <w:adjustRightInd w:val="0"/>
              <w:snapToGrid w:val="0"/>
              <w:spacing w:line="360" w:lineRule="auto"/>
              <w:ind w:firstLine="480" w:firstLineChars="200"/>
              <w:rPr>
                <w:rFonts w:ascii="Times New Roman" w:hAnsi="Times New Roman"/>
                <w:color w:val="auto"/>
                <w:sz w:val="24"/>
                <w:szCs w:val="24"/>
                <w:highlight w:val="yellow"/>
              </w:rPr>
            </w:pPr>
            <w:r>
              <w:rPr>
                <w:rFonts w:hint="eastAsia" w:ascii="Times New Roman" w:hAnsi="Times New Roman"/>
                <w:color w:val="auto"/>
                <w:sz w:val="24"/>
                <w:szCs w:val="24"/>
              </w:rPr>
              <w:t>本工序产生的污染物主要为充装设备运行时产生的噪声。</w:t>
            </w:r>
          </w:p>
          <w:p>
            <w:pPr>
              <w:widowControl w:val="0"/>
              <w:adjustRightInd w:val="0"/>
              <w:snapToGrid w:val="0"/>
              <w:spacing w:line="360" w:lineRule="auto"/>
              <w:ind w:left="480"/>
              <w:rPr>
                <w:rFonts w:ascii="Times New Roman" w:hAnsi="Times New Roman"/>
                <w:color w:val="auto"/>
                <w:sz w:val="24"/>
                <w:szCs w:val="24"/>
              </w:rPr>
            </w:pPr>
            <w:r>
              <w:rPr>
                <w:rFonts w:ascii="Times New Roman" w:hAnsi="Times New Roman"/>
                <w:color w:val="auto"/>
                <w:sz w:val="24"/>
                <w:szCs w:val="24"/>
              </w:rPr>
              <w:t>2、项目主要产污环节</w:t>
            </w:r>
          </w:p>
          <w:p>
            <w:pPr>
              <w:widowControl w:val="0"/>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根据生产工艺流程，项目</w:t>
            </w:r>
            <w:r>
              <w:rPr>
                <w:rFonts w:hint="eastAsia" w:ascii="Times New Roman" w:hAnsi="Times New Roman"/>
                <w:color w:val="auto"/>
                <w:sz w:val="24"/>
                <w:szCs w:val="24"/>
              </w:rPr>
              <w:t>运营期</w:t>
            </w:r>
            <w:r>
              <w:rPr>
                <w:rFonts w:ascii="Times New Roman" w:hAnsi="Times New Roman"/>
                <w:color w:val="auto"/>
                <w:sz w:val="24"/>
                <w:szCs w:val="24"/>
              </w:rPr>
              <w:t>污染</w:t>
            </w:r>
            <w:r>
              <w:rPr>
                <w:rFonts w:hint="eastAsia" w:ascii="Times New Roman" w:hAnsi="Times New Roman"/>
                <w:color w:val="auto"/>
                <w:sz w:val="24"/>
                <w:szCs w:val="24"/>
              </w:rPr>
              <w:t>物</w:t>
            </w:r>
            <w:r>
              <w:rPr>
                <w:rFonts w:ascii="Times New Roman" w:hAnsi="Times New Roman"/>
                <w:color w:val="auto"/>
                <w:sz w:val="24"/>
                <w:szCs w:val="24"/>
              </w:rPr>
              <w:t>的</w:t>
            </w:r>
            <w:r>
              <w:rPr>
                <w:rFonts w:hint="eastAsia" w:ascii="Times New Roman" w:hAnsi="Times New Roman"/>
                <w:color w:val="auto"/>
                <w:sz w:val="24"/>
                <w:szCs w:val="24"/>
              </w:rPr>
              <w:t>产生</w:t>
            </w:r>
            <w:r>
              <w:rPr>
                <w:rFonts w:ascii="Times New Roman" w:hAnsi="Times New Roman"/>
                <w:color w:val="auto"/>
                <w:sz w:val="24"/>
                <w:szCs w:val="24"/>
              </w:rPr>
              <w:t>情况如下：</w:t>
            </w:r>
          </w:p>
          <w:p>
            <w:pPr>
              <w:widowControl w:val="0"/>
              <w:numPr>
                <w:ilvl w:val="0"/>
                <w:numId w:val="18"/>
              </w:num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废气：</w:t>
            </w:r>
            <w:r>
              <w:rPr>
                <w:rFonts w:hint="eastAsia" w:ascii="Times New Roman" w:hAnsi="Times New Roman"/>
                <w:color w:val="auto"/>
                <w:sz w:val="24"/>
                <w:szCs w:val="24"/>
              </w:rPr>
              <w:t>粗氦提取单元会从BOG气体中分离出氮气和富甲烷解析气，氦气精制单元析出的微量杂质气体，纯化器活化再生时采用热氮气+抽真空处理方式会产生吹扫氮气</w:t>
            </w:r>
            <w:r>
              <w:rPr>
                <w:rFonts w:ascii="Times New Roman" w:hAnsi="Times New Roman"/>
                <w:color w:val="auto"/>
                <w:sz w:val="24"/>
                <w:szCs w:val="24"/>
              </w:rPr>
              <w:t>；</w:t>
            </w:r>
          </w:p>
          <w:p>
            <w:pPr>
              <w:widowControl w:val="0"/>
              <w:numPr>
                <w:ilvl w:val="0"/>
                <w:numId w:val="18"/>
              </w:num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bCs/>
                <w:color w:val="auto"/>
                <w:sz w:val="24"/>
                <w:szCs w:val="24"/>
              </w:rPr>
              <w:t>废水：</w:t>
            </w:r>
            <w:r>
              <w:rPr>
                <w:rFonts w:hint="eastAsia" w:ascii="Times New Roman" w:hAnsi="Times New Roman"/>
                <w:bCs/>
                <w:color w:val="auto"/>
                <w:sz w:val="24"/>
                <w:szCs w:val="24"/>
              </w:rPr>
              <w:t>催化脱氢单元产生的脱氢冷凝水</w:t>
            </w:r>
            <w:r>
              <w:rPr>
                <w:rFonts w:ascii="Times New Roman" w:hAnsi="Times New Roman"/>
                <w:bCs/>
                <w:color w:val="auto"/>
                <w:sz w:val="24"/>
                <w:szCs w:val="24"/>
              </w:rPr>
              <w:t>；</w:t>
            </w:r>
          </w:p>
          <w:p>
            <w:pPr>
              <w:widowControl w:val="0"/>
              <w:adjustRightInd w:val="0"/>
              <w:snapToGrid w:val="0"/>
              <w:spacing w:line="360" w:lineRule="auto"/>
              <w:ind w:firstLine="480" w:firstLineChars="200"/>
              <w:rPr>
                <w:rFonts w:hint="eastAsia" w:ascii="Times New Roman" w:hAnsi="Times New Roman"/>
                <w:color w:val="auto"/>
                <w:sz w:val="24"/>
                <w:szCs w:val="24"/>
              </w:rPr>
            </w:pPr>
            <w:r>
              <w:rPr>
                <w:rFonts w:ascii="Times New Roman" w:hAnsi="Times New Roman"/>
                <w:bCs/>
                <w:color w:val="auto"/>
                <w:sz w:val="24"/>
                <w:szCs w:val="24"/>
              </w:rPr>
              <w:t>噪声：</w:t>
            </w:r>
            <w:r>
              <w:rPr>
                <w:rFonts w:hint="eastAsia" w:ascii="Times New Roman" w:hAnsi="Times New Roman"/>
                <w:color w:val="auto"/>
                <w:sz w:val="24"/>
                <w:szCs w:val="24"/>
              </w:rPr>
              <w:t>提氦装置运行时，每个单元中各类压缩机、泵类设施产生的噪声；</w:t>
            </w:r>
          </w:p>
          <w:p>
            <w:pPr>
              <w:widowControl w:val="0"/>
              <w:adjustRightInd w:val="0"/>
              <w:snapToGrid w:val="0"/>
              <w:spacing w:line="360" w:lineRule="auto"/>
              <w:ind w:firstLine="480" w:firstLineChars="200"/>
              <w:rPr>
                <w:rFonts w:ascii="Times New Roman" w:hAnsi="Times New Roman"/>
                <w:b/>
                <w:bCs/>
                <w:color w:val="auto"/>
                <w:sz w:val="24"/>
                <w:szCs w:val="24"/>
              </w:rPr>
            </w:pPr>
            <w:r>
              <w:rPr>
                <w:rFonts w:hint="eastAsia" w:ascii="Times New Roman" w:hAnsi="Times New Roman"/>
                <w:color w:val="auto"/>
                <w:sz w:val="24"/>
                <w:szCs w:val="24"/>
              </w:rPr>
              <w:t>（4）固废：粗氦提取单元产生废分子筛和废润滑油，催化脱氢单元产生废催化剂、废分子筛、废润滑油，氦气精制单元产生废活性炭和废润滑油</w:t>
            </w:r>
            <w:r>
              <w:rPr>
                <w:rFonts w:ascii="Times New Roman" w:hAnsi="Times New Roman"/>
                <w:bCs/>
                <w:color w:val="auto"/>
                <w:sz w:val="24"/>
                <w:szCs w:val="24"/>
              </w:rPr>
              <w:t>。</w:t>
            </w:r>
            <w:bookmarkEnd w:id="2"/>
            <w:bookmarkEnd w:id="3"/>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11" w:type="pct"/>
            <w:vAlign w:val="center"/>
          </w:tcPr>
          <w:p>
            <w:pPr>
              <w:adjustRightInd w:val="0"/>
              <w:snapToGrid w:val="0"/>
              <w:jc w:val="center"/>
              <w:rPr>
                <w:rFonts w:ascii="Times New Roman" w:hAnsi="Times New Roman"/>
                <w:b/>
                <w:bCs/>
                <w:color w:val="auto"/>
                <w:kern w:val="0"/>
                <w:sz w:val="24"/>
                <w:szCs w:val="24"/>
              </w:rPr>
            </w:pPr>
            <w:r>
              <w:rPr>
                <w:rFonts w:ascii="Times New Roman" w:hAnsi="Times New Roman"/>
                <w:b/>
                <w:bCs/>
                <w:color w:val="auto"/>
                <w:sz w:val="24"/>
                <w:szCs w:val="24"/>
              </w:rPr>
              <w:t>与项目有关的原有环境污染问题</w:t>
            </w:r>
          </w:p>
        </w:tc>
        <w:tc>
          <w:tcPr>
            <w:tcW w:w="4789" w:type="pct"/>
          </w:tcPr>
          <w:p>
            <w:pPr>
              <w:widowControl w:val="0"/>
              <w:adjustRightInd w:val="0"/>
              <w:spacing w:line="360" w:lineRule="auto"/>
              <w:ind w:firstLine="480" w:firstLineChars="200"/>
              <w:jc w:val="both"/>
              <w:rPr>
                <w:rFonts w:ascii="Times New Roman" w:hAnsi="Times New Roman"/>
                <w:b/>
                <w:bCs/>
                <w:color w:val="auto"/>
                <w:sz w:val="24"/>
                <w:szCs w:val="24"/>
              </w:rPr>
            </w:pPr>
            <w:r>
              <w:rPr>
                <w:rFonts w:hint="eastAsia" w:ascii="Times New Roman" w:hAnsi="Times New Roman"/>
                <w:color w:val="auto"/>
                <w:sz w:val="24"/>
                <w:szCs w:val="24"/>
              </w:rPr>
              <w:t>本项目拟在陕西靖边星源实业有限公司场地内预留空地上建设一条BOG提取氦气生产线，</w:t>
            </w:r>
            <w:r>
              <w:rPr>
                <w:rFonts w:hint="eastAsia" w:ascii="Times New Roman" w:hAnsi="Times New Roman"/>
                <w:color w:val="auto"/>
                <w:sz w:val="24"/>
                <w:szCs w:val="24"/>
                <w:lang w:eastAsia="zh-CN"/>
              </w:rPr>
              <w:t>公司场地内已建设了两期项目，本项目供水、排水（雨水、污水）、供电、供暖、道路、通讯、办公生活等配套设施均依托两期现有项目，其中除生产污水处理设施依托二期项目外，配套基础设施均依托一期项目，项目提氦生产线的</w:t>
            </w:r>
            <w:r>
              <w:rPr>
                <w:rFonts w:hint="eastAsia" w:ascii="Times New Roman" w:hAnsi="Times New Roman"/>
                <w:color w:val="auto"/>
                <w:sz w:val="24"/>
                <w:szCs w:val="24"/>
              </w:rPr>
              <w:t>原料</w:t>
            </w:r>
            <w:r>
              <w:rPr>
                <w:rFonts w:hint="eastAsia" w:ascii="Times New Roman" w:hAnsi="Times New Roman"/>
                <w:color w:val="auto"/>
                <w:sz w:val="24"/>
                <w:szCs w:val="24"/>
                <w:lang w:eastAsia="zh-CN"/>
              </w:rPr>
              <w:t>气</w:t>
            </w:r>
            <w:r>
              <w:rPr>
                <w:rFonts w:hint="eastAsia" w:ascii="Times New Roman" w:hAnsi="Times New Roman"/>
                <w:color w:val="auto"/>
                <w:sz w:val="24"/>
                <w:szCs w:val="24"/>
                <w:lang w:val="en-US" w:eastAsia="zh-CN"/>
              </w:rPr>
              <w:t>BOG</w:t>
            </w:r>
            <w:r>
              <w:rPr>
                <w:rFonts w:hint="eastAsia" w:ascii="Times New Roman" w:hAnsi="Times New Roman"/>
                <w:color w:val="auto"/>
                <w:sz w:val="24"/>
                <w:szCs w:val="24"/>
              </w:rPr>
              <w:t>为现有二期</w:t>
            </w:r>
            <w:r>
              <w:rPr>
                <w:rFonts w:hint="eastAsia" w:ascii="Times New Roman" w:hAnsi="Times New Roman"/>
                <w:color w:val="auto"/>
                <w:sz w:val="24"/>
                <w:szCs w:val="24"/>
                <w:lang w:eastAsia="zh-CN"/>
              </w:rPr>
              <w:t>项目</w:t>
            </w:r>
            <w:r>
              <w:rPr>
                <w:rFonts w:hint="eastAsia" w:ascii="Times New Roman" w:hAnsi="Times New Roman"/>
                <w:color w:val="auto"/>
                <w:sz w:val="24"/>
                <w:szCs w:val="24"/>
              </w:rPr>
              <w:t>生产过程中产生的BOG尾气。</w:t>
            </w:r>
          </w:p>
          <w:p>
            <w:pPr>
              <w:widowControl w:val="0"/>
              <w:adjustRightInd w:val="0"/>
              <w:spacing w:line="360" w:lineRule="auto"/>
              <w:jc w:val="both"/>
              <w:rPr>
                <w:rFonts w:ascii="Times New Roman" w:hAnsi="Times New Roman"/>
                <w:b/>
                <w:bCs/>
                <w:color w:val="auto"/>
                <w:sz w:val="24"/>
                <w:szCs w:val="24"/>
              </w:rPr>
            </w:pPr>
            <w:r>
              <w:rPr>
                <w:rFonts w:ascii="Times New Roman" w:hAnsi="Times New Roman"/>
                <w:b/>
                <w:bCs/>
                <w:color w:val="auto"/>
                <w:sz w:val="24"/>
                <w:szCs w:val="24"/>
              </w:rPr>
              <w:t>1、现有工程简述</w:t>
            </w:r>
          </w:p>
          <w:p>
            <w:pPr>
              <w:widowControl w:val="0"/>
              <w:adjustRightInd w:val="0"/>
              <w:spacing w:line="360" w:lineRule="auto"/>
              <w:ind w:firstLine="480" w:firstLineChars="200"/>
              <w:jc w:val="both"/>
              <w:rPr>
                <w:rFonts w:ascii="Times New Roman" w:hAnsi="Times New Roman"/>
                <w:bCs/>
                <w:color w:val="auto"/>
                <w:sz w:val="24"/>
                <w:szCs w:val="24"/>
              </w:rPr>
            </w:pPr>
            <w:r>
              <w:rPr>
                <w:rFonts w:hint="eastAsia" w:ascii="Times New Roman" w:hAnsi="Times New Roman"/>
                <w:color w:val="auto"/>
                <w:sz w:val="24"/>
                <w:szCs w:val="24"/>
              </w:rPr>
              <w:t>现有工程分两期建设，其中一期项目（陕西靖边星源实业有限公司天然气城市调峰及综合利用项目）占地面积491亩，建设规模为日</w:t>
            </w:r>
            <w:r>
              <w:rPr>
                <w:rFonts w:ascii="Times New Roman" w:hAnsi="Times New Roman"/>
                <w:color w:val="auto"/>
                <w:sz w:val="24"/>
                <w:szCs w:val="24"/>
              </w:rPr>
              <w:t>净化天然气</w:t>
            </w:r>
            <w:r>
              <w:rPr>
                <w:rFonts w:hint="eastAsia" w:ascii="Times New Roman" w:hAnsi="Times New Roman"/>
                <w:color w:val="auto"/>
                <w:sz w:val="24"/>
                <w:szCs w:val="24"/>
              </w:rPr>
              <w:t>120</w:t>
            </w:r>
            <w:r>
              <w:rPr>
                <w:rFonts w:hint="eastAsia" w:ascii="宋体" w:hAnsi="宋体"/>
                <w:color w:val="auto"/>
                <w:sz w:val="24"/>
                <w:szCs w:val="24"/>
              </w:rPr>
              <w:t>×</w:t>
            </w:r>
            <w:r>
              <w:rPr>
                <w:rFonts w:hint="eastAsia" w:ascii="Times New Roman" w:hAnsi="Times New Roman"/>
                <w:color w:val="auto"/>
                <w:sz w:val="24"/>
                <w:szCs w:val="24"/>
              </w:rPr>
              <w:t>10</w:t>
            </w:r>
            <w:r>
              <w:rPr>
                <w:rFonts w:hint="eastAsia" w:ascii="Times New Roman" w:hAnsi="Times New Roman"/>
                <w:color w:val="auto"/>
                <w:sz w:val="24"/>
                <w:szCs w:val="24"/>
                <w:vertAlign w:val="superscript"/>
              </w:rPr>
              <w:t>4</w:t>
            </w:r>
            <w:r>
              <w:rPr>
                <w:rFonts w:hint="eastAsia" w:ascii="Times New Roman" w:hAnsi="Times New Roman"/>
                <w:color w:val="auto"/>
                <w:sz w:val="24"/>
                <w:szCs w:val="24"/>
              </w:rPr>
              <w:t>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（0</w:t>
            </w:r>
            <w:r>
              <w:rPr>
                <w:rFonts w:hint="eastAsia" w:ascii="微软雅黑" w:hAnsi="微软雅黑" w:eastAsia="微软雅黑" w:cs="微软雅黑"/>
                <w:color w:val="auto"/>
                <w:sz w:val="24"/>
                <w:szCs w:val="24"/>
              </w:rPr>
              <w:t>℃</w:t>
            </w:r>
            <w:r>
              <w:rPr>
                <w:rFonts w:hint="eastAsia" w:ascii="Times New Roman" w:hAnsi="Times New Roman"/>
                <w:color w:val="auto"/>
                <w:sz w:val="24"/>
                <w:szCs w:val="24"/>
              </w:rPr>
              <w:t>，0.101325MPa·A），产液化天然气1850m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/d（793.56t/d），液化天然气储存规模为20000m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w:t>
            </w:r>
            <w:r>
              <w:rPr>
                <w:rFonts w:ascii="Times New Roman" w:hAnsi="Times New Roman"/>
                <w:color w:val="auto"/>
                <w:sz w:val="24"/>
                <w:szCs w:val="24"/>
              </w:rPr>
              <w:t>二期项目</w:t>
            </w:r>
            <w:r>
              <w:rPr>
                <w:rFonts w:hint="eastAsia" w:ascii="Times New Roman" w:hAnsi="Times New Roman"/>
                <w:color w:val="auto"/>
                <w:sz w:val="24"/>
                <w:szCs w:val="24"/>
              </w:rPr>
              <w:t>（陕西靖边星源实业有限公司年生产30万吨车用液化天然气项目）</w:t>
            </w:r>
            <w:r>
              <w:rPr>
                <w:rFonts w:ascii="Times New Roman" w:hAnsi="Times New Roman"/>
                <w:color w:val="auto"/>
                <w:sz w:val="24"/>
                <w:szCs w:val="24"/>
              </w:rPr>
              <w:t>在一期项目的基础上进行</w:t>
            </w:r>
            <w:r>
              <w:rPr>
                <w:rFonts w:hint="eastAsia" w:ascii="Times New Roman" w:hAnsi="Times New Roman"/>
                <w:color w:val="auto"/>
                <w:sz w:val="24"/>
                <w:szCs w:val="24"/>
              </w:rPr>
              <w:t>扩建</w:t>
            </w:r>
            <w:r>
              <w:rPr>
                <w:rFonts w:ascii="Times New Roman" w:hAnsi="Times New Roman"/>
                <w:color w:val="auto"/>
                <w:sz w:val="24"/>
                <w:szCs w:val="24"/>
              </w:rPr>
              <w:t>，</w:t>
            </w:r>
            <w:r>
              <w:rPr>
                <w:rFonts w:hint="eastAsia" w:ascii="Times New Roman" w:hAnsi="Times New Roman"/>
                <w:color w:val="auto"/>
                <w:sz w:val="24"/>
                <w:szCs w:val="24"/>
              </w:rPr>
              <w:t>占地约75亩，建设规模为日</w:t>
            </w:r>
            <w:r>
              <w:rPr>
                <w:rFonts w:ascii="Times New Roman" w:hAnsi="Times New Roman"/>
                <w:color w:val="auto"/>
                <w:sz w:val="24"/>
                <w:szCs w:val="24"/>
              </w:rPr>
              <w:t>净化天然气</w:t>
            </w:r>
            <w:r>
              <w:rPr>
                <w:rFonts w:hint="eastAsia" w:ascii="Times New Roman" w:hAnsi="Times New Roman"/>
                <w:color w:val="auto"/>
                <w:sz w:val="24"/>
                <w:szCs w:val="24"/>
              </w:rPr>
              <w:t>150</w:t>
            </w:r>
            <w:r>
              <w:rPr>
                <w:rFonts w:hint="eastAsia" w:ascii="宋体" w:hAnsi="宋体"/>
                <w:color w:val="auto"/>
                <w:sz w:val="24"/>
                <w:szCs w:val="24"/>
              </w:rPr>
              <w:t>×</w:t>
            </w:r>
            <w:r>
              <w:rPr>
                <w:rFonts w:hint="eastAsia" w:ascii="Times New Roman" w:hAnsi="Times New Roman"/>
                <w:color w:val="auto"/>
                <w:sz w:val="24"/>
                <w:szCs w:val="24"/>
              </w:rPr>
              <w:t>10</w:t>
            </w:r>
            <w:r>
              <w:rPr>
                <w:rFonts w:hint="eastAsia" w:ascii="Times New Roman" w:hAnsi="Times New Roman"/>
                <w:color w:val="auto"/>
                <w:sz w:val="24"/>
                <w:szCs w:val="24"/>
                <w:vertAlign w:val="superscript"/>
              </w:rPr>
              <w:t>4</w:t>
            </w:r>
            <w:r>
              <w:rPr>
                <w:rFonts w:hint="eastAsia" w:ascii="Times New Roman" w:hAnsi="Times New Roman"/>
                <w:color w:val="auto"/>
                <w:sz w:val="24"/>
                <w:szCs w:val="24"/>
              </w:rPr>
              <w:t>m</w:t>
            </w:r>
            <w:r>
              <w:rPr>
                <w:rFonts w:hint="eastAsia" w:ascii="Times New Roman" w:hAnsi="Times New Roman"/>
                <w:color w:val="auto"/>
                <w:sz w:val="24"/>
                <w:szCs w:val="24"/>
                <w:vertAlign w:val="superscript"/>
              </w:rPr>
              <w:t>3</w:t>
            </w:r>
            <w:r>
              <w:rPr>
                <w:rFonts w:ascii="Times New Roman" w:hAnsi="Times New Roman"/>
                <w:color w:val="auto"/>
                <w:sz w:val="24"/>
                <w:szCs w:val="24"/>
              </w:rPr>
              <w:t>，产品为车用液化天然气（</w:t>
            </w:r>
            <w:r>
              <w:rPr>
                <w:rFonts w:hint="eastAsia" w:ascii="Times New Roman" w:hAnsi="Times New Roman"/>
                <w:color w:val="auto"/>
                <w:sz w:val="24"/>
                <w:szCs w:val="24"/>
              </w:rPr>
              <w:t>LNG</w:t>
            </w:r>
            <w:r>
              <w:rPr>
                <w:rFonts w:ascii="Times New Roman" w:hAnsi="Times New Roman"/>
                <w:color w:val="auto"/>
                <w:sz w:val="24"/>
                <w:szCs w:val="24"/>
              </w:rPr>
              <w:t>）</w:t>
            </w:r>
            <w:r>
              <w:rPr>
                <w:rFonts w:hint="eastAsia" w:ascii="Times New Roman" w:hAnsi="Times New Roman"/>
                <w:color w:val="auto"/>
                <w:sz w:val="24"/>
                <w:szCs w:val="24"/>
              </w:rPr>
              <w:t>，年产量为30万吨，LNG储存规模为20000m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一期项目工艺选用美国B&amp;V公司的PRICO专利混合冷剂单循环液化的生产工艺。二期项目采用MDEA溶液脱除酸性气体、分子筛变温吸附工艺脱水，浸硫活性炭脱汞、脱苯的净化工艺，采用低温分离脱重烃，混合冷剂制冷液化工艺，LNG存储采用常压低温储存工艺。两期项目共有员工88+73（161）人，年运行时间</w:t>
            </w:r>
            <w:r>
              <w:rPr>
                <w:rFonts w:hint="eastAsia" w:ascii="Times New Roman" w:hAnsi="Times New Roman"/>
                <w:color w:val="auto"/>
                <w:sz w:val="24"/>
                <w:szCs w:val="24"/>
                <w:lang w:eastAsia="zh-CN"/>
              </w:rPr>
              <w:t>均为</w:t>
            </w:r>
            <w:r>
              <w:rPr>
                <w:rFonts w:hint="eastAsia" w:ascii="Times New Roman" w:hAnsi="Times New Roman"/>
                <w:color w:val="auto"/>
                <w:sz w:val="24"/>
                <w:szCs w:val="24"/>
              </w:rPr>
              <w:t>8000h，约333d。工作制为四班三运转，每班日工作8h。</w:t>
            </w:r>
          </w:p>
          <w:p>
            <w:pPr>
              <w:widowControl w:val="0"/>
              <w:adjustRightInd w:val="0"/>
              <w:spacing w:line="360" w:lineRule="auto"/>
              <w:ind w:firstLine="480" w:firstLineChars="200"/>
              <w:jc w:val="both"/>
              <w:rPr>
                <w:rFonts w:ascii="Times New Roman" w:hAnsi="Times New Roman"/>
                <w:bCs/>
                <w:color w:val="auto"/>
                <w:sz w:val="24"/>
                <w:szCs w:val="24"/>
              </w:rPr>
            </w:pPr>
            <w:r>
              <w:rPr>
                <w:rFonts w:hint="eastAsia" w:ascii="Times New Roman" w:hAnsi="Times New Roman"/>
                <w:bCs/>
                <w:color w:val="auto"/>
                <w:sz w:val="24"/>
                <w:szCs w:val="24"/>
              </w:rPr>
              <w:t>现有工程环保手续履行情况见表14。</w:t>
            </w:r>
          </w:p>
          <w:p>
            <w:pPr>
              <w:widowControl w:val="0"/>
              <w:numPr>
                <w:ilvl w:val="0"/>
                <w:numId w:val="13"/>
              </w:numPr>
              <w:jc w:val="center"/>
              <w:rPr>
                <w:rFonts w:ascii="Times New Roman" w:hAnsi="Times New Roman"/>
                <w:b/>
                <w:color w:val="auto"/>
                <w:sz w:val="24"/>
                <w:szCs w:val="24"/>
              </w:rPr>
            </w:pPr>
            <w:r>
              <w:rPr>
                <w:rFonts w:hint="eastAsia" w:ascii="Times New Roman" w:hAnsi="Times New Roman"/>
                <w:b/>
                <w:color w:val="auto"/>
                <w:sz w:val="24"/>
                <w:szCs w:val="24"/>
              </w:rPr>
              <w:t>现有工程环评手续履行情况一览表</w:t>
            </w:r>
          </w:p>
          <w:tbl>
            <w:tblPr>
              <w:tblStyle w:val="91"/>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2358"/>
              <w:gridCol w:w="1484"/>
              <w:gridCol w:w="2117"/>
              <w:gridCol w:w="1103"/>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609"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序号</w:t>
                  </w:r>
                </w:p>
              </w:tc>
              <w:tc>
                <w:tcPr>
                  <w:tcW w:w="235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报告名称</w:t>
                  </w:r>
                </w:p>
              </w:tc>
              <w:tc>
                <w:tcPr>
                  <w:tcW w:w="1484"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编制单位</w:t>
                  </w:r>
                </w:p>
              </w:tc>
              <w:tc>
                <w:tcPr>
                  <w:tcW w:w="2117"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批复文号及时间</w:t>
                  </w:r>
                </w:p>
              </w:tc>
              <w:tc>
                <w:tcPr>
                  <w:tcW w:w="1103"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审批单位</w:t>
                  </w:r>
                </w:p>
              </w:tc>
              <w:tc>
                <w:tcPr>
                  <w:tcW w:w="1006"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609"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w:t>
                  </w:r>
                </w:p>
              </w:tc>
              <w:tc>
                <w:tcPr>
                  <w:tcW w:w="235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《陕西靖边星源实业有限公司天然气城市调峰及综合利用项目环境影响报告书》</w:t>
                  </w:r>
                </w:p>
              </w:tc>
              <w:tc>
                <w:tcPr>
                  <w:tcW w:w="1484"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榆林市环境科技咨询服务部</w:t>
                  </w:r>
                </w:p>
              </w:tc>
              <w:tc>
                <w:tcPr>
                  <w:tcW w:w="2117"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榆政环发〔2011〕27号，2011年1月27日</w:t>
                  </w:r>
                </w:p>
              </w:tc>
              <w:tc>
                <w:tcPr>
                  <w:tcW w:w="1103"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原榆林市环境保护局</w:t>
                  </w:r>
                </w:p>
              </w:tc>
              <w:tc>
                <w:tcPr>
                  <w:tcW w:w="1006"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4" w:hRule="atLeast"/>
              </w:trPr>
              <w:tc>
                <w:tcPr>
                  <w:tcW w:w="609"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w:t>
                  </w:r>
                </w:p>
              </w:tc>
              <w:tc>
                <w:tcPr>
                  <w:tcW w:w="235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《陕西靖边星源实业有限公司天然气城市调峰及综合利用项目噪声、固体废物污染防治设施竣工环境保护验收监测报告表》</w:t>
                  </w:r>
                </w:p>
              </w:tc>
              <w:tc>
                <w:tcPr>
                  <w:tcW w:w="1484"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陕西华邦检测服务有限公司</w:t>
                  </w:r>
                </w:p>
              </w:tc>
              <w:tc>
                <w:tcPr>
                  <w:tcW w:w="2117"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榆政环批复〔2018〕37号，2018年4月26日</w:t>
                  </w:r>
                </w:p>
              </w:tc>
              <w:tc>
                <w:tcPr>
                  <w:tcW w:w="1103"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原榆林市环境保护局</w:t>
                  </w:r>
                </w:p>
              </w:tc>
              <w:tc>
                <w:tcPr>
                  <w:tcW w:w="1006"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废气自验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09"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3</w:t>
                  </w:r>
                </w:p>
              </w:tc>
              <w:tc>
                <w:tcPr>
                  <w:tcW w:w="2358"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《陕西靖边星源实业有限公司年生产30万吨车用液化天然气项目环境影响报告书》</w:t>
                  </w:r>
                </w:p>
              </w:tc>
              <w:tc>
                <w:tcPr>
                  <w:tcW w:w="1484"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榆林市优悦环保科技咨询有限公司</w:t>
                  </w:r>
                </w:p>
              </w:tc>
              <w:tc>
                <w:tcPr>
                  <w:tcW w:w="2117"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榆政审批生态发〔2020〕241号，2020年12月22日</w:t>
                  </w:r>
                </w:p>
              </w:tc>
              <w:tc>
                <w:tcPr>
                  <w:tcW w:w="1103"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榆林市行政审批服务局</w:t>
                  </w:r>
                </w:p>
              </w:tc>
              <w:tc>
                <w:tcPr>
                  <w:tcW w:w="1006" w:type="dxa"/>
                  <w:vAlign w:val="center"/>
                </w:tcPr>
                <w:p>
                  <w:pPr>
                    <w:widowControl w:val="0"/>
                    <w:autoSpaceDE w:val="0"/>
                    <w:autoSpaceDN w:val="0"/>
                    <w:adjustRightInd w:val="0"/>
                    <w:snapToGri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609" w:type="dxa"/>
                  <w:vAlign w:val="center"/>
                </w:tcPr>
                <w:p>
                  <w:pPr>
                    <w:widowControl w:val="0"/>
                    <w:autoSpaceDE w:val="0"/>
                    <w:autoSpaceDN w:val="0"/>
                    <w:adjustRightInd w:val="0"/>
                    <w:snapToGrid w:val="0"/>
                    <w:spacing w:line="240" w:lineRule="auto"/>
                    <w:ind w:firstLine="0"/>
                    <w:jc w:val="center"/>
                    <w:textAlignment w:val="baseline"/>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4</w:t>
                  </w:r>
                </w:p>
              </w:tc>
              <w:tc>
                <w:tcPr>
                  <w:tcW w:w="2358" w:type="dxa"/>
                  <w:vAlign w:val="center"/>
                </w:tcPr>
                <w:p>
                  <w:pPr>
                    <w:widowControl w:val="0"/>
                    <w:autoSpaceDE w:val="0"/>
                    <w:autoSpaceDN w:val="0"/>
                    <w:adjustRightInd w:val="0"/>
                    <w:snapToGrid w:val="0"/>
                    <w:spacing w:line="240" w:lineRule="auto"/>
                    <w:ind w:firstLine="0"/>
                    <w:jc w:val="center"/>
                    <w:textAlignment w:val="baseline"/>
                    <w:rPr>
                      <w:rFonts w:hint="eastAsia" w:ascii="Times New Roman" w:hAnsi="Times New Roman" w:eastAsia="宋体"/>
                      <w:color w:val="auto"/>
                      <w:kern w:val="0"/>
                      <w:szCs w:val="21"/>
                      <w:lang w:eastAsia="zh-CN"/>
                    </w:rPr>
                  </w:pPr>
                  <w:r>
                    <w:rPr>
                      <w:rFonts w:hint="eastAsia" w:ascii="Times New Roman" w:hAnsi="Times New Roman"/>
                      <w:color w:val="auto"/>
                      <w:kern w:val="0"/>
                      <w:szCs w:val="21"/>
                      <w:highlight w:val="none"/>
                      <w:lang w:eastAsia="zh-CN"/>
                    </w:rPr>
                    <w:t>排污许可证</w:t>
                  </w:r>
                </w:p>
              </w:tc>
              <w:tc>
                <w:tcPr>
                  <w:tcW w:w="1484" w:type="dxa"/>
                  <w:vAlign w:val="center"/>
                </w:tcPr>
                <w:p>
                  <w:pPr>
                    <w:widowControl w:val="0"/>
                    <w:autoSpaceDE w:val="0"/>
                    <w:autoSpaceDN w:val="0"/>
                    <w:adjustRightInd w:val="0"/>
                    <w:snapToGrid w:val="0"/>
                    <w:spacing w:line="240" w:lineRule="auto"/>
                    <w:ind w:firstLine="0"/>
                    <w:jc w:val="center"/>
                    <w:textAlignment w:val="baseline"/>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rPr>
                    <w:t>榆林市优悦环保科技咨询有限公司</w:t>
                  </w:r>
                </w:p>
              </w:tc>
              <w:tc>
                <w:tcPr>
                  <w:tcW w:w="2117" w:type="dxa"/>
                  <w:vAlign w:val="center"/>
                </w:tcPr>
                <w:p>
                  <w:pPr>
                    <w:widowControl w:val="0"/>
                    <w:autoSpaceDE w:val="0"/>
                    <w:autoSpaceDN w:val="0"/>
                    <w:adjustRightInd w:val="0"/>
                    <w:snapToGrid w:val="0"/>
                    <w:spacing w:line="240" w:lineRule="auto"/>
                    <w:ind w:firstLine="0"/>
                    <w:jc w:val="center"/>
                    <w:textAlignment w:val="baseline"/>
                    <w:rPr>
                      <w:rFonts w:hint="eastAsia"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w:t>
                  </w:r>
                </w:p>
              </w:tc>
              <w:tc>
                <w:tcPr>
                  <w:tcW w:w="1103" w:type="dxa"/>
                  <w:vAlign w:val="center"/>
                </w:tcPr>
                <w:p>
                  <w:pPr>
                    <w:widowControl w:val="0"/>
                    <w:autoSpaceDE w:val="0"/>
                    <w:autoSpaceDN w:val="0"/>
                    <w:adjustRightInd w:val="0"/>
                    <w:snapToGrid w:val="0"/>
                    <w:spacing w:line="240" w:lineRule="auto"/>
                    <w:ind w:firstLine="0"/>
                    <w:jc w:val="center"/>
                    <w:textAlignment w:val="baseline"/>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highlight w:val="none"/>
                      <w:lang w:val="en-US" w:eastAsia="zh-CN"/>
                    </w:rPr>
                    <w:t>榆林市生态环境局减排办</w:t>
                  </w:r>
                </w:p>
              </w:tc>
              <w:tc>
                <w:tcPr>
                  <w:tcW w:w="1006" w:type="dxa"/>
                  <w:vAlign w:val="center"/>
                </w:tcPr>
                <w:p>
                  <w:pPr>
                    <w:widowControl w:val="0"/>
                    <w:autoSpaceDE w:val="0"/>
                    <w:autoSpaceDN w:val="0"/>
                    <w:adjustRightInd w:val="0"/>
                    <w:snapToGrid w:val="0"/>
                    <w:spacing w:line="240" w:lineRule="auto"/>
                    <w:ind w:firstLine="0"/>
                    <w:jc w:val="center"/>
                    <w:textAlignment w:val="baseline"/>
                    <w:rPr>
                      <w:rFonts w:hint="default" w:ascii="Times New Roman" w:hAnsi="Times New Roman" w:eastAsia="宋体"/>
                      <w:color w:val="auto"/>
                      <w:kern w:val="0"/>
                      <w:szCs w:val="21"/>
                      <w:lang w:val="en-US" w:eastAsia="zh-CN"/>
                    </w:rPr>
                  </w:pPr>
                  <w:r>
                    <w:rPr>
                      <w:rFonts w:hint="eastAsia" w:ascii="Times New Roman" w:hAnsi="Times New Roman"/>
                      <w:color w:val="auto"/>
                      <w:kern w:val="0"/>
                      <w:szCs w:val="21"/>
                      <w:lang w:val="en-US" w:eastAsia="zh-CN"/>
                    </w:rPr>
                    <w:t>2022年10月1日上会并通过</w:t>
                  </w:r>
                </w:p>
              </w:tc>
            </w:tr>
          </w:tbl>
          <w:p>
            <w:pPr>
              <w:widowControl w:val="0"/>
              <w:adjustRightInd w:val="0"/>
              <w:spacing w:line="360" w:lineRule="auto"/>
              <w:ind w:firstLine="480" w:firstLineChars="200"/>
              <w:jc w:val="both"/>
              <w:rPr>
                <w:rFonts w:ascii="Times New Roman" w:hAnsi="Times New Roman"/>
                <w:bCs/>
                <w:color w:val="auto"/>
                <w:sz w:val="24"/>
                <w:szCs w:val="24"/>
              </w:rPr>
            </w:pPr>
            <w:r>
              <w:rPr>
                <w:rFonts w:hint="eastAsia" w:ascii="Times New Roman" w:hAnsi="Times New Roman"/>
                <w:bCs/>
                <w:color w:val="auto"/>
                <w:sz w:val="24"/>
                <w:szCs w:val="24"/>
              </w:rPr>
              <w:t>（1）</w:t>
            </w:r>
            <w:r>
              <w:rPr>
                <w:rFonts w:ascii="Times New Roman" w:hAnsi="Times New Roman"/>
                <w:bCs/>
                <w:color w:val="auto"/>
                <w:sz w:val="24"/>
                <w:szCs w:val="24"/>
              </w:rPr>
              <w:t>现有工程项目组成</w:t>
            </w:r>
          </w:p>
          <w:p>
            <w:pPr>
              <w:widowControl w:val="0"/>
              <w:adjustRightInd w:val="0"/>
              <w:spacing w:line="360" w:lineRule="auto"/>
              <w:ind w:firstLine="480" w:firstLineChars="200"/>
              <w:jc w:val="both"/>
              <w:rPr>
                <w:rFonts w:ascii="Times New Roman" w:hAnsi="Times New Roman"/>
                <w:bCs/>
                <w:color w:val="auto"/>
                <w:sz w:val="24"/>
                <w:szCs w:val="24"/>
              </w:rPr>
            </w:pPr>
            <w:r>
              <w:rPr>
                <w:rFonts w:hint="eastAsia" w:ascii="Times New Roman" w:hAnsi="Times New Roman"/>
                <w:bCs/>
                <w:color w:val="auto"/>
                <w:sz w:val="24"/>
                <w:szCs w:val="24"/>
              </w:rPr>
              <w:t>目前现有工程均已建成，处理总规模达到净化天然气270</w:t>
            </w:r>
            <w:r>
              <w:rPr>
                <w:rFonts w:hint="eastAsia" w:ascii="宋体" w:hAnsi="宋体"/>
                <w:color w:val="auto"/>
                <w:sz w:val="24"/>
                <w:szCs w:val="24"/>
              </w:rPr>
              <w:t>×</w:t>
            </w:r>
            <w:r>
              <w:rPr>
                <w:rFonts w:hint="eastAsia" w:ascii="Times New Roman" w:hAnsi="Times New Roman"/>
                <w:color w:val="auto"/>
                <w:sz w:val="24"/>
                <w:szCs w:val="24"/>
              </w:rPr>
              <w:t>10</w:t>
            </w:r>
            <w:r>
              <w:rPr>
                <w:rFonts w:hint="eastAsia" w:ascii="Times New Roman" w:hAnsi="Times New Roman"/>
                <w:color w:val="auto"/>
                <w:sz w:val="24"/>
                <w:szCs w:val="24"/>
                <w:vertAlign w:val="superscript"/>
              </w:rPr>
              <w:t>4</w:t>
            </w:r>
            <w:r>
              <w:rPr>
                <w:rFonts w:hint="eastAsia" w:ascii="Times New Roman" w:hAnsi="Times New Roman"/>
                <w:color w:val="auto"/>
                <w:sz w:val="24"/>
                <w:szCs w:val="24"/>
              </w:rPr>
              <w:t>m</w:t>
            </w:r>
            <w:r>
              <w:rPr>
                <w:rFonts w:hint="eastAsia" w:ascii="Times New Roman" w:hAnsi="Times New Roman"/>
                <w:color w:val="auto"/>
                <w:sz w:val="24"/>
                <w:szCs w:val="24"/>
                <w:vertAlign w:val="superscript"/>
              </w:rPr>
              <w:t>3</w:t>
            </w:r>
            <w:r>
              <w:rPr>
                <w:rFonts w:hint="eastAsia" w:ascii="Times New Roman" w:hAnsi="Times New Roman"/>
                <w:color w:val="auto"/>
                <w:sz w:val="24"/>
                <w:szCs w:val="24"/>
              </w:rPr>
              <w:t>/d，产液化天然气1694.46t/d。现有工程项目组成见表15。</w:t>
            </w:r>
          </w:p>
          <w:p>
            <w:pPr>
              <w:widowControl w:val="0"/>
              <w:numPr>
                <w:ilvl w:val="0"/>
                <w:numId w:val="13"/>
              </w:numPr>
              <w:ind w:left="0" w:firstLine="0"/>
              <w:jc w:val="center"/>
              <w:rPr>
                <w:rFonts w:hint="eastAsia" w:ascii="Times New Roman" w:hAnsi="Times New Roman"/>
                <w:b/>
                <w:color w:val="auto"/>
                <w:sz w:val="24"/>
                <w:szCs w:val="24"/>
              </w:rPr>
            </w:pPr>
            <w:r>
              <w:rPr>
                <w:rFonts w:ascii="Times New Roman" w:hAnsi="Times New Roman"/>
                <w:b/>
                <w:color w:val="auto"/>
                <w:sz w:val="24"/>
                <w:szCs w:val="24"/>
              </w:rPr>
              <w:t>现有工程项目组成一览表</w:t>
            </w:r>
          </w:p>
          <w:tbl>
            <w:tblPr>
              <w:tblStyle w:val="90"/>
              <w:tblpPr w:leftFromText="180" w:rightFromText="180" w:vertAnchor="text" w:horzAnchor="page" w:tblpXSpec="center" w:tblpY="486"/>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302"/>
              <w:gridCol w:w="581"/>
              <w:gridCol w:w="5544"/>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4" w:type="pct"/>
                  <w:tcMar>
                    <w:left w:w="0" w:type="dxa"/>
                    <w:right w:w="0" w:type="dxa"/>
                  </w:tcMar>
                  <w:vAlign w:val="center"/>
                </w:tcPr>
                <w:p>
                  <w:pPr>
                    <w:widowControl w:val="0"/>
                    <w:jc w:val="center"/>
                    <w:rPr>
                      <w:rFonts w:ascii="Times New Roman" w:hAnsi="Times New Roman"/>
                      <w:color w:val="auto"/>
                      <w:szCs w:val="21"/>
                    </w:rPr>
                  </w:pPr>
                  <w:r>
                    <w:rPr>
                      <w:rFonts w:ascii="Times New Roman" w:hAnsi="Times New Roman"/>
                      <w:color w:val="auto"/>
                      <w:szCs w:val="21"/>
                    </w:rPr>
                    <w:t>类别</w:t>
                  </w:r>
                </w:p>
              </w:tc>
              <w:tc>
                <w:tcPr>
                  <w:tcW w:w="751" w:type="pct"/>
                  <w:tcMar>
                    <w:left w:w="0" w:type="dxa"/>
                    <w:right w:w="0" w:type="dxa"/>
                  </w:tcMar>
                  <w:vAlign w:val="center"/>
                </w:tcPr>
                <w:p>
                  <w:pPr>
                    <w:widowControl w:val="0"/>
                    <w:jc w:val="center"/>
                    <w:rPr>
                      <w:rFonts w:ascii="Times New Roman" w:hAnsi="Times New Roman"/>
                      <w:color w:val="auto"/>
                      <w:szCs w:val="21"/>
                    </w:rPr>
                  </w:pPr>
                  <w:r>
                    <w:rPr>
                      <w:rFonts w:ascii="Times New Roman" w:hAnsi="Times New Roman"/>
                      <w:color w:val="auto"/>
                      <w:szCs w:val="21"/>
                    </w:rPr>
                    <w:t>项目</w:t>
                  </w:r>
                </w:p>
              </w:tc>
              <w:tc>
                <w:tcPr>
                  <w:tcW w:w="3533" w:type="pct"/>
                  <w:gridSpan w:val="2"/>
                  <w:tcMar>
                    <w:left w:w="0" w:type="dxa"/>
                    <w:right w:w="0" w:type="dxa"/>
                  </w:tcMar>
                  <w:vAlign w:val="center"/>
                </w:tcPr>
                <w:p>
                  <w:pPr>
                    <w:widowControl w:val="0"/>
                    <w:jc w:val="center"/>
                    <w:rPr>
                      <w:rFonts w:ascii="Times New Roman" w:hAnsi="Times New Roman"/>
                      <w:color w:val="auto"/>
                      <w:szCs w:val="21"/>
                    </w:rPr>
                  </w:pPr>
                  <w:r>
                    <w:rPr>
                      <w:rFonts w:ascii="Times New Roman" w:hAnsi="Times New Roman"/>
                      <w:color w:val="auto"/>
                      <w:szCs w:val="21"/>
                    </w:rPr>
                    <w:t>建设内容</w:t>
                  </w:r>
                </w:p>
              </w:tc>
              <w:tc>
                <w:tcPr>
                  <w:tcW w:w="440" w:type="pct"/>
                  <w:tcMar>
                    <w:left w:w="0" w:type="dxa"/>
                    <w:right w:w="0" w:type="dxa"/>
                  </w:tcMar>
                  <w:vAlign w:val="center"/>
                </w:tcPr>
                <w:p>
                  <w:pPr>
                    <w:widowControl w:val="0"/>
                    <w:jc w:val="center"/>
                    <w:rPr>
                      <w:rFonts w:ascii="Times New Roman" w:hAnsi="Times New Roman"/>
                      <w:color w:val="auto"/>
                      <w:szCs w:val="21"/>
                    </w:rPr>
                  </w:pPr>
                  <w:r>
                    <w:rPr>
                      <w:rFonts w:ascii="Times New Roman" w:hAnsi="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主体工程</w:t>
                  </w: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LNG过滤、计量、分离单元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处理原料气120×10</w:t>
                  </w:r>
                  <w:r>
                    <w:rPr>
                      <w:rFonts w:ascii="Times New Roman" w:hAnsi="Times New Roman"/>
                      <w:color w:val="auto"/>
                      <w:szCs w:val="21"/>
                      <w:vertAlign w:val="superscript"/>
                    </w:rPr>
                    <w:t>4</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/d；原料气过滤分离器1台，废液罐1座。</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LNG净化单元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胺吸收塔1座，胺解析塔1座，胺回流罐1座，闪蒸罐1座，胺分液罐1座，胺再沸器1台，进出料换热器1台，贫富胺换热器1台，贫胺活性炭过滤器1台，贫胺过滤器1台，循环泵2台，补充泵2台，增压泵各2台，分子筛过滤分离器1座，脱水塔2座，粉尘过滤器座，苯脱除塔1座，碳粉过滤器2座。</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LNG液化单元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冷剂吸入罐1座，冷机压缩机段间冷却器1套，段间缓冲罐1座，段间冷剂泵2台，冷剂冷凝器1套，冷剂出口分离器1座，冷剂泵2台，低压重组分换热器1座，高压重组分换热1座，开车换热器1座，冷箱2座，制冷剂压缩机1台。</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压缩单元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BOG压缩机1台及冷却装置1组，再生气压缩机2台及冷却装置1套。</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原料气调压、计量、分离单元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处理原料气150×10</w:t>
                  </w:r>
                  <w:r>
                    <w:rPr>
                      <w:rFonts w:ascii="Times New Roman" w:hAnsi="Times New Roman"/>
                      <w:color w:val="auto"/>
                      <w:szCs w:val="21"/>
                      <w:vertAlign w:val="superscript"/>
                    </w:rPr>
                    <w:t>4</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/d；装置区设原料气计量器1台，原料气进口分离器1台，废液罐1座10m</w:t>
                  </w:r>
                  <w:r>
                    <w:rPr>
                      <w:rFonts w:ascii="Times New Roman" w:hAnsi="Times New Roman"/>
                      <w:color w:val="auto"/>
                      <w:szCs w:val="21"/>
                      <w:vertAlign w:val="superscript"/>
                    </w:rPr>
                    <w:t>3</w:t>
                  </w:r>
                  <w:r>
                    <w:rPr>
                      <w:rFonts w:ascii="Times New Roman" w:hAnsi="Times New Roman"/>
                      <w:color w:val="auto"/>
                      <w:szCs w:val="21"/>
                    </w:rPr>
                    <w:t>。</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LNG净化单元</w:t>
                  </w:r>
                </w:p>
              </w:tc>
              <w:tc>
                <w:tcPr>
                  <w:tcW w:w="33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脱酸</w:t>
                  </w:r>
                </w:p>
              </w:tc>
              <w:tc>
                <w:tcPr>
                  <w:tcW w:w="3197"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采用MDEA工艺吸收法脱碳；设有原料气过滤器1台、净化气冷却器1台、净化气过滤分离器1台，胺吸收塔1座，胺再生塔1座，胺闪蒸罐1座，胺液储罐1座69.1m</w:t>
                  </w:r>
                  <w:r>
                    <w:rPr>
                      <w:rFonts w:ascii="Times New Roman" w:hAnsi="Times New Roman"/>
                      <w:color w:val="auto"/>
                      <w:szCs w:val="21"/>
                      <w:vertAlign w:val="superscript"/>
                    </w:rPr>
                    <w:t>3</w:t>
                  </w:r>
                  <w:r>
                    <w:rPr>
                      <w:rFonts w:ascii="Times New Roman" w:hAnsi="Times New Roman"/>
                      <w:color w:val="auto"/>
                      <w:szCs w:val="21"/>
                    </w:rPr>
                    <w:t>，胺缓冲罐1座3.43m</w:t>
                  </w:r>
                  <w:r>
                    <w:rPr>
                      <w:rFonts w:ascii="Times New Roman" w:hAnsi="Times New Roman"/>
                      <w:color w:val="auto"/>
                      <w:szCs w:val="21"/>
                      <w:vertAlign w:val="superscript"/>
                    </w:rPr>
                    <w:t>3</w:t>
                  </w:r>
                  <w:r>
                    <w:rPr>
                      <w:rFonts w:ascii="Times New Roman" w:hAnsi="Times New Roman"/>
                      <w:color w:val="auto"/>
                      <w:szCs w:val="21"/>
                    </w:rPr>
                    <w:t>，胺液储罐地下槽1座40m</w:t>
                  </w:r>
                  <w:r>
                    <w:rPr>
                      <w:rFonts w:ascii="Times New Roman" w:hAnsi="Times New Roman"/>
                      <w:color w:val="auto"/>
                      <w:szCs w:val="21"/>
                      <w:vertAlign w:val="superscript"/>
                    </w:rPr>
                    <w:t>3</w:t>
                  </w:r>
                  <w:r>
                    <w:rPr>
                      <w:rFonts w:ascii="Times New Roman" w:hAnsi="Times New Roman"/>
                      <w:color w:val="auto"/>
                      <w:szCs w:val="21"/>
                    </w:rPr>
                    <w:t>，胺再沸器1台，进出料换热器1台，贫富胺换热器1台，贫胺活性炭过滤器1台，贫胺机械过滤器2台、蒸汽锅炉等。</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3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脱水</w:t>
                  </w:r>
                </w:p>
              </w:tc>
              <w:tc>
                <w:tcPr>
                  <w:tcW w:w="3197"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采用分子筛脱水，脱水系统由分子筛干燥器2台（交替使用）、天然气加热炉1台、再生气冷却器1台、再生气分离器1台、再生气压缩机组2台（1用1备）、粉尘过滤器1台等组成。</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3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脱汞</w:t>
                  </w:r>
                </w:p>
              </w:tc>
              <w:tc>
                <w:tcPr>
                  <w:tcW w:w="3197"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采用浸硫活性炭脱汞，设1台脱汞吸附器和1台粉尘过滤器。</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3"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LNG液化单元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采用2级分离3级节流混合冷剂制冷，常压储存工艺流程。混合制冷剂由氮、甲烷、乙烯、丙烷和异戊烷组成，设有冷剂储罐各1座；冷剂机压缩系统包括制冷剂压缩机组1台，压缩机进口分离器1台，压缩机级间分离器、空冷器、冷却器各1台，压缩机末级分离器、空冷器、冷却器各1台，冷剂收集罐1座。天然气液化系统包括冷箱1座（预冷换热器6台、液化换热器3台、过冷换热器2台，高压冷剂分离器1台，冷剂预冷分离器1台、冷剂液化分离器1台、冷剂过冷分离器1台），重烃分离器、重烃闪蒸器和重烃储罐各1座。</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rPr>
                    <w:t>BOG回收系统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BOG缓冲罐1具、BOG压缩机2台。</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4"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辅助工程</w:t>
                  </w: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火炬</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火炬系统均包括分液罐、火炬相应的点火、密封设施。火炬由火炬头、长明灯、火炬筒体及自动点火系统组成，高75m。</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设低温分离罐及EGA加热器，对事故状态下的气体通过现有的火炬系统燃烧。</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二期（火炬依托）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循环水系统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环评报告中采用循环水冷却系统，实际建设采用空风冷却，减少了项目用水量，同时减少盐水产生。</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采用循环水系统规模为800m</w:t>
                  </w:r>
                  <w:r>
                    <w:rPr>
                      <w:rFonts w:ascii="Times New Roman" w:hAnsi="Times New Roman"/>
                      <w:color w:val="auto"/>
                      <w:szCs w:val="21"/>
                      <w:vertAlign w:val="superscript"/>
                    </w:rPr>
                    <w:t>3</w:t>
                  </w:r>
                  <w:r>
                    <w:rPr>
                      <w:rFonts w:ascii="Times New Roman" w:hAnsi="Times New Roman"/>
                      <w:color w:val="auto"/>
                      <w:szCs w:val="21"/>
                    </w:rPr>
                    <w:t>/h，配套有软水站</w:t>
                  </w:r>
                  <w:r>
                    <w:rPr>
                      <w:rFonts w:hint="eastAsia" w:ascii="Times New Roman" w:hAnsi="Times New Roman"/>
                      <w:color w:val="auto"/>
                      <w:szCs w:val="21"/>
                    </w:rPr>
                    <w:t>（设有</w:t>
                  </w:r>
                  <w:r>
                    <w:rPr>
                      <w:rFonts w:ascii="Times New Roman" w:hAnsi="Times New Roman"/>
                      <w:color w:val="auto"/>
                      <w:szCs w:val="21"/>
                    </w:rPr>
                    <w:t>钠离子全自动软水器1套</w:t>
                  </w:r>
                  <w:r>
                    <w:rPr>
                      <w:rFonts w:hint="eastAsia" w:ascii="Times New Roman" w:hAnsi="Times New Roman"/>
                      <w:color w:val="auto"/>
                      <w:szCs w:val="21"/>
                    </w:rPr>
                    <w:t>）</w:t>
                  </w:r>
                  <w:r>
                    <w:rPr>
                      <w:rFonts w:ascii="Times New Roman" w:hAnsi="Times New Roman"/>
                      <w:color w:val="auto"/>
                      <w:szCs w:val="21"/>
                    </w:rPr>
                    <w:t>规模20m</w:t>
                  </w:r>
                  <w:r>
                    <w:rPr>
                      <w:rFonts w:ascii="Times New Roman" w:hAnsi="Times New Roman"/>
                      <w:color w:val="auto"/>
                      <w:szCs w:val="21"/>
                      <w:vertAlign w:val="superscript"/>
                    </w:rPr>
                    <w:t>3</w:t>
                  </w:r>
                  <w:r>
                    <w:rPr>
                      <w:rFonts w:ascii="Times New Roman" w:hAnsi="Times New Roman"/>
                      <w:color w:val="auto"/>
                      <w:szCs w:val="21"/>
                    </w:rPr>
                    <w:t>/h。</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脱盐水站</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脱盐水装置1套，2m</w:t>
                  </w:r>
                  <w:r>
                    <w:rPr>
                      <w:rFonts w:ascii="Times New Roman" w:hAnsi="Times New Roman"/>
                      <w:color w:val="auto"/>
                      <w:szCs w:val="21"/>
                      <w:vertAlign w:val="superscript"/>
                    </w:rPr>
                    <w:t>3</w:t>
                  </w:r>
                  <w:r>
                    <w:rPr>
                      <w:rFonts w:ascii="Times New Roman" w:hAnsi="Times New Roman"/>
                      <w:color w:val="auto"/>
                      <w:szCs w:val="21"/>
                    </w:rPr>
                    <w:t>/h。</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加热系统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1台卧式燃气蒸汽锅炉和1台再生气加热炉。卧式燃气蒸汽锅炉功率为8500kW。再生气加热炉功率为1250kW。</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设有1台卧式燃气蒸汽锅炉和1台再生气加热炉。卧式燃气蒸汽锅炉功率为7700kW。再生气加热炉功率为1300kW。</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氮气系统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制氮机1台（200Nm</w:t>
                  </w:r>
                  <w:r>
                    <w:rPr>
                      <w:rFonts w:ascii="Times New Roman" w:hAnsi="Times New Roman"/>
                      <w:color w:val="auto"/>
                      <w:szCs w:val="21"/>
                      <w:vertAlign w:val="superscript"/>
                    </w:rPr>
                    <w:t>3</w:t>
                  </w:r>
                  <w:r>
                    <w:rPr>
                      <w:rFonts w:ascii="Times New Roman" w:hAnsi="Times New Roman"/>
                      <w:color w:val="auto"/>
                      <w:szCs w:val="21"/>
                    </w:rPr>
                    <w:t>/h)，制氮机入口缓冲罐1座（5m</w:t>
                  </w:r>
                  <w:r>
                    <w:rPr>
                      <w:rFonts w:ascii="Times New Roman" w:hAnsi="Times New Roman"/>
                      <w:color w:val="auto"/>
                      <w:szCs w:val="21"/>
                      <w:vertAlign w:val="superscript"/>
                    </w:rPr>
                    <w:t>3</w:t>
                  </w:r>
                  <w:r>
                    <w:rPr>
                      <w:rFonts w:ascii="Times New Roman" w:hAnsi="Times New Roman"/>
                      <w:color w:val="auto"/>
                      <w:szCs w:val="21"/>
                    </w:rPr>
                    <w:t>)，制氮机出口缓冲罐1座（5m</w:t>
                  </w:r>
                  <w:r>
                    <w:rPr>
                      <w:rFonts w:ascii="Times New Roman" w:hAnsi="Times New Roman"/>
                      <w:color w:val="auto"/>
                      <w:szCs w:val="21"/>
                      <w:vertAlign w:val="superscript"/>
                    </w:rPr>
                    <w:t>3</w:t>
                  </w:r>
                  <w:r>
                    <w:rPr>
                      <w:rFonts w:ascii="Times New Roman" w:hAnsi="Times New Roman"/>
                      <w:color w:val="auto"/>
                      <w:szCs w:val="21"/>
                    </w:rPr>
                    <w:t>)，氮气缓冲罐1座（10m</w:t>
                  </w:r>
                  <w:r>
                    <w:rPr>
                      <w:rFonts w:ascii="Times New Roman" w:hAnsi="Times New Roman"/>
                      <w:color w:val="auto"/>
                      <w:szCs w:val="21"/>
                      <w:vertAlign w:val="superscript"/>
                    </w:rPr>
                    <w:t>3</w:t>
                  </w:r>
                  <w:r>
                    <w:rPr>
                      <w:rFonts w:ascii="Times New Roman" w:hAnsi="Times New Roman"/>
                      <w:color w:val="auto"/>
                      <w:szCs w:val="21"/>
                    </w:rPr>
                    <w:t>)汽化器1台，液氮泵1台。</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现有制氮站</w:t>
                  </w:r>
                  <w:r>
                    <w:rPr>
                      <w:rFonts w:hint="eastAsia" w:ascii="Times New Roman" w:hAnsi="Times New Roman"/>
                      <w:color w:val="auto"/>
                      <w:szCs w:val="21"/>
                    </w:rPr>
                    <w:t>基础上</w:t>
                  </w:r>
                  <w:r>
                    <w:rPr>
                      <w:rFonts w:ascii="Times New Roman" w:hAnsi="Times New Roman"/>
                      <w:color w:val="auto"/>
                      <w:szCs w:val="21"/>
                    </w:rPr>
                    <w:t>新增制氮设备1台，空压机2台，其他利用现有。</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r>
                    <w:rPr>
                      <w:rFonts w:hint="eastAsia" w:ascii="Times New Roman" w:hAnsi="Times New Roman"/>
                      <w:color w:val="auto"/>
                      <w:szCs w:val="21"/>
                    </w:rPr>
                    <w:t>扩建</w:t>
                  </w: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仪表风系统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配置1套仪表风系统，设空压机3台(17Nm</w:t>
                  </w:r>
                  <w:r>
                    <w:rPr>
                      <w:rFonts w:ascii="Times New Roman" w:hAnsi="Times New Roman"/>
                      <w:color w:val="auto"/>
                      <w:szCs w:val="21"/>
                      <w:vertAlign w:val="superscript"/>
                    </w:rPr>
                    <w:t>3</w:t>
                  </w:r>
                  <w:r>
                    <w:rPr>
                      <w:rFonts w:ascii="Times New Roman" w:hAnsi="Times New Roman"/>
                      <w:color w:val="auto"/>
                      <w:szCs w:val="21"/>
                    </w:rPr>
                    <w:t>/min)、微热再生空气干燥机2台，仪表风空气储罐1台（30m</w:t>
                  </w:r>
                  <w:r>
                    <w:rPr>
                      <w:rFonts w:ascii="Times New Roman" w:hAnsi="Times New Roman"/>
                      <w:color w:val="auto"/>
                      <w:szCs w:val="21"/>
                      <w:vertAlign w:val="superscript"/>
                    </w:rPr>
                    <w:t>3</w:t>
                  </w:r>
                  <w:r>
                    <w:rPr>
                      <w:rFonts w:ascii="Times New Roman" w:hAnsi="Times New Roman"/>
                      <w:color w:val="auto"/>
                      <w:szCs w:val="21"/>
                    </w:rPr>
                    <w:t>)，空压机出口缓冲罐1座。</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74"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储运工程</w:t>
                  </w: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原料天然气管道</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原料天然气气源由长庆油田分公司第一采气厂靖边天然气净化厂供给，敷设9.4km管线输送，该管线内径457mm。</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液化天然气储罐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LNG常压低温储罐1×20000m</w:t>
                  </w:r>
                  <w:r>
                    <w:rPr>
                      <w:rFonts w:ascii="Times New Roman" w:hAnsi="Times New Roman"/>
                      <w:color w:val="auto"/>
                      <w:szCs w:val="21"/>
                      <w:vertAlign w:val="superscript"/>
                    </w:rPr>
                    <w:t>3</w:t>
                  </w:r>
                  <w:r>
                    <w:rPr>
                      <w:rFonts w:ascii="Times New Roman" w:hAnsi="Times New Roman"/>
                      <w:color w:val="auto"/>
                      <w:szCs w:val="21"/>
                    </w:rPr>
                    <w:t>，存储系数0.9，存储天数9.5d。</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LNG常压低温储罐1×20000m</w:t>
                  </w:r>
                  <w:r>
                    <w:rPr>
                      <w:rFonts w:ascii="Times New Roman" w:hAnsi="Times New Roman"/>
                      <w:color w:val="auto"/>
                      <w:szCs w:val="21"/>
                      <w:vertAlign w:val="superscript"/>
                    </w:rPr>
                    <w:t>3</w:t>
                  </w:r>
                  <w:r>
                    <w:rPr>
                      <w:rFonts w:ascii="Times New Roman" w:hAnsi="Times New Roman"/>
                      <w:color w:val="auto"/>
                      <w:szCs w:val="21"/>
                    </w:rPr>
                    <w:t>（有效容积），存储天数8.3d。</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液氮储罐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1座，卧式罐，20m</w:t>
                  </w:r>
                  <w:r>
                    <w:rPr>
                      <w:rFonts w:ascii="Times New Roman" w:hAnsi="Times New Roman"/>
                      <w:color w:val="auto"/>
                      <w:szCs w:val="21"/>
                      <w:vertAlign w:val="superscript"/>
                    </w:rPr>
                    <w:t>3</w:t>
                  </w:r>
                  <w:r>
                    <w:rPr>
                      <w:rFonts w:ascii="Times New Roman" w:hAnsi="Times New Roman"/>
                      <w:color w:val="auto"/>
                      <w:szCs w:val="21"/>
                    </w:rPr>
                    <w:t>(内筒/外筒）06Cr19Ni10/Q345R，最高工作压力：1.6MPa。</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仪表风储罐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1座，30m</w:t>
                  </w:r>
                  <w:r>
                    <w:rPr>
                      <w:rFonts w:ascii="Times New Roman" w:hAnsi="Times New Roman"/>
                      <w:color w:val="auto"/>
                      <w:szCs w:val="21"/>
                      <w:vertAlign w:val="superscript"/>
                    </w:rPr>
                    <w:t>3</w:t>
                  </w:r>
                  <w:r>
                    <w:rPr>
                      <w:rFonts w:ascii="Times New Roman" w:hAnsi="Times New Roman"/>
                      <w:color w:val="auto"/>
                      <w:szCs w:val="21"/>
                    </w:rPr>
                    <w:t>，碳钢材质。</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乙烯储罐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1座，卧式罐，40m</w:t>
                  </w:r>
                  <w:r>
                    <w:rPr>
                      <w:rFonts w:ascii="Times New Roman" w:hAnsi="Times New Roman"/>
                      <w:color w:val="auto"/>
                      <w:szCs w:val="21"/>
                      <w:vertAlign w:val="superscript"/>
                    </w:rPr>
                    <w:t>3</w:t>
                  </w:r>
                  <w:r>
                    <w:rPr>
                      <w:rFonts w:ascii="Times New Roman" w:hAnsi="Times New Roman"/>
                      <w:color w:val="auto"/>
                      <w:szCs w:val="21"/>
                    </w:rPr>
                    <w:t>(内筒/外筒）06Cr19Ni10/Q345R，最高工作压3力：1.5MPa。</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新建30m</w:t>
                  </w:r>
                  <w:r>
                    <w:rPr>
                      <w:rFonts w:ascii="Times New Roman" w:hAnsi="Times New Roman"/>
                      <w:color w:val="auto"/>
                      <w:szCs w:val="21"/>
                      <w:vertAlign w:val="superscript"/>
                    </w:rPr>
                    <w:t>3</w:t>
                  </w:r>
                  <w:r>
                    <w:rPr>
                      <w:rFonts w:ascii="Times New Roman" w:hAnsi="Times New Roman"/>
                      <w:color w:val="auto"/>
                      <w:szCs w:val="21"/>
                    </w:rPr>
                    <w:t>乙烯储罐1座，用于存储外购乙烯。</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丙烷储罐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1座，卧式罐，30.2m</w:t>
                  </w:r>
                  <w:r>
                    <w:rPr>
                      <w:rFonts w:ascii="Times New Roman" w:hAnsi="Times New Roman"/>
                      <w:color w:val="auto"/>
                      <w:szCs w:val="21"/>
                      <w:vertAlign w:val="superscript"/>
                    </w:rPr>
                    <w:t>3</w:t>
                  </w:r>
                  <w:r>
                    <w:rPr>
                      <w:rFonts w:ascii="Times New Roman" w:hAnsi="Times New Roman"/>
                      <w:color w:val="auto"/>
                      <w:szCs w:val="21"/>
                    </w:rPr>
                    <w:t>，Q345R，最高工作压力：1.72MPa。</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新建30 m</w:t>
                  </w:r>
                  <w:r>
                    <w:rPr>
                      <w:rFonts w:ascii="Times New Roman" w:hAnsi="Times New Roman"/>
                      <w:color w:val="auto"/>
                      <w:szCs w:val="21"/>
                      <w:vertAlign w:val="superscript"/>
                    </w:rPr>
                    <w:t>3</w:t>
                  </w:r>
                  <w:r>
                    <w:rPr>
                      <w:rFonts w:ascii="Times New Roman" w:hAnsi="Times New Roman"/>
                      <w:color w:val="auto"/>
                      <w:szCs w:val="21"/>
                    </w:rPr>
                    <w:t>卧式丙烷储罐1座，用于存储外购丙烷。</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异戊烷储</w:t>
                  </w:r>
                </w:p>
                <w:p>
                  <w:pPr>
                    <w:widowControl w:val="0"/>
                    <w:adjustRightInd w:val="0"/>
                    <w:snapToGrid w:val="0"/>
                    <w:jc w:val="center"/>
                    <w:rPr>
                      <w:rFonts w:ascii="Times New Roman" w:hAnsi="Times New Roman"/>
                      <w:color w:val="auto"/>
                      <w:szCs w:val="21"/>
                    </w:rPr>
                  </w:pPr>
                  <w:r>
                    <w:rPr>
                      <w:rFonts w:ascii="Times New Roman" w:hAnsi="Times New Roman"/>
                      <w:color w:val="auto"/>
                      <w:szCs w:val="21"/>
                    </w:rPr>
                    <w:t>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1座，卧式罐，49.3m</w:t>
                  </w:r>
                  <w:r>
                    <w:rPr>
                      <w:rFonts w:ascii="Times New Roman" w:hAnsi="Times New Roman"/>
                      <w:color w:val="auto"/>
                      <w:szCs w:val="21"/>
                      <w:vertAlign w:val="superscript"/>
                    </w:rPr>
                    <w:t>3</w:t>
                  </w:r>
                  <w:r>
                    <w:rPr>
                      <w:rFonts w:ascii="Times New Roman" w:hAnsi="Times New Roman"/>
                      <w:color w:val="auto"/>
                      <w:szCs w:val="21"/>
                    </w:rPr>
                    <w:t>，Q345R，最高工作压力：0.69MPa。</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新建50m</w:t>
                  </w:r>
                  <w:r>
                    <w:rPr>
                      <w:rFonts w:ascii="Times New Roman" w:hAnsi="Times New Roman"/>
                      <w:color w:val="auto"/>
                      <w:szCs w:val="21"/>
                      <w:vertAlign w:val="superscript"/>
                    </w:rPr>
                    <w:t>3</w:t>
                  </w:r>
                  <w:r>
                    <w:rPr>
                      <w:rFonts w:ascii="Times New Roman" w:hAnsi="Times New Roman"/>
                      <w:color w:val="auto"/>
                      <w:szCs w:val="21"/>
                    </w:rPr>
                    <w:t>卧式异戊烷储罐1座，用于存储外购异戊烷。</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重烃储罐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1座，卧式罐，27.8m</w:t>
                  </w:r>
                  <w:r>
                    <w:rPr>
                      <w:rFonts w:ascii="Times New Roman" w:hAnsi="Times New Roman"/>
                      <w:color w:val="auto"/>
                      <w:szCs w:val="21"/>
                      <w:vertAlign w:val="superscript"/>
                    </w:rPr>
                    <w:t>3</w:t>
                  </w:r>
                  <w:r>
                    <w:rPr>
                      <w:rFonts w:ascii="Times New Roman" w:hAnsi="Times New Roman"/>
                      <w:color w:val="auto"/>
                      <w:szCs w:val="21"/>
                    </w:rPr>
                    <w:t>，Q345R，最高工作压力：1.0</w:t>
                  </w:r>
                  <w:r>
                    <w:rPr>
                      <w:rFonts w:ascii="Times New Roman" w:hAnsi="Times New Roman"/>
                      <w:color w:val="auto"/>
                      <w:szCs w:val="21"/>
                      <w:vertAlign w:val="superscript"/>
                    </w:rPr>
                    <w:t>3</w:t>
                  </w:r>
                  <w:r>
                    <w:rPr>
                      <w:rFonts w:ascii="Times New Roman" w:hAnsi="Times New Roman"/>
                      <w:color w:val="auto"/>
                      <w:szCs w:val="21"/>
                    </w:rPr>
                    <w:t>MPa。</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新建1座卧式罐60m</w:t>
                  </w:r>
                  <w:r>
                    <w:rPr>
                      <w:rFonts w:ascii="Times New Roman" w:hAnsi="Times New Roman"/>
                      <w:color w:val="auto"/>
                      <w:szCs w:val="21"/>
                      <w:vertAlign w:val="superscript"/>
                    </w:rPr>
                    <w:t>3</w:t>
                  </w:r>
                  <w:r>
                    <w:rPr>
                      <w:rFonts w:ascii="Times New Roman" w:hAnsi="Times New Roman"/>
                      <w:color w:val="auto"/>
                      <w:szCs w:val="21"/>
                    </w:rPr>
                    <w:t>，用于存储副产品重烃。</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冷剂收集罐</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新建31.6 m</w:t>
                  </w:r>
                  <w:r>
                    <w:rPr>
                      <w:rFonts w:ascii="Times New Roman" w:hAnsi="Times New Roman"/>
                      <w:color w:val="auto"/>
                      <w:szCs w:val="21"/>
                      <w:vertAlign w:val="superscript"/>
                    </w:rPr>
                    <w:t>3</w:t>
                  </w:r>
                  <w:r>
                    <w:rPr>
                      <w:rFonts w:ascii="Times New Roman" w:hAnsi="Times New Roman"/>
                      <w:color w:val="auto"/>
                      <w:szCs w:val="21"/>
                    </w:rPr>
                    <w:t>冷剂收集罐1座，用于存储混合冷剂。</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公用工程</w:t>
                  </w: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供水</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两口自备井供水。</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供电</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沙石卯110kV变电站单回路电源供应，厂内建有110kV变电所1座。</w:t>
                  </w:r>
                </w:p>
              </w:tc>
              <w:tc>
                <w:tcPr>
                  <w:tcW w:w="440" w:type="pct"/>
                  <w:tcMar>
                    <w:left w:w="0" w:type="dxa"/>
                    <w:right w:w="0"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供热</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冬季采暖设置3台0.7MW燃气热水锅炉（两用一备），型号：CQXS0.70-95/70-Q。</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厂内道路</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厂内道路采用城市型道路，宽6m，道牙高度150mm。</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办公生活区</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办公楼1栋（四层），宿舍楼4栋（三层）。</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消防</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依托靖边能源化工综合利用产业园区消防队伍，主装置区设备群设置水炮、高倍数泡沫灭火系统、固定干粉灭火系统、手提式灭火器；储罐区设置固定式消防喷淋系统，储罐区围堰内设置固定式全淹没高倍数泡沫炮，厂内设消防水池2座，有效容积6000m</w:t>
                  </w:r>
                  <w:r>
                    <w:rPr>
                      <w:rFonts w:ascii="Times New Roman" w:hAnsi="Times New Roman"/>
                      <w:color w:val="auto"/>
                      <w:szCs w:val="21"/>
                      <w:vertAlign w:val="superscript"/>
                    </w:rPr>
                    <w:t>3</w:t>
                  </w:r>
                  <w:r>
                    <w:rPr>
                      <w:rFonts w:ascii="Times New Roman" w:hAnsi="Times New Roman"/>
                      <w:color w:val="auto"/>
                      <w:szCs w:val="21"/>
                    </w:rPr>
                    <w:t>。</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装置区新建群设置水炮、高倍数泡沫灭火系统、固定干粉灭火系统、手提式灭火器；储罐区设置固定式消防喷淋系统，储罐区围堰内设置固定式全淹没高倍数泡沫炮，消防供水系统依托现有6000m</w:t>
                  </w:r>
                  <w:r>
                    <w:rPr>
                      <w:rFonts w:ascii="Times New Roman" w:hAnsi="Times New Roman"/>
                      <w:color w:val="auto"/>
                      <w:szCs w:val="21"/>
                      <w:vertAlign w:val="superscript"/>
                    </w:rPr>
                    <w:t>3</w:t>
                  </w:r>
                  <w:r>
                    <w:rPr>
                      <w:rFonts w:ascii="Times New Roman" w:hAnsi="Times New Roman"/>
                      <w:color w:val="auto"/>
                      <w:szCs w:val="21"/>
                    </w:rPr>
                    <w:t>消防水池2座。</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二期（消防水池依托）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LNG装车系统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设置装车棚，8个LNG装车位。</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在现有装车系统东侧</w:t>
                  </w:r>
                  <w:r>
                    <w:rPr>
                      <w:rFonts w:hint="eastAsia" w:ascii="Times New Roman" w:hAnsi="Times New Roman"/>
                      <w:color w:val="auto"/>
                      <w:szCs w:val="21"/>
                    </w:rPr>
                    <w:t>技改</w:t>
                  </w:r>
                  <w:r>
                    <w:rPr>
                      <w:rFonts w:ascii="Times New Roman" w:hAnsi="Times New Roman"/>
                      <w:color w:val="auto"/>
                      <w:szCs w:val="21"/>
                    </w:rPr>
                    <w:t>装车棚，</w:t>
                  </w:r>
                  <w:r>
                    <w:rPr>
                      <w:rFonts w:hint="eastAsia" w:ascii="Times New Roman" w:hAnsi="Times New Roman"/>
                      <w:color w:val="auto"/>
                      <w:szCs w:val="21"/>
                    </w:rPr>
                    <w:t>技改</w:t>
                  </w:r>
                  <w:r>
                    <w:rPr>
                      <w:rFonts w:ascii="Times New Roman" w:hAnsi="Times New Roman"/>
                      <w:color w:val="auto"/>
                      <w:szCs w:val="21"/>
                    </w:rPr>
                    <w:t>4个LNG装车位。</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r>
                    <w:rPr>
                      <w:rFonts w:hint="eastAsia" w:ascii="Times New Roman" w:hAnsi="Times New Roman"/>
                      <w:color w:val="auto"/>
                      <w:szCs w:val="21"/>
                    </w:rPr>
                    <w:t>扩建</w:t>
                  </w: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重烃装车系统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新建装车臂1个，配装车泵1个。</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冷剂装车系统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乙烯、丙烷、异戊烷卸车臂各1个，配卸车泵1台。</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274"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环保工程</w:t>
                  </w: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废气</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工艺过程中再生气加热炉废气经1根18.57m高的烟囱排放；蒸汽锅炉废气经1根15m高的烟囱排放。生活区锅炉房设3台燃气热水锅炉，3台燃气热水锅炉烟气共用1根8m高的烟囱排放。</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利用一期放空火炬，对生产设备检修或事故状态下外排原料天然气采取放空火炬焚烧处理。新建脱碳气工序放空酸性气体经1根30m高放空阀放空。再生气加热炉废气经1根20m高的烟囱排放；蒸汽锅炉废气经1根20m高的烟囱排放。</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二期（火炬依托）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废水</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rPr>
                    <w:t>生活污水：经格栅-化粪池——两级沉淀池-CASS池-过滤罐处理后回用于绿化或排入园区污水管网；验收期间生活污水因天气原因调试不正常，生活污水送第三方处置。实际生产过程中不产生设备清洗废水。</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生活污水处理依托现有工程，新建工艺废水预处理设施，包括污水罐1座、活性炭吸附塔3座，采用二级吸附预处理工艺对生产工艺废水进行预处理后</w:t>
                  </w:r>
                  <w:r>
                    <w:rPr>
                      <w:rFonts w:hint="eastAsia" w:ascii="Times New Roman" w:hAnsi="Times New Roman"/>
                      <w:color w:val="auto"/>
                      <w:szCs w:val="21"/>
                    </w:rPr>
                    <w:t>与</w:t>
                  </w:r>
                  <w:r>
                    <w:rPr>
                      <w:rFonts w:ascii="Times New Roman" w:hAnsi="Times New Roman"/>
                      <w:color w:val="auto"/>
                      <w:szCs w:val="21"/>
                    </w:rPr>
                    <w:t>脱盐水站排水、软水站排水和循环系统排</w:t>
                  </w:r>
                  <w:r>
                    <w:rPr>
                      <w:rFonts w:hint="eastAsia" w:ascii="Times New Roman" w:hAnsi="Times New Roman"/>
                      <w:color w:val="auto"/>
                      <w:szCs w:val="21"/>
                      <w:lang w:eastAsia="zh-CN"/>
                    </w:rPr>
                    <w:t>水</w:t>
                  </w:r>
                  <w:r>
                    <w:rPr>
                      <w:rFonts w:hint="eastAsia" w:ascii="Times New Roman" w:hAnsi="Times New Roman"/>
                      <w:color w:val="auto"/>
                      <w:szCs w:val="21"/>
                    </w:rPr>
                    <w:t>一并</w:t>
                  </w:r>
                  <w:r>
                    <w:rPr>
                      <w:rFonts w:ascii="Times New Roman" w:hAnsi="Times New Roman"/>
                      <w:color w:val="auto"/>
                      <w:szCs w:val="21"/>
                    </w:rPr>
                    <w:t>运至靖边县污水处理厂处理。</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二期（生活污水处理依托）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地下水污染防渗工程</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根据《石油化工工程防渗技术规范》（GB/T50935-2013）技术要求，对项目厂区进行地下水污染防渗分区，对LNG罐区、生产污水收集构筑物、埋地物料输送管道等设施实施地下水污染防渗工程措施。防渗工程设计满足《石油化工工程防渗技术规范》（GB/T50934-2013）技术要求。</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噪声</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压缩机设备室内布置并加设减振台，其它高噪声设备均加装减振台处理。</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通过采用基础减振、厂房隔声、风机加装消声器等降噪措施。</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固废</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建有危险废物临时暂存间及生活垃圾箱。MDEA废液，通过胺收集罐回收在系统内循环使用；未设置废活性炭、废分子筛收集罐；生活垃圾固定地点收集，由管委会统一收集处理。</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生态</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四周设有围墙，绿化达到136735m</w:t>
                  </w:r>
                  <w:r>
                    <w:rPr>
                      <w:rFonts w:ascii="Times New Roman" w:hAnsi="Times New Roman"/>
                      <w:color w:val="auto"/>
                      <w:szCs w:val="21"/>
                      <w:vertAlign w:val="superscript"/>
                    </w:rPr>
                    <w:t>2</w:t>
                  </w:r>
                  <w:r>
                    <w:rPr>
                      <w:rFonts w:ascii="Times New Roman" w:hAnsi="Times New Roman"/>
                      <w:color w:val="auto"/>
                      <w:szCs w:val="21"/>
                    </w:rPr>
                    <w:t>。</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restar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事故防范</w:t>
                  </w: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LNG储罐围堰高4.75m，围堰面积7674m</w:t>
                  </w:r>
                  <w:r>
                    <w:rPr>
                      <w:rFonts w:ascii="Times New Roman" w:hAnsi="Times New Roman"/>
                      <w:color w:val="auto"/>
                      <w:szCs w:val="21"/>
                      <w:vertAlign w:val="superscript"/>
                    </w:rPr>
                    <w:t>2</w:t>
                  </w:r>
                  <w:r>
                    <w:rPr>
                      <w:rFonts w:ascii="Times New Roman" w:hAnsi="Times New Roman"/>
                      <w:color w:val="auto"/>
                      <w:szCs w:val="21"/>
                    </w:rPr>
                    <w:t>，围堰容积36451.5m</w:t>
                  </w:r>
                  <w:r>
                    <w:rPr>
                      <w:rFonts w:ascii="Times New Roman" w:hAnsi="Times New Roman"/>
                      <w:color w:val="auto"/>
                      <w:szCs w:val="21"/>
                      <w:vertAlign w:val="superscript"/>
                    </w:rPr>
                    <w:t>3</w:t>
                  </w:r>
                  <w:r>
                    <w:rPr>
                      <w:rFonts w:ascii="Times New Roman" w:hAnsi="Times New Roman"/>
                      <w:color w:val="auto"/>
                      <w:szCs w:val="21"/>
                    </w:rPr>
                    <w:t>，LNG储罐区事故集液池1座（75m</w:t>
                  </w:r>
                  <w:r>
                    <w:rPr>
                      <w:rFonts w:ascii="Times New Roman" w:hAnsi="Times New Roman"/>
                      <w:color w:val="auto"/>
                      <w:szCs w:val="21"/>
                      <w:vertAlign w:val="superscript"/>
                    </w:rPr>
                    <w:t>3</w:t>
                  </w:r>
                  <w:r>
                    <w:rPr>
                      <w:rFonts w:ascii="Times New Roman" w:hAnsi="Times New Roman"/>
                      <w:color w:val="auto"/>
                      <w:szCs w:val="21"/>
                    </w:rPr>
                    <w:t>）；装置区事故集液池1座（46.65m</w:t>
                  </w:r>
                  <w:r>
                    <w:rPr>
                      <w:rFonts w:ascii="Times New Roman" w:hAnsi="Times New Roman"/>
                      <w:color w:val="auto"/>
                      <w:szCs w:val="21"/>
                      <w:vertAlign w:val="superscript"/>
                    </w:rPr>
                    <w:t>3</w:t>
                  </w:r>
                  <w:r>
                    <w:rPr>
                      <w:rFonts w:ascii="Times New Roman" w:hAnsi="Times New Roman"/>
                      <w:color w:val="auto"/>
                      <w:szCs w:val="21"/>
                    </w:rPr>
                    <w:t>）；装车站事故集液池1座（112.5m</w:t>
                  </w:r>
                  <w:r>
                    <w:rPr>
                      <w:rFonts w:ascii="Times New Roman" w:hAnsi="Times New Roman"/>
                      <w:color w:val="auto"/>
                      <w:szCs w:val="21"/>
                      <w:vertAlign w:val="superscript"/>
                    </w:rPr>
                    <w:t>3</w:t>
                  </w:r>
                  <w:r>
                    <w:rPr>
                      <w:rFonts w:ascii="Times New Roman" w:hAnsi="Times New Roman"/>
                      <w:color w:val="auto"/>
                      <w:szCs w:val="21"/>
                    </w:rPr>
                    <w:t>）；事故水池（1000m</w:t>
                  </w:r>
                  <w:r>
                    <w:rPr>
                      <w:rFonts w:ascii="Times New Roman" w:hAnsi="Times New Roman"/>
                      <w:color w:val="auto"/>
                      <w:szCs w:val="21"/>
                      <w:vertAlign w:val="superscript"/>
                    </w:rPr>
                    <w:t>3</w:t>
                  </w:r>
                  <w:r>
                    <w:rPr>
                      <w:rFonts w:ascii="Times New Roman" w:hAnsi="Times New Roman"/>
                      <w:color w:val="auto"/>
                      <w:szCs w:val="21"/>
                    </w:rPr>
                    <w:t>）；冷剂储罐区围堰（315.5m</w:t>
                  </w:r>
                  <w:r>
                    <w:rPr>
                      <w:rFonts w:ascii="Times New Roman" w:hAnsi="Times New Roman"/>
                      <w:color w:val="auto"/>
                      <w:szCs w:val="21"/>
                      <w:vertAlign w:val="superscript"/>
                    </w:rPr>
                    <w:t>3</w:t>
                  </w:r>
                  <w:r>
                    <w:rPr>
                      <w:rFonts w:ascii="Times New Roman" w:hAnsi="Times New Roman"/>
                      <w:color w:val="auto"/>
                      <w:szCs w:val="21"/>
                    </w:rPr>
                    <w:t>）</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274"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751"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c>
                <w:tcPr>
                  <w:tcW w:w="3533" w:type="pct"/>
                  <w:gridSpan w:val="2"/>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新建的储存设备（液化天然气、乙烯、丙烷、异戊烷、重烃储罐以及冷剂收集罐）围堰新建，其他内容（事故池和集液池）依托现有工程。</w:t>
                  </w:r>
                </w:p>
              </w:tc>
              <w:tc>
                <w:tcPr>
                  <w:tcW w:w="440"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二期</w:t>
                  </w:r>
                </w:p>
              </w:tc>
            </w:tr>
          </w:tbl>
          <w:p>
            <w:pPr>
              <w:widowControl w:val="0"/>
              <w:adjustRightInd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w:t>
            </w:r>
            <w:r>
              <w:rPr>
                <w:rFonts w:hint="eastAsia" w:ascii="Times New Roman" w:hAnsi="Times New Roman"/>
                <w:bCs/>
                <w:color w:val="auto"/>
                <w:sz w:val="24"/>
                <w:szCs w:val="24"/>
              </w:rPr>
              <w:t>2</w:t>
            </w:r>
            <w:r>
              <w:rPr>
                <w:rFonts w:ascii="Times New Roman" w:hAnsi="Times New Roman"/>
                <w:bCs/>
                <w:color w:val="auto"/>
                <w:sz w:val="24"/>
                <w:szCs w:val="24"/>
              </w:rPr>
              <w:t>）现有工程</w:t>
            </w:r>
            <w:r>
              <w:rPr>
                <w:rFonts w:hint="eastAsia" w:ascii="Times New Roman" w:hAnsi="Times New Roman"/>
                <w:bCs/>
                <w:color w:val="auto"/>
                <w:sz w:val="24"/>
                <w:szCs w:val="24"/>
              </w:rPr>
              <w:t>生产</w:t>
            </w:r>
            <w:r>
              <w:rPr>
                <w:rFonts w:ascii="Times New Roman" w:hAnsi="Times New Roman"/>
                <w:bCs/>
                <w:color w:val="auto"/>
                <w:sz w:val="24"/>
                <w:szCs w:val="24"/>
              </w:rPr>
              <w:t>工艺原理</w:t>
            </w:r>
          </w:p>
          <w:p>
            <w:pPr>
              <w:widowControl w:val="0"/>
              <w:adjustRightInd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一期项目工艺选用美国B&amp;V公司的PRICO专利混合冷剂单循环液化的生产工艺。主要包括原料气压缩、净化(脱</w:t>
            </w:r>
            <w:r>
              <w:rPr>
                <w:rFonts w:hint="eastAsia" w:ascii="Times New Roman" w:hAnsi="Times New Roman"/>
                <w:bCs/>
                <w:color w:val="auto"/>
                <w:sz w:val="24"/>
                <w:szCs w:val="24"/>
              </w:rPr>
              <w:t>酸</w:t>
            </w:r>
            <w:r>
              <w:rPr>
                <w:rFonts w:ascii="Times New Roman" w:hAnsi="Times New Roman"/>
                <w:bCs/>
                <w:color w:val="auto"/>
                <w:sz w:val="24"/>
                <w:szCs w:val="24"/>
              </w:rPr>
              <w:t>、脱水、脱汞等）、液化、储存、装车等环节。</w:t>
            </w:r>
          </w:p>
          <w:p>
            <w:pPr>
              <w:widowControl w:val="0"/>
              <w:adjustRightInd w:val="0"/>
              <w:spacing w:line="360" w:lineRule="auto"/>
              <w:ind w:firstLine="480" w:firstLineChars="200"/>
              <w:jc w:val="both"/>
              <w:rPr>
                <w:rFonts w:ascii="Times New Roman" w:hAnsi="Times New Roman"/>
                <w:bCs/>
                <w:color w:val="auto"/>
                <w:sz w:val="24"/>
                <w:szCs w:val="24"/>
              </w:rPr>
            </w:pPr>
            <w:r>
              <w:rPr>
                <w:rFonts w:hint="eastAsia" w:ascii="Times New Roman" w:hAnsi="Times New Roman"/>
                <w:bCs/>
                <w:color w:val="auto"/>
                <w:sz w:val="24"/>
                <w:szCs w:val="24"/>
              </w:rPr>
              <w:t>项目</w:t>
            </w:r>
            <w:r>
              <w:rPr>
                <w:rFonts w:ascii="Times New Roman" w:hAnsi="Times New Roman"/>
                <w:bCs/>
                <w:color w:val="auto"/>
                <w:sz w:val="24"/>
                <w:szCs w:val="24"/>
              </w:rPr>
              <w:t>原料气来自于长庆油田分公司靖边第一净化厂，原料天然气首先进入原料气过滤器，除去液体和固体杂质</w:t>
            </w:r>
            <w:r>
              <w:rPr>
                <w:rFonts w:hint="eastAsia" w:ascii="Times New Roman" w:hAnsi="Times New Roman"/>
                <w:bCs/>
                <w:color w:val="auto"/>
                <w:sz w:val="24"/>
                <w:szCs w:val="24"/>
              </w:rPr>
              <w:t>；</w:t>
            </w:r>
            <w:r>
              <w:rPr>
                <w:rFonts w:ascii="Times New Roman" w:hAnsi="Times New Roman"/>
                <w:bCs/>
                <w:color w:val="auto"/>
                <w:sz w:val="24"/>
                <w:szCs w:val="24"/>
              </w:rPr>
              <w:t>之后进入天然气压缩机，在天然气压缩机中压缩、冷却</w:t>
            </w:r>
            <w:r>
              <w:rPr>
                <w:rFonts w:hint="eastAsia" w:ascii="Times New Roman" w:hAnsi="Times New Roman"/>
                <w:bCs/>
                <w:color w:val="auto"/>
                <w:sz w:val="24"/>
                <w:szCs w:val="24"/>
              </w:rPr>
              <w:t>，</w:t>
            </w:r>
            <w:r>
              <w:rPr>
                <w:rFonts w:ascii="Times New Roman" w:hAnsi="Times New Roman"/>
                <w:bCs/>
                <w:color w:val="auto"/>
                <w:sz w:val="24"/>
                <w:szCs w:val="24"/>
              </w:rPr>
              <w:t>经压缩冷却后原料气进入吸收塔底部，与吸收塔塔顶进入的MDEA溶液逆流接触，进行气液传质传热，</w:t>
            </w:r>
            <w:r>
              <w:rPr>
                <w:rFonts w:hint="eastAsia" w:ascii="Times New Roman" w:hAnsi="Times New Roman"/>
                <w:bCs/>
                <w:color w:val="auto"/>
                <w:sz w:val="24"/>
                <w:szCs w:val="24"/>
              </w:rPr>
              <w:t>脱除天然气中碳和硫；</w:t>
            </w:r>
            <w:r>
              <w:rPr>
                <w:rFonts w:ascii="Times New Roman" w:hAnsi="Times New Roman"/>
                <w:bCs/>
                <w:color w:val="auto"/>
                <w:sz w:val="24"/>
                <w:szCs w:val="24"/>
              </w:rPr>
              <w:t>合格净化气从吸收塔顶部出来进入塔顶过滤器，将所携带的大于5um的液体除去</w:t>
            </w:r>
            <w:r>
              <w:rPr>
                <w:rFonts w:hint="eastAsia" w:ascii="Times New Roman" w:hAnsi="Times New Roman"/>
                <w:bCs/>
                <w:color w:val="auto"/>
                <w:sz w:val="24"/>
                <w:szCs w:val="24"/>
              </w:rPr>
              <w:t>，</w:t>
            </w:r>
            <w:r>
              <w:rPr>
                <w:rFonts w:ascii="Times New Roman" w:hAnsi="Times New Roman"/>
                <w:bCs/>
                <w:color w:val="auto"/>
                <w:sz w:val="24"/>
                <w:szCs w:val="24"/>
              </w:rPr>
              <w:t>然后进入干燥</w:t>
            </w:r>
            <w:r>
              <w:rPr>
                <w:rFonts w:hint="eastAsia" w:ascii="Times New Roman" w:hAnsi="Times New Roman"/>
                <w:bCs/>
                <w:color w:val="auto"/>
                <w:sz w:val="24"/>
                <w:szCs w:val="24"/>
              </w:rPr>
              <w:t>器顶部，</w:t>
            </w:r>
            <w:r>
              <w:rPr>
                <w:rFonts w:ascii="Times New Roman" w:hAnsi="Times New Roman"/>
                <w:bCs/>
                <w:color w:val="auto"/>
                <w:sz w:val="24"/>
                <w:szCs w:val="24"/>
              </w:rPr>
              <w:t>通过分子筛吸附脱除水分</w:t>
            </w:r>
            <w:r>
              <w:rPr>
                <w:rFonts w:hint="eastAsia" w:ascii="Times New Roman" w:hAnsi="Times New Roman"/>
                <w:bCs/>
                <w:color w:val="auto"/>
                <w:sz w:val="24"/>
                <w:szCs w:val="24"/>
              </w:rPr>
              <w:t>；</w:t>
            </w:r>
            <w:r>
              <w:rPr>
                <w:rFonts w:ascii="Times New Roman" w:hAnsi="Times New Roman"/>
                <w:bCs/>
                <w:color w:val="auto"/>
                <w:sz w:val="24"/>
                <w:szCs w:val="24"/>
              </w:rPr>
              <w:t>脱水后的天然气大部分进入脱汞床脱汞</w:t>
            </w:r>
            <w:r>
              <w:rPr>
                <w:rFonts w:hint="eastAsia" w:ascii="Times New Roman" w:hAnsi="Times New Roman"/>
                <w:bCs/>
                <w:color w:val="auto"/>
                <w:sz w:val="24"/>
                <w:szCs w:val="24"/>
              </w:rPr>
              <w:t>，</w:t>
            </w:r>
            <w:r>
              <w:rPr>
                <w:rFonts w:ascii="Times New Roman" w:hAnsi="Times New Roman"/>
                <w:bCs/>
                <w:color w:val="auto"/>
                <w:sz w:val="24"/>
                <w:szCs w:val="24"/>
              </w:rPr>
              <w:t>一小部分进入苯脱除塔脱苯，净化</w:t>
            </w:r>
            <w:r>
              <w:rPr>
                <w:rFonts w:hint="eastAsia" w:ascii="Times New Roman" w:hAnsi="Times New Roman"/>
                <w:bCs/>
                <w:color w:val="auto"/>
                <w:sz w:val="24"/>
                <w:szCs w:val="24"/>
              </w:rPr>
              <w:t>后的</w:t>
            </w:r>
            <w:r>
              <w:rPr>
                <w:rFonts w:ascii="Times New Roman" w:hAnsi="Times New Roman"/>
                <w:bCs/>
                <w:color w:val="auto"/>
                <w:sz w:val="24"/>
                <w:szCs w:val="24"/>
              </w:rPr>
              <w:t>天然气进入液化冷箱，在冷箱中冷却，接着进入重烃分离器进行分离重烃，然后再进入冷箱进行深冷降温</w:t>
            </w:r>
            <w:r>
              <w:rPr>
                <w:rFonts w:hint="eastAsia" w:ascii="Times New Roman" w:hAnsi="Times New Roman"/>
                <w:bCs/>
                <w:color w:val="auto"/>
                <w:sz w:val="24"/>
                <w:szCs w:val="24"/>
              </w:rPr>
              <w:t>；最终进行液化天然气存储，项目建一座容量为20000m</w:t>
            </w:r>
            <w:r>
              <w:rPr>
                <w:rFonts w:hint="eastAsia" w:ascii="Times New Roman" w:hAnsi="Times New Roman"/>
                <w:bCs/>
                <w:color w:val="auto"/>
                <w:sz w:val="24"/>
                <w:szCs w:val="24"/>
                <w:vertAlign w:val="superscript"/>
              </w:rPr>
              <w:t>3</w:t>
            </w:r>
            <w:r>
              <w:rPr>
                <w:rFonts w:hint="eastAsia" w:ascii="Times New Roman" w:hAnsi="Times New Roman"/>
                <w:bCs/>
                <w:color w:val="auto"/>
                <w:sz w:val="24"/>
                <w:szCs w:val="24"/>
              </w:rPr>
              <w:t>液化天然气储罐</w:t>
            </w:r>
            <w:r>
              <w:rPr>
                <w:rFonts w:ascii="Times New Roman" w:hAnsi="Times New Roman"/>
                <w:bCs/>
                <w:color w:val="auto"/>
                <w:sz w:val="24"/>
                <w:szCs w:val="24"/>
              </w:rPr>
              <w:t>。</w:t>
            </w:r>
            <w:r>
              <w:rPr>
                <w:rFonts w:hint="eastAsia" w:ascii="Times New Roman" w:hAnsi="Times New Roman"/>
                <w:bCs/>
                <w:color w:val="auto"/>
                <w:sz w:val="24"/>
                <w:szCs w:val="24"/>
              </w:rPr>
              <w:t>一期工艺流程及产污环节见图4。</w:t>
            </w:r>
          </w:p>
          <w:p>
            <w:pPr>
              <w:widowControl w:val="0"/>
              <w:adjustRightInd w:val="0"/>
              <w:spacing w:line="360" w:lineRule="auto"/>
              <w:jc w:val="center"/>
              <w:rPr>
                <w:rFonts w:ascii="Times New Roman" w:hAnsi="Times New Roman"/>
                <w:bCs/>
                <w:color w:val="auto"/>
                <w:sz w:val="24"/>
                <w:szCs w:val="24"/>
              </w:rPr>
            </w:pPr>
            <w:r>
              <w:rPr>
                <w:rFonts w:ascii="Times New Roman" w:hAnsi="Times New Roman"/>
                <w:color w:val="auto"/>
              </w:rPr>
              <w:drawing>
                <wp:inline distT="0" distB="0" distL="114300" distR="114300">
                  <wp:extent cx="5140960" cy="4056380"/>
                  <wp:effectExtent l="0" t="0" r="2540" b="1270"/>
                  <wp:docPr id="4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27"/>
                          <pic:cNvPicPr>
                            <a:picLocks noChangeAspect="1"/>
                          </pic:cNvPicPr>
                        </pic:nvPicPr>
                        <pic:blipFill>
                          <a:blip r:embed="rId13"/>
                          <a:stretch>
                            <a:fillRect/>
                          </a:stretch>
                        </pic:blipFill>
                        <pic:spPr>
                          <a:xfrm>
                            <a:off x="0" y="0"/>
                            <a:ext cx="5140960" cy="4056380"/>
                          </a:xfrm>
                          <a:prstGeom prst="rect">
                            <a:avLst/>
                          </a:prstGeom>
                          <a:noFill/>
                          <a:ln>
                            <a:noFill/>
                          </a:ln>
                        </pic:spPr>
                      </pic:pic>
                    </a:graphicData>
                  </a:graphic>
                </wp:inline>
              </w:drawing>
            </w:r>
          </w:p>
          <w:p>
            <w:pPr>
              <w:pStyle w:val="329"/>
              <w:widowControl w:val="0"/>
              <w:numPr>
                <w:ilvl w:val="0"/>
                <w:numId w:val="14"/>
              </w:numPr>
              <w:spacing w:line="360" w:lineRule="auto"/>
              <w:ind w:left="0" w:firstLine="0" w:firstLineChars="0"/>
              <w:jc w:val="center"/>
              <w:rPr>
                <w:rFonts w:ascii="Times New Roman" w:hAnsi="Times New Roman"/>
                <w:b/>
                <w:bCs/>
                <w:color w:val="auto"/>
                <w:sz w:val="24"/>
                <w:szCs w:val="24"/>
              </w:rPr>
            </w:pPr>
            <w:r>
              <w:rPr>
                <w:rFonts w:ascii="Times New Roman" w:hAnsi="Times New Roman"/>
                <w:b/>
                <w:color w:val="auto"/>
                <w:sz w:val="24"/>
                <w:szCs w:val="24"/>
              </w:rPr>
              <w:t>现有工程一期工艺流程及产污环节图</w:t>
            </w:r>
          </w:p>
          <w:p>
            <w:pPr>
              <w:widowControl w:val="0"/>
              <w:adjustRightInd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二期项目的</w:t>
            </w:r>
            <w:r>
              <w:rPr>
                <w:rFonts w:hint="eastAsia" w:ascii="Times New Roman" w:hAnsi="Times New Roman"/>
                <w:bCs/>
                <w:color w:val="auto"/>
                <w:sz w:val="24"/>
                <w:szCs w:val="24"/>
              </w:rPr>
              <w:t>原料气也由</w:t>
            </w:r>
            <w:r>
              <w:rPr>
                <w:rFonts w:ascii="Times New Roman" w:hAnsi="Times New Roman"/>
                <w:bCs/>
                <w:color w:val="auto"/>
                <w:sz w:val="24"/>
                <w:szCs w:val="24"/>
              </w:rPr>
              <w:t>长庆油田分公司靖边第一净化厂</w:t>
            </w:r>
            <w:r>
              <w:rPr>
                <w:rFonts w:hint="eastAsia" w:ascii="Times New Roman" w:hAnsi="Times New Roman"/>
                <w:bCs/>
                <w:color w:val="auto"/>
                <w:sz w:val="24"/>
                <w:szCs w:val="24"/>
              </w:rPr>
              <w:t>提供</w:t>
            </w:r>
            <w:r>
              <w:rPr>
                <w:rFonts w:ascii="Times New Roman" w:hAnsi="Times New Roman"/>
                <w:bCs/>
                <w:color w:val="auto"/>
                <w:sz w:val="24"/>
                <w:szCs w:val="24"/>
              </w:rPr>
              <w:t>，</w:t>
            </w:r>
            <w:r>
              <w:rPr>
                <w:rFonts w:hint="eastAsia" w:ascii="Times New Roman" w:hAnsi="Times New Roman"/>
                <w:bCs/>
                <w:color w:val="auto"/>
                <w:sz w:val="24"/>
                <w:szCs w:val="24"/>
              </w:rPr>
              <w:t>由一期工程已敷设的9.4km管线输送。</w:t>
            </w:r>
            <w:r>
              <w:rPr>
                <w:rFonts w:ascii="Times New Roman" w:hAnsi="Times New Roman"/>
                <w:bCs/>
                <w:color w:val="auto"/>
                <w:sz w:val="24"/>
                <w:szCs w:val="24"/>
              </w:rPr>
              <w:t>原料天然气经过滤、分离、计量后进入原料天然气预处理系统，依次脱除其中CO</w:t>
            </w:r>
            <w:r>
              <w:rPr>
                <w:rFonts w:ascii="Times New Roman" w:hAnsi="Times New Roman"/>
                <w:bCs/>
                <w:color w:val="auto"/>
                <w:sz w:val="24"/>
                <w:szCs w:val="24"/>
                <w:vertAlign w:val="subscript"/>
              </w:rPr>
              <w:t>2</w:t>
            </w:r>
            <w:r>
              <w:rPr>
                <w:rFonts w:ascii="Times New Roman" w:hAnsi="Times New Roman"/>
                <w:bCs/>
                <w:color w:val="auto"/>
                <w:sz w:val="24"/>
                <w:szCs w:val="24"/>
              </w:rPr>
              <w:t>、H</w:t>
            </w:r>
            <w:r>
              <w:rPr>
                <w:rFonts w:ascii="Times New Roman" w:hAnsi="Times New Roman"/>
                <w:bCs/>
                <w:color w:val="auto"/>
                <w:sz w:val="24"/>
                <w:szCs w:val="24"/>
                <w:vertAlign w:val="subscript"/>
              </w:rPr>
              <w:t>2</w:t>
            </w:r>
            <w:r>
              <w:rPr>
                <w:rFonts w:ascii="Times New Roman" w:hAnsi="Times New Roman"/>
                <w:bCs/>
                <w:color w:val="auto"/>
                <w:sz w:val="24"/>
                <w:szCs w:val="24"/>
              </w:rPr>
              <w:t>O、Hg等杂质</w:t>
            </w:r>
            <w:r>
              <w:rPr>
                <w:rFonts w:hint="eastAsia" w:ascii="Times New Roman" w:hAnsi="Times New Roman"/>
                <w:bCs/>
                <w:color w:val="auto"/>
                <w:sz w:val="24"/>
                <w:szCs w:val="24"/>
              </w:rPr>
              <w:t>（</w:t>
            </w:r>
            <w:r>
              <w:rPr>
                <w:rFonts w:ascii="Times New Roman" w:hAnsi="Times New Roman"/>
                <w:bCs/>
                <w:color w:val="auto"/>
                <w:sz w:val="24"/>
                <w:szCs w:val="24"/>
              </w:rPr>
              <w:t>项目采用MDEA溶液脱除酸性气体（CO</w:t>
            </w:r>
            <w:r>
              <w:rPr>
                <w:rFonts w:ascii="Times New Roman" w:hAnsi="Times New Roman"/>
                <w:bCs/>
                <w:color w:val="auto"/>
                <w:sz w:val="24"/>
                <w:szCs w:val="24"/>
                <w:vertAlign w:val="subscript"/>
              </w:rPr>
              <w:t>2</w:t>
            </w:r>
            <w:r>
              <w:rPr>
                <w:rFonts w:ascii="Times New Roman" w:hAnsi="Times New Roman"/>
                <w:bCs/>
                <w:color w:val="auto"/>
                <w:sz w:val="24"/>
                <w:szCs w:val="24"/>
              </w:rPr>
              <w:t>和H</w:t>
            </w:r>
            <w:r>
              <w:rPr>
                <w:rFonts w:ascii="Times New Roman" w:hAnsi="Times New Roman"/>
                <w:bCs/>
                <w:color w:val="auto"/>
                <w:sz w:val="24"/>
                <w:szCs w:val="24"/>
                <w:vertAlign w:val="subscript"/>
              </w:rPr>
              <w:t>2</w:t>
            </w:r>
            <w:r>
              <w:rPr>
                <w:rFonts w:ascii="Times New Roman" w:hAnsi="Times New Roman"/>
                <w:bCs/>
                <w:color w:val="auto"/>
                <w:sz w:val="24"/>
                <w:szCs w:val="24"/>
              </w:rPr>
              <w:t>S）、采用分子筛变温吸附工艺脱水，载硫活性炭脱汞的净化工艺脱汞</w:t>
            </w:r>
            <w:r>
              <w:rPr>
                <w:rFonts w:hint="eastAsia" w:ascii="Times New Roman" w:hAnsi="Times New Roman"/>
                <w:bCs/>
                <w:color w:val="auto"/>
                <w:sz w:val="24"/>
                <w:szCs w:val="24"/>
              </w:rPr>
              <w:t>）</w:t>
            </w:r>
            <w:r>
              <w:rPr>
                <w:rFonts w:ascii="Times New Roman" w:hAnsi="Times New Roman"/>
                <w:bCs/>
                <w:color w:val="auto"/>
                <w:sz w:val="24"/>
                <w:szCs w:val="24"/>
              </w:rPr>
              <w:t>，净化后的天然气送入液化冷箱，在冷箱中与混合冷剂换热而被逐级冷却（脱出原料气中的重烃）并液化至过冷，出冷箱的液化天然气节流减压后送入LNG储罐</w:t>
            </w:r>
            <w:r>
              <w:rPr>
                <w:rFonts w:hint="eastAsia" w:ascii="Times New Roman" w:hAnsi="Times New Roman"/>
                <w:bCs/>
                <w:color w:val="auto"/>
                <w:sz w:val="24"/>
                <w:szCs w:val="24"/>
              </w:rPr>
              <w:t>（项目建一座容量为20000m</w:t>
            </w:r>
            <w:r>
              <w:rPr>
                <w:rFonts w:hint="eastAsia" w:ascii="Times New Roman" w:hAnsi="Times New Roman"/>
                <w:bCs/>
                <w:color w:val="auto"/>
                <w:sz w:val="24"/>
                <w:szCs w:val="24"/>
                <w:vertAlign w:val="superscript"/>
              </w:rPr>
              <w:t>3</w:t>
            </w:r>
            <w:r>
              <w:rPr>
                <w:rFonts w:hint="eastAsia" w:ascii="Times New Roman" w:hAnsi="Times New Roman"/>
                <w:bCs/>
                <w:color w:val="auto"/>
                <w:sz w:val="24"/>
                <w:szCs w:val="24"/>
              </w:rPr>
              <w:t>液化天然气储罐）</w:t>
            </w:r>
            <w:r>
              <w:rPr>
                <w:rFonts w:ascii="Times New Roman" w:hAnsi="Times New Roman"/>
                <w:bCs/>
                <w:color w:val="auto"/>
                <w:sz w:val="24"/>
                <w:szCs w:val="24"/>
              </w:rPr>
              <w:t>。</w:t>
            </w:r>
            <w:r>
              <w:rPr>
                <w:rFonts w:hint="eastAsia" w:ascii="Times New Roman" w:hAnsi="Times New Roman"/>
                <w:bCs/>
                <w:color w:val="auto"/>
                <w:sz w:val="24"/>
                <w:szCs w:val="24"/>
              </w:rPr>
              <w:t>二期工艺流程及产污环节见图5。</w:t>
            </w:r>
          </w:p>
          <w:p>
            <w:pPr>
              <w:pStyle w:val="329"/>
              <w:widowControl w:val="0"/>
              <w:spacing w:line="360" w:lineRule="auto"/>
              <w:ind w:firstLine="0" w:firstLineChars="0"/>
              <w:rPr>
                <w:rFonts w:ascii="Times New Roman" w:hAnsi="Times New Roman"/>
                <w:b/>
                <w:bCs/>
                <w:color w:val="auto"/>
                <w:sz w:val="24"/>
                <w:szCs w:val="24"/>
              </w:rPr>
            </w:pPr>
            <w:r>
              <w:rPr>
                <w:rFonts w:ascii="Times New Roman" w:hAnsi="Times New Roman"/>
                <w:color w:val="auto"/>
              </w:rPr>
              <w:drawing>
                <wp:inline distT="0" distB="0" distL="0" distR="0">
                  <wp:extent cx="5512435" cy="26619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stretch>
                            <a:fillRect/>
                          </a:stretch>
                        </pic:blipFill>
                        <pic:spPr>
                          <a:xfrm>
                            <a:off x="0" y="0"/>
                            <a:ext cx="5514687" cy="2663102"/>
                          </a:xfrm>
                          <a:prstGeom prst="rect">
                            <a:avLst/>
                          </a:prstGeom>
                        </pic:spPr>
                      </pic:pic>
                    </a:graphicData>
                  </a:graphic>
                </wp:inline>
              </w:drawing>
            </w:r>
          </w:p>
          <w:p>
            <w:pPr>
              <w:pStyle w:val="329"/>
              <w:widowControl w:val="0"/>
              <w:numPr>
                <w:ilvl w:val="0"/>
                <w:numId w:val="14"/>
              </w:numPr>
              <w:spacing w:line="360" w:lineRule="auto"/>
              <w:ind w:left="0" w:firstLine="0" w:firstLineChars="0"/>
              <w:jc w:val="center"/>
              <w:rPr>
                <w:rFonts w:ascii="Times New Roman" w:hAnsi="Times New Roman"/>
                <w:b/>
                <w:bCs/>
                <w:color w:val="auto"/>
                <w:sz w:val="24"/>
                <w:szCs w:val="24"/>
              </w:rPr>
            </w:pPr>
            <w:r>
              <w:rPr>
                <w:rFonts w:ascii="Times New Roman" w:hAnsi="Times New Roman"/>
                <w:b/>
                <w:color w:val="auto"/>
                <w:sz w:val="24"/>
                <w:szCs w:val="24"/>
              </w:rPr>
              <w:t>现有工程二期工艺流程及产污环节图（红框内容为依托）</w:t>
            </w:r>
          </w:p>
          <w:p>
            <w:pPr>
              <w:widowControl w:val="0"/>
              <w:adjustRightInd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现有工程</w:t>
            </w:r>
            <w:r>
              <w:rPr>
                <w:rFonts w:hint="eastAsia" w:ascii="Times New Roman" w:hAnsi="Times New Roman"/>
                <w:bCs/>
                <w:color w:val="auto"/>
                <w:sz w:val="24"/>
                <w:szCs w:val="24"/>
              </w:rPr>
              <w:t>建设情况</w:t>
            </w:r>
            <w:r>
              <w:rPr>
                <w:rFonts w:ascii="Times New Roman" w:hAnsi="Times New Roman"/>
                <w:bCs/>
                <w:color w:val="auto"/>
                <w:sz w:val="24"/>
                <w:szCs w:val="24"/>
              </w:rPr>
              <w:t>如下。</w:t>
            </w:r>
          </w:p>
          <w:tbl>
            <w:tblPr>
              <w:tblStyle w:val="91"/>
              <w:tblW w:w="86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7"/>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vAlign w:val="center"/>
                </w:tcPr>
                <w:p>
                  <w:pPr>
                    <w:widowControl w:val="0"/>
                    <w:adjustRightInd w:val="0"/>
                    <w:spacing w:line="360" w:lineRule="auto"/>
                    <w:ind w:firstLine="0"/>
                    <w:jc w:val="center"/>
                    <w:textAlignment w:val="baseline"/>
                    <w:rPr>
                      <w:rFonts w:ascii="Times New Roman" w:hAnsi="Times New Roman"/>
                      <w:bCs/>
                      <w:color w:val="auto"/>
                      <w:sz w:val="24"/>
                      <w:szCs w:val="24"/>
                    </w:rPr>
                  </w:pPr>
                  <w:r>
                    <w:rPr>
                      <w:rFonts w:ascii="Times New Roman" w:hAnsi="Times New Roman"/>
                      <w:color w:val="auto"/>
                    </w:rPr>
                    <w:drawing>
                      <wp:inline distT="0" distB="0" distL="114300" distR="114300">
                        <wp:extent cx="2600325" cy="1400175"/>
                        <wp:effectExtent l="0" t="0" r="9525" b="9525"/>
                        <wp:docPr id="8" name="图片 8" descr="IMG_6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639"/>
                                <pic:cNvPicPr>
                                  <a:picLocks noChangeAspect="1"/>
                                </pic:cNvPicPr>
                              </pic:nvPicPr>
                              <pic:blipFill>
                                <a:blip r:embed="rId15"/>
                                <a:srcRect l="6207" r="10000" b="49421"/>
                                <a:stretch>
                                  <a:fillRect/>
                                </a:stretch>
                              </pic:blipFill>
                              <pic:spPr>
                                <a:xfrm>
                                  <a:off x="0" y="0"/>
                                  <a:ext cx="2603313" cy="1401784"/>
                                </a:xfrm>
                                <a:prstGeom prst="rect">
                                  <a:avLst/>
                                </a:prstGeom>
                                <a:ln>
                                  <a:noFill/>
                                </a:ln>
                              </pic:spPr>
                            </pic:pic>
                          </a:graphicData>
                        </a:graphic>
                      </wp:inline>
                    </w:drawing>
                  </w:r>
                </w:p>
              </w:tc>
              <w:tc>
                <w:tcPr>
                  <w:tcW w:w="4338" w:type="dxa"/>
                  <w:vAlign w:val="center"/>
                </w:tcPr>
                <w:p>
                  <w:pPr>
                    <w:widowControl w:val="0"/>
                    <w:adjustRightInd w:val="0"/>
                    <w:spacing w:line="360" w:lineRule="auto"/>
                    <w:ind w:firstLine="0"/>
                    <w:jc w:val="center"/>
                    <w:textAlignment w:val="baseline"/>
                    <w:rPr>
                      <w:rFonts w:ascii="Times New Roman" w:hAnsi="Times New Roman"/>
                      <w:bCs/>
                      <w:color w:val="auto"/>
                      <w:sz w:val="24"/>
                      <w:szCs w:val="24"/>
                    </w:rPr>
                  </w:pPr>
                  <w:r>
                    <w:rPr>
                      <w:rFonts w:ascii="Times New Roman" w:hAnsi="Times New Roman"/>
                      <w:color w:val="auto"/>
                    </w:rPr>
                    <w:drawing>
                      <wp:inline distT="0" distB="0" distL="114300" distR="114300">
                        <wp:extent cx="2552700" cy="1371600"/>
                        <wp:effectExtent l="0" t="0" r="0" b="0"/>
                        <wp:docPr id="36" name="图片 36" descr="现有储罐及火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现有储罐及火炬"/>
                                <pic:cNvPicPr>
                                  <a:picLocks noChangeAspect="1"/>
                                </pic:cNvPicPr>
                              </pic:nvPicPr>
                              <pic:blipFill>
                                <a:blip r:embed="rId16"/>
                                <a:srcRect l="22262" t="25678" b="18224"/>
                                <a:stretch>
                                  <a:fillRect/>
                                </a:stretch>
                              </pic:blipFill>
                              <pic:spPr>
                                <a:xfrm>
                                  <a:off x="0" y="0"/>
                                  <a:ext cx="2577274" cy="1384804"/>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37" w:type="dxa"/>
                  <w:vAlign w:val="center"/>
                </w:tcPr>
                <w:p>
                  <w:pPr>
                    <w:widowControl w:val="0"/>
                    <w:adjustRightInd w:val="0"/>
                    <w:spacing w:line="360" w:lineRule="auto"/>
                    <w:ind w:firstLine="510"/>
                    <w:jc w:val="center"/>
                    <w:textAlignment w:val="baseline"/>
                    <w:rPr>
                      <w:rFonts w:ascii="Times New Roman" w:hAnsi="Times New Roman"/>
                      <w:color w:val="auto"/>
                    </w:rPr>
                  </w:pPr>
                  <w:r>
                    <w:rPr>
                      <w:rFonts w:ascii="Times New Roman" w:hAnsi="Times New Roman"/>
                      <w:color w:val="auto"/>
                    </w:rPr>
                    <w:t>现有工程一期生产装置区</w:t>
                  </w:r>
                </w:p>
              </w:tc>
              <w:tc>
                <w:tcPr>
                  <w:tcW w:w="4338" w:type="dxa"/>
                  <w:vAlign w:val="center"/>
                </w:tcPr>
                <w:p>
                  <w:pPr>
                    <w:widowControl w:val="0"/>
                    <w:adjustRightInd w:val="0"/>
                    <w:spacing w:line="360" w:lineRule="auto"/>
                    <w:ind w:firstLine="510"/>
                    <w:jc w:val="center"/>
                    <w:textAlignment w:val="baseline"/>
                    <w:rPr>
                      <w:rFonts w:ascii="Times New Roman" w:hAnsi="Times New Roman"/>
                      <w:color w:val="auto"/>
                    </w:rPr>
                  </w:pPr>
                  <w:r>
                    <w:rPr>
                      <w:rFonts w:ascii="Times New Roman" w:hAnsi="Times New Roman"/>
                      <w:color w:val="auto"/>
                    </w:rPr>
                    <w:t>现有工程一期储罐及火炬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vAlign w:val="center"/>
                </w:tcPr>
                <w:p>
                  <w:pPr>
                    <w:widowControl w:val="0"/>
                    <w:adjustRightInd w:val="0"/>
                    <w:spacing w:line="360" w:lineRule="auto"/>
                    <w:ind w:firstLine="0"/>
                    <w:jc w:val="center"/>
                    <w:textAlignment w:val="baseline"/>
                    <w:rPr>
                      <w:rFonts w:ascii="Times New Roman" w:hAnsi="Times New Roman"/>
                      <w:bCs/>
                      <w:color w:val="auto"/>
                      <w:sz w:val="24"/>
                      <w:szCs w:val="24"/>
                    </w:rPr>
                  </w:pPr>
                  <w:r>
                    <w:rPr>
                      <w:rFonts w:ascii="Times New Roman" w:hAnsi="Times New Roman"/>
                      <w:color w:val="auto"/>
                    </w:rPr>
                    <w:drawing>
                      <wp:inline distT="0" distB="0" distL="114300" distR="114300">
                        <wp:extent cx="2612390" cy="1959610"/>
                        <wp:effectExtent l="0" t="0" r="0" b="2540"/>
                        <wp:docPr id="5" name="图片 5" descr="现有工程装车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现有工程装车区"/>
                                <pic:cNvPicPr>
                                  <a:picLocks noChangeAspect="1"/>
                                </pic:cNvPicPr>
                              </pic:nvPicPr>
                              <pic:blipFill>
                                <a:blip r:embed="rId17"/>
                                <a:stretch>
                                  <a:fillRect/>
                                </a:stretch>
                              </pic:blipFill>
                              <pic:spPr>
                                <a:xfrm>
                                  <a:off x="0" y="0"/>
                                  <a:ext cx="2625162" cy="1968721"/>
                                </a:xfrm>
                                <a:prstGeom prst="rect">
                                  <a:avLst/>
                                </a:prstGeom>
                              </pic:spPr>
                            </pic:pic>
                          </a:graphicData>
                        </a:graphic>
                      </wp:inline>
                    </w:drawing>
                  </w:r>
                </w:p>
              </w:tc>
              <w:tc>
                <w:tcPr>
                  <w:tcW w:w="4338" w:type="dxa"/>
                  <w:vAlign w:val="center"/>
                </w:tcPr>
                <w:p>
                  <w:pPr>
                    <w:widowControl w:val="0"/>
                    <w:adjustRightInd w:val="0"/>
                    <w:spacing w:line="360" w:lineRule="auto"/>
                    <w:ind w:firstLine="0"/>
                    <w:jc w:val="center"/>
                    <w:textAlignment w:val="baseline"/>
                    <w:rPr>
                      <w:rFonts w:ascii="Times New Roman" w:hAnsi="Times New Roman"/>
                      <w:bCs/>
                      <w:color w:val="auto"/>
                      <w:sz w:val="24"/>
                      <w:szCs w:val="24"/>
                    </w:rPr>
                  </w:pPr>
                  <w:r>
                    <w:rPr>
                      <w:rFonts w:ascii="Times New Roman" w:hAnsi="Times New Roman"/>
                      <w:color w:val="auto"/>
                    </w:rPr>
                    <w:drawing>
                      <wp:inline distT="0" distB="0" distL="114300" distR="114300">
                        <wp:extent cx="2621915" cy="1966595"/>
                        <wp:effectExtent l="0" t="0" r="6985" b="0"/>
                        <wp:docPr id="37" name="图片 37" descr="现有工程事故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现有工程事故水池"/>
                                <pic:cNvPicPr>
                                  <a:picLocks noChangeAspect="1"/>
                                </pic:cNvPicPr>
                              </pic:nvPicPr>
                              <pic:blipFill>
                                <a:blip r:embed="rId18"/>
                                <a:stretch>
                                  <a:fillRect/>
                                </a:stretch>
                              </pic:blipFill>
                              <pic:spPr>
                                <a:xfrm>
                                  <a:off x="0" y="0"/>
                                  <a:ext cx="2625553" cy="19690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7" w:type="dxa"/>
                  <w:vAlign w:val="center"/>
                </w:tcPr>
                <w:p>
                  <w:pPr>
                    <w:widowControl w:val="0"/>
                    <w:adjustRightInd w:val="0"/>
                    <w:spacing w:line="360" w:lineRule="auto"/>
                    <w:ind w:firstLine="510"/>
                    <w:jc w:val="center"/>
                    <w:textAlignment w:val="baseline"/>
                    <w:rPr>
                      <w:rFonts w:ascii="Times New Roman" w:hAnsi="Times New Roman"/>
                      <w:color w:val="auto"/>
                    </w:rPr>
                  </w:pPr>
                  <w:r>
                    <w:rPr>
                      <w:rFonts w:ascii="Times New Roman" w:hAnsi="Times New Roman"/>
                      <w:color w:val="auto"/>
                    </w:rPr>
                    <w:t>现有工程一期装车区</w:t>
                  </w:r>
                </w:p>
              </w:tc>
              <w:tc>
                <w:tcPr>
                  <w:tcW w:w="4338" w:type="dxa"/>
                  <w:vAlign w:val="center"/>
                </w:tcPr>
                <w:p>
                  <w:pPr>
                    <w:widowControl w:val="0"/>
                    <w:adjustRightInd w:val="0"/>
                    <w:spacing w:line="360" w:lineRule="auto"/>
                    <w:ind w:firstLine="510"/>
                    <w:jc w:val="center"/>
                    <w:textAlignment w:val="baseline"/>
                    <w:rPr>
                      <w:rFonts w:ascii="Times New Roman" w:hAnsi="Times New Roman"/>
                      <w:bCs/>
                      <w:color w:val="auto"/>
                      <w:sz w:val="24"/>
                      <w:szCs w:val="24"/>
                    </w:rPr>
                  </w:pPr>
                  <w:r>
                    <w:rPr>
                      <w:rFonts w:ascii="Times New Roman" w:hAnsi="Times New Roman"/>
                      <w:color w:val="auto"/>
                    </w:rPr>
                    <w:t>现有工程一期事故水池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5" w:type="dxa"/>
                  <w:gridSpan w:val="2"/>
                  <w:vAlign w:val="center"/>
                </w:tcPr>
                <w:p>
                  <w:pPr>
                    <w:widowControl w:val="0"/>
                    <w:adjustRightInd w:val="0"/>
                    <w:spacing w:line="360" w:lineRule="auto"/>
                    <w:ind w:firstLine="0"/>
                    <w:jc w:val="center"/>
                    <w:textAlignment w:val="baseline"/>
                    <w:rPr>
                      <w:rFonts w:ascii="Times New Roman" w:hAnsi="Times New Roman"/>
                      <w:bCs/>
                      <w:color w:val="auto"/>
                      <w:sz w:val="24"/>
                      <w:szCs w:val="24"/>
                    </w:rPr>
                  </w:pPr>
                  <w:r>
                    <w:rPr>
                      <w:rFonts w:ascii="Times New Roman" w:hAnsi="Times New Roman"/>
                      <w:bCs/>
                      <w:color w:val="auto"/>
                      <w:sz w:val="24"/>
                      <w:szCs w:val="24"/>
                    </w:rPr>
                    <w:drawing>
                      <wp:inline distT="0" distB="0" distL="0" distR="0">
                        <wp:extent cx="5372100" cy="252349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9" cstate="print">
                                  <a:extLst>
                                    <a:ext uri="{28A0092B-C50C-407E-A947-70E740481C1C}">
                                      <a14:useLocalDpi xmlns:a14="http://schemas.microsoft.com/office/drawing/2010/main" val="0"/>
                                    </a:ext>
                                  </a:extLst>
                                </a:blip>
                                <a:srcRect b="16459"/>
                                <a:stretch>
                                  <a:fillRect/>
                                </a:stretch>
                              </pic:blipFill>
                              <pic:spPr>
                                <a:xfrm>
                                  <a:off x="0" y="0"/>
                                  <a:ext cx="5373338" cy="2524263"/>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75" w:type="dxa"/>
                  <w:gridSpan w:val="2"/>
                  <w:vAlign w:val="center"/>
                </w:tcPr>
                <w:p>
                  <w:pPr>
                    <w:widowControl w:val="0"/>
                    <w:adjustRightInd w:val="0"/>
                    <w:spacing w:line="360" w:lineRule="auto"/>
                    <w:ind w:firstLine="0"/>
                    <w:jc w:val="center"/>
                    <w:textAlignment w:val="baseline"/>
                    <w:rPr>
                      <w:rFonts w:ascii="Times New Roman" w:hAnsi="Times New Roman"/>
                      <w:bCs/>
                      <w:color w:val="auto"/>
                      <w:sz w:val="24"/>
                      <w:szCs w:val="24"/>
                    </w:rPr>
                  </w:pPr>
                  <w:r>
                    <w:rPr>
                      <w:rFonts w:ascii="Times New Roman" w:hAnsi="Times New Roman"/>
                      <w:color w:val="auto"/>
                    </w:rPr>
                    <w:t>现有工程二期生产装置区</w:t>
                  </w:r>
                </w:p>
              </w:tc>
            </w:tr>
          </w:tbl>
          <w:p>
            <w:pPr>
              <w:pStyle w:val="329"/>
              <w:widowControl w:val="0"/>
              <w:numPr>
                <w:ilvl w:val="0"/>
                <w:numId w:val="14"/>
              </w:numPr>
              <w:spacing w:line="360" w:lineRule="auto"/>
              <w:ind w:left="0" w:firstLine="0" w:firstLineChars="0"/>
              <w:jc w:val="center"/>
              <w:rPr>
                <w:rFonts w:ascii="Times New Roman" w:hAnsi="Times New Roman"/>
                <w:b/>
                <w:bCs/>
                <w:color w:val="auto"/>
                <w:sz w:val="24"/>
                <w:szCs w:val="24"/>
              </w:rPr>
            </w:pPr>
            <w:r>
              <w:rPr>
                <w:rFonts w:ascii="Times New Roman" w:hAnsi="Times New Roman"/>
                <w:b/>
                <w:color w:val="auto"/>
                <w:sz w:val="24"/>
                <w:szCs w:val="24"/>
              </w:rPr>
              <w:t>现有工程现场</w:t>
            </w:r>
            <w:r>
              <w:rPr>
                <w:rFonts w:hint="eastAsia" w:ascii="Times New Roman" w:hAnsi="Times New Roman"/>
                <w:b/>
                <w:color w:val="auto"/>
                <w:sz w:val="24"/>
                <w:szCs w:val="24"/>
              </w:rPr>
              <w:t>建设情况</w:t>
            </w:r>
          </w:p>
          <w:p>
            <w:pPr>
              <w:widowControl w:val="0"/>
              <w:adjustRightInd w:val="0"/>
              <w:snapToGrid w:val="0"/>
              <w:spacing w:line="360" w:lineRule="auto"/>
              <w:rPr>
                <w:rFonts w:ascii="Times New Roman" w:hAnsi="Times New Roman"/>
                <w:b/>
                <w:color w:val="auto"/>
                <w:sz w:val="24"/>
              </w:rPr>
            </w:pPr>
            <w:r>
              <w:rPr>
                <w:rFonts w:ascii="Times New Roman" w:hAnsi="Times New Roman"/>
                <w:b/>
                <w:color w:val="auto"/>
                <w:sz w:val="24"/>
              </w:rPr>
              <w:t>2、现有工程污染物产排情况</w:t>
            </w:r>
          </w:p>
          <w:p>
            <w:pPr>
              <w:widowControl w:val="0"/>
              <w:adjustRightInd w:val="0"/>
              <w:spacing w:line="360" w:lineRule="auto"/>
              <w:ind w:firstLine="480" w:firstLineChars="200"/>
              <w:jc w:val="both"/>
              <w:rPr>
                <w:rFonts w:ascii="Times New Roman" w:hAnsi="Times New Roman"/>
                <w:bCs/>
                <w:color w:val="auto"/>
                <w:sz w:val="24"/>
                <w:szCs w:val="24"/>
                <w:highlight w:val="yellow"/>
              </w:rPr>
            </w:pPr>
            <w:r>
              <w:rPr>
                <w:rFonts w:hint="eastAsia" w:ascii="Times New Roman" w:hAnsi="Times New Roman"/>
                <w:bCs/>
                <w:color w:val="auto"/>
                <w:sz w:val="24"/>
                <w:szCs w:val="24"/>
              </w:rPr>
              <w:t>根据已批复的现有工程环评、验收报告和批复文件，现有工程污染物产生及排放情况见表16</w:t>
            </w:r>
            <w:r>
              <w:rPr>
                <w:rFonts w:ascii="Times New Roman" w:hAnsi="Times New Roman"/>
                <w:bCs/>
                <w:color w:val="auto"/>
                <w:sz w:val="24"/>
                <w:szCs w:val="24"/>
              </w:rPr>
              <w:t>。</w:t>
            </w:r>
          </w:p>
          <w:p>
            <w:pPr>
              <w:widowControl w:val="0"/>
              <w:numPr>
                <w:ilvl w:val="0"/>
                <w:numId w:val="13"/>
              </w:numPr>
              <w:jc w:val="center"/>
              <w:rPr>
                <w:rFonts w:ascii="Times New Roman" w:hAnsi="Times New Roman"/>
                <w:b/>
                <w:color w:val="auto"/>
                <w:sz w:val="24"/>
                <w:lang w:bidi="ar"/>
              </w:rPr>
            </w:pPr>
            <w:r>
              <w:rPr>
                <w:rFonts w:hint="eastAsia" w:ascii="Times New Roman" w:hAnsi="Times New Roman"/>
                <w:b/>
                <w:color w:val="auto"/>
                <w:sz w:val="24"/>
                <w:lang w:bidi="ar"/>
              </w:rPr>
              <w:t>现有工程主要污染物产</w:t>
            </w:r>
            <w:r>
              <w:rPr>
                <w:rFonts w:ascii="Times New Roman" w:hAnsi="Times New Roman"/>
                <w:b/>
                <w:color w:val="auto"/>
                <w:sz w:val="24"/>
                <w:lang w:bidi="ar"/>
              </w:rPr>
              <w:t>排</w:t>
            </w:r>
            <w:r>
              <w:rPr>
                <w:rFonts w:hint="eastAsia" w:ascii="Times New Roman" w:hAnsi="Times New Roman"/>
                <w:b/>
                <w:color w:val="auto"/>
                <w:sz w:val="24"/>
                <w:lang w:bidi="ar"/>
              </w:rPr>
              <w:t>情况</w:t>
            </w:r>
            <w:r>
              <w:rPr>
                <w:rFonts w:ascii="Times New Roman" w:hAnsi="Times New Roman"/>
                <w:b/>
                <w:color w:val="auto"/>
                <w:sz w:val="24"/>
                <w:lang w:bidi="ar"/>
              </w:rPr>
              <w:t>汇总</w:t>
            </w:r>
            <w:r>
              <w:rPr>
                <w:rFonts w:hint="eastAsia" w:ascii="Times New Roman" w:hAnsi="Times New Roman"/>
                <w:b/>
                <w:color w:val="auto"/>
                <w:sz w:val="24"/>
                <w:lang w:bidi="ar"/>
              </w:rPr>
              <w:t>表</w:t>
            </w:r>
          </w:p>
          <w:tbl>
            <w:tblPr>
              <w:tblStyle w:val="90"/>
              <w:tblW w:w="8679"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083"/>
              <w:gridCol w:w="1805"/>
              <w:gridCol w:w="1383"/>
              <w:gridCol w:w="1383"/>
              <w:gridCol w:w="1384"/>
              <w:gridCol w:w="16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083" w:type="dxa"/>
                  <w:vAlign w:val="center"/>
                </w:tcPr>
                <w:p>
                  <w:pPr>
                    <w:adjustRightInd w:val="0"/>
                    <w:snapToGrid w:val="0"/>
                    <w:jc w:val="center"/>
                    <w:rPr>
                      <w:rFonts w:ascii="Times New Roman" w:hAnsi="Times New Roman" w:eastAsia="黑体"/>
                      <w:b/>
                      <w:bCs/>
                      <w:color w:val="auto"/>
                      <w:szCs w:val="21"/>
                    </w:rPr>
                  </w:pPr>
                  <w:r>
                    <w:rPr>
                      <w:rFonts w:ascii="Times New Roman" w:hAnsi="Times New Roman"/>
                      <w:color w:val="auto"/>
                      <w:szCs w:val="21"/>
                    </w:rPr>
                    <w:t>类别</w:t>
                  </w:r>
                </w:p>
              </w:tc>
              <w:tc>
                <w:tcPr>
                  <w:tcW w:w="1805" w:type="dxa"/>
                  <w:vAlign w:val="center"/>
                </w:tcPr>
                <w:p>
                  <w:pPr>
                    <w:adjustRightInd w:val="0"/>
                    <w:snapToGrid w:val="0"/>
                    <w:jc w:val="center"/>
                    <w:rPr>
                      <w:rFonts w:ascii="Times New Roman" w:hAnsi="Times New Roman" w:eastAsia="黑体"/>
                      <w:b/>
                      <w:bCs/>
                      <w:color w:val="auto"/>
                      <w:szCs w:val="21"/>
                    </w:rPr>
                  </w:pPr>
                  <w:r>
                    <w:rPr>
                      <w:rFonts w:hint="eastAsia" w:ascii="Times New Roman" w:hAnsi="Times New Roman" w:eastAsia="黑体"/>
                      <w:color w:val="auto"/>
                      <w:szCs w:val="21"/>
                    </w:rPr>
                    <w:t>污染物</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单位</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现有</w:t>
                  </w:r>
                  <w:r>
                    <w:rPr>
                      <w:rFonts w:hint="eastAsia" w:ascii="Times New Roman" w:hAnsi="Times New Roman"/>
                      <w:color w:val="auto"/>
                      <w:szCs w:val="21"/>
                    </w:rPr>
                    <w:t>一</w:t>
                  </w:r>
                  <w:r>
                    <w:rPr>
                      <w:rFonts w:ascii="Times New Roman" w:hAnsi="Times New Roman"/>
                      <w:color w:val="auto"/>
                      <w:szCs w:val="21"/>
                    </w:rPr>
                    <w:t>期工程排放量</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现有二期工程排放量</w:t>
                  </w:r>
                </w:p>
              </w:tc>
              <w:tc>
                <w:tcPr>
                  <w:tcW w:w="1641" w:type="dxa"/>
                  <w:vAlign w:val="center"/>
                </w:tcPr>
                <w:p>
                  <w:pPr>
                    <w:adjustRightInd w:val="0"/>
                    <w:snapToGrid w:val="0"/>
                    <w:jc w:val="center"/>
                    <w:rPr>
                      <w:rFonts w:ascii="Times New Roman" w:hAnsi="Times New Roman" w:eastAsia="黑体"/>
                      <w:b/>
                      <w:bCs/>
                      <w:color w:val="auto"/>
                      <w:szCs w:val="21"/>
                    </w:rPr>
                  </w:pPr>
                  <w:r>
                    <w:rPr>
                      <w:rFonts w:ascii="Times New Roman" w:hAnsi="Times New Roman"/>
                      <w:color w:val="auto"/>
                      <w:szCs w:val="21"/>
                    </w:rPr>
                    <w:t>现有工程排放量总和</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废气</w:t>
                  </w: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废气量</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w:t>
                  </w:r>
                  <w:r>
                    <w:rPr>
                      <w:rFonts w:ascii="Times New Roman" w:hAnsi="Times New Roman"/>
                      <w:color w:val="auto"/>
                      <w:szCs w:val="21"/>
                      <w:vertAlign w:val="superscript"/>
                    </w:rPr>
                    <w:t>4</w:t>
                  </w:r>
                  <w:r>
                    <w:rPr>
                      <w:rFonts w:ascii="Times New Roman" w:hAnsi="Times New Roman"/>
                      <w:color w:val="auto"/>
                      <w:szCs w:val="21"/>
                    </w:rPr>
                    <w:t>m</w:t>
                  </w:r>
                  <w:r>
                    <w:rPr>
                      <w:rFonts w:ascii="Times New Roman" w:hAnsi="Times New Roman"/>
                      <w:color w:val="auto"/>
                      <w:szCs w:val="21"/>
                      <w:vertAlign w:val="superscript"/>
                    </w:rPr>
                    <w:t>3</w:t>
                  </w:r>
                  <w:r>
                    <w:rPr>
                      <w:rFonts w:ascii="Times New Roman" w:hAnsi="Times New Roman"/>
                      <w:color w:val="auto"/>
                      <w:szCs w:val="21"/>
                    </w:rPr>
                    <w: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9558.09</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7523.68</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17081.77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bCs/>
                      <w:color w:val="auto"/>
                      <w:szCs w:val="21"/>
                    </w:rPr>
                    <w:t>0.037</w:t>
                  </w:r>
                </w:p>
              </w:tc>
              <w:tc>
                <w:tcPr>
                  <w:tcW w:w="1384" w:type="dxa"/>
                  <w:vAlign w:val="center"/>
                </w:tcPr>
                <w:p>
                  <w:pPr>
                    <w:spacing w:line="320" w:lineRule="exact"/>
                    <w:jc w:val="center"/>
                    <w:textAlignment w:val="center"/>
                    <w:rPr>
                      <w:rFonts w:ascii="Times New Roman" w:hAnsi="Times New Roman"/>
                      <w:color w:val="auto"/>
                      <w:szCs w:val="21"/>
                    </w:rPr>
                  </w:pPr>
                  <w:r>
                    <w:rPr>
                      <w:rFonts w:ascii="Times New Roman" w:hAnsi="Times New Roman"/>
                      <w:color w:val="auto"/>
                      <w:sz w:val="22"/>
                    </w:rPr>
                    <w:t>0.093</w:t>
                  </w:r>
                </w:p>
              </w:tc>
              <w:tc>
                <w:tcPr>
                  <w:tcW w:w="1641" w:type="dxa"/>
                  <w:vAlign w:val="center"/>
                </w:tcPr>
                <w:p>
                  <w:pPr>
                    <w:spacing w:line="320" w:lineRule="exact"/>
                    <w:jc w:val="center"/>
                    <w:textAlignment w:val="center"/>
                    <w:rPr>
                      <w:rFonts w:ascii="Times New Roman" w:hAnsi="Times New Roman"/>
                      <w:color w:val="auto"/>
                      <w:szCs w:val="21"/>
                    </w:rPr>
                  </w:pPr>
                  <w:r>
                    <w:rPr>
                      <w:rFonts w:ascii="Times New Roman" w:hAnsi="Times New Roman"/>
                      <w:color w:val="auto"/>
                      <w:sz w:val="22"/>
                    </w:rPr>
                    <w:t>0.13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NO</w:t>
                  </w:r>
                  <w:r>
                    <w:rPr>
                      <w:rFonts w:ascii="Times New Roman" w:hAnsi="Times New Roman"/>
                      <w:color w:val="auto"/>
                      <w:szCs w:val="21"/>
                      <w:vertAlign w:val="subscript"/>
                    </w:rPr>
                    <w:t>x</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3.24</w:t>
                  </w:r>
                </w:p>
              </w:tc>
              <w:tc>
                <w:tcPr>
                  <w:tcW w:w="1384" w:type="dxa"/>
                  <w:vAlign w:val="center"/>
                </w:tcPr>
                <w:p>
                  <w:pPr>
                    <w:spacing w:line="320" w:lineRule="exact"/>
                    <w:jc w:val="center"/>
                    <w:textAlignment w:val="center"/>
                    <w:rPr>
                      <w:rFonts w:hint="default" w:ascii="Times New Roman" w:hAnsi="Times New Roman" w:eastAsia="宋体"/>
                      <w:color w:val="auto"/>
                      <w:szCs w:val="21"/>
                      <w:highlight w:val="yellow"/>
                      <w:lang w:val="en-US" w:eastAsia="zh-CN"/>
                    </w:rPr>
                  </w:pPr>
                  <w:r>
                    <w:rPr>
                      <w:rFonts w:hint="eastAsia" w:ascii="Times New Roman" w:hAnsi="Times New Roman"/>
                      <w:color w:val="auto"/>
                      <w:sz w:val="22"/>
                      <w:highlight w:val="none"/>
                      <w:lang w:val="en-US" w:eastAsia="zh-CN"/>
                    </w:rPr>
                    <w:t>3.445</w:t>
                  </w:r>
                </w:p>
              </w:tc>
              <w:tc>
                <w:tcPr>
                  <w:tcW w:w="1641" w:type="dxa"/>
                  <w:vAlign w:val="center"/>
                </w:tcPr>
                <w:p>
                  <w:pPr>
                    <w:spacing w:line="320" w:lineRule="exact"/>
                    <w:jc w:val="center"/>
                    <w:textAlignment w:val="center"/>
                    <w:rPr>
                      <w:rFonts w:hint="default" w:ascii="Times New Roman" w:hAnsi="Times New Roman" w:eastAsia="宋体"/>
                      <w:color w:val="auto"/>
                      <w:szCs w:val="21"/>
                      <w:highlight w:val="yellow"/>
                      <w:lang w:val="en-US" w:eastAsia="zh-CN"/>
                    </w:rPr>
                  </w:pPr>
                  <w:r>
                    <w:rPr>
                      <w:rFonts w:hint="eastAsia" w:ascii="Times New Roman" w:hAnsi="Times New Roman"/>
                      <w:color w:val="auto"/>
                      <w:szCs w:val="21"/>
                      <w:highlight w:val="none"/>
                      <w:lang w:val="en-US" w:eastAsia="zh-CN"/>
                    </w:rPr>
                    <w:t>6.685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烟尘</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1.03</w:t>
                  </w:r>
                </w:p>
              </w:tc>
              <w:tc>
                <w:tcPr>
                  <w:tcW w:w="1384" w:type="dxa"/>
                  <w:vAlign w:val="center"/>
                </w:tcPr>
                <w:p>
                  <w:pPr>
                    <w:spacing w:line="320" w:lineRule="exact"/>
                    <w:jc w:val="center"/>
                    <w:textAlignment w:val="center"/>
                    <w:rPr>
                      <w:rFonts w:ascii="Times New Roman" w:hAnsi="Times New Roman"/>
                      <w:color w:val="auto"/>
                      <w:szCs w:val="21"/>
                    </w:rPr>
                  </w:pPr>
                  <w:r>
                    <w:rPr>
                      <w:rFonts w:ascii="Times New Roman" w:hAnsi="Times New Roman"/>
                      <w:color w:val="auto"/>
                      <w:sz w:val="22"/>
                    </w:rPr>
                    <w:t>0.636</w:t>
                  </w:r>
                </w:p>
              </w:tc>
              <w:tc>
                <w:tcPr>
                  <w:tcW w:w="1641" w:type="dxa"/>
                  <w:vAlign w:val="center"/>
                </w:tcPr>
                <w:p>
                  <w:pPr>
                    <w:spacing w:line="320" w:lineRule="exact"/>
                    <w:jc w:val="center"/>
                    <w:textAlignment w:val="center"/>
                    <w:rPr>
                      <w:rFonts w:ascii="Times New Roman" w:hAnsi="Times New Roman"/>
                      <w:color w:val="auto"/>
                      <w:szCs w:val="21"/>
                    </w:rPr>
                  </w:pPr>
                  <w:r>
                    <w:rPr>
                      <w:rFonts w:ascii="Times New Roman" w:hAnsi="Times New Roman"/>
                      <w:color w:val="auto"/>
                      <w:sz w:val="22"/>
                    </w:rPr>
                    <w:t>1.666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非甲烷总烃</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0.58</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0.8</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1.38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废水</w:t>
                  </w: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COD</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石油类</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384" w:type="dxa"/>
                  <w:vAlign w:val="center"/>
                </w:tcPr>
                <w:p>
                  <w:pPr>
                    <w:adjustRightInd w:val="0"/>
                    <w:snapToGrid w:val="0"/>
                    <w:jc w:val="center"/>
                    <w:rPr>
                      <w:rFonts w:ascii="Times New Roman" w:hAnsi="Times New Roman" w:eastAsia="黑体"/>
                      <w:color w:val="auto"/>
                      <w:szCs w:val="21"/>
                    </w:rPr>
                  </w:pPr>
                  <w:r>
                    <w:rPr>
                      <w:rFonts w:ascii="Times New Roman" w:hAnsi="Times New Roman"/>
                      <w:color w:val="auto"/>
                      <w:szCs w:val="21"/>
                    </w:rPr>
                    <w:t>0</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固废</w:t>
                  </w: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危险</w:t>
                  </w:r>
                  <w:r>
                    <w:rPr>
                      <w:rFonts w:hint="eastAsia" w:ascii="Times New Roman" w:hAnsi="Times New Roman"/>
                      <w:color w:val="auto"/>
                      <w:szCs w:val="21"/>
                    </w:rPr>
                    <w:t>废物</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一般固体废物</w:t>
                  </w:r>
                </w:p>
              </w:tc>
              <w:tc>
                <w:tcPr>
                  <w:tcW w:w="1383"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3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641"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083" w:type="dxa"/>
                  <w:vMerge w:val="continue"/>
                  <w:vAlign w:val="center"/>
                </w:tcPr>
                <w:p>
                  <w:pPr>
                    <w:adjustRightInd w:val="0"/>
                    <w:snapToGrid w:val="0"/>
                    <w:jc w:val="center"/>
                    <w:rPr>
                      <w:rFonts w:ascii="Times New Roman" w:hAnsi="Times New Roman"/>
                      <w:color w:val="auto"/>
                      <w:szCs w:val="21"/>
                    </w:rPr>
                  </w:pPr>
                </w:p>
              </w:tc>
              <w:tc>
                <w:tcPr>
                  <w:tcW w:w="1805" w:type="dxa"/>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生活垃圾</w:t>
                  </w:r>
                </w:p>
              </w:tc>
              <w:tc>
                <w:tcPr>
                  <w:tcW w:w="1383" w:type="dxa"/>
                  <w:vAlign w:val="center"/>
                </w:tcPr>
                <w:p>
                  <w:pPr>
                    <w:adjustRightInd w:val="0"/>
                    <w:snapToGrid w:val="0"/>
                    <w:jc w:val="center"/>
                    <w:rPr>
                      <w:rFonts w:ascii="Times New Roman" w:hAnsi="Times New Roman"/>
                      <w:color w:val="auto"/>
                      <w:szCs w:val="21"/>
                      <w:highlight w:val="yellow"/>
                    </w:rPr>
                  </w:pPr>
                  <w:r>
                    <w:rPr>
                      <w:rFonts w:hint="eastAsia" w:ascii="Times New Roman" w:hAnsi="Times New Roman"/>
                      <w:color w:val="auto"/>
                      <w:szCs w:val="21"/>
                    </w:rPr>
                    <w:t>t/a</w:t>
                  </w:r>
                </w:p>
              </w:tc>
              <w:tc>
                <w:tcPr>
                  <w:tcW w:w="1383" w:type="dxa"/>
                  <w:vAlign w:val="center"/>
                </w:tcPr>
                <w:p>
                  <w:pPr>
                    <w:adjustRightInd w:val="0"/>
                    <w:snapToGrid w:val="0"/>
                    <w:jc w:val="center"/>
                    <w:rPr>
                      <w:rFonts w:ascii="Times New Roman" w:hAnsi="Times New Roman"/>
                      <w:color w:val="auto"/>
                      <w:szCs w:val="21"/>
                      <w:highlight w:val="yellow"/>
                    </w:rPr>
                  </w:pPr>
                  <w:r>
                    <w:rPr>
                      <w:rFonts w:hint="eastAsia" w:ascii="Times New Roman" w:hAnsi="Times New Roman"/>
                      <w:color w:val="auto"/>
                      <w:szCs w:val="21"/>
                    </w:rPr>
                    <w:t>0</w:t>
                  </w:r>
                </w:p>
              </w:tc>
              <w:tc>
                <w:tcPr>
                  <w:tcW w:w="1384" w:type="dxa"/>
                  <w:vAlign w:val="center"/>
                </w:tcPr>
                <w:p>
                  <w:pPr>
                    <w:adjustRightInd w:val="0"/>
                    <w:snapToGrid w:val="0"/>
                    <w:jc w:val="center"/>
                    <w:rPr>
                      <w:rFonts w:ascii="Times New Roman" w:hAnsi="Times New Roman"/>
                      <w:color w:val="auto"/>
                      <w:szCs w:val="21"/>
                      <w:highlight w:val="yellow"/>
                    </w:rPr>
                  </w:pPr>
                  <w:r>
                    <w:rPr>
                      <w:rFonts w:hint="eastAsia" w:ascii="Times New Roman" w:hAnsi="Times New Roman"/>
                      <w:color w:val="auto"/>
                      <w:szCs w:val="21"/>
                    </w:rPr>
                    <w:t>0</w:t>
                  </w:r>
                </w:p>
              </w:tc>
              <w:tc>
                <w:tcPr>
                  <w:tcW w:w="1641" w:type="dxa"/>
                  <w:vAlign w:val="center"/>
                </w:tcPr>
                <w:p>
                  <w:pPr>
                    <w:adjustRightInd w:val="0"/>
                    <w:snapToGrid w:val="0"/>
                    <w:jc w:val="center"/>
                    <w:rPr>
                      <w:rFonts w:ascii="Times New Roman" w:hAnsi="Times New Roman"/>
                      <w:color w:val="auto"/>
                      <w:szCs w:val="21"/>
                      <w:highlight w:val="yellow"/>
                    </w:rPr>
                  </w:pPr>
                  <w:r>
                    <w:rPr>
                      <w:rFonts w:hint="eastAsia" w:ascii="Times New Roman" w:hAnsi="Times New Roman"/>
                      <w:color w:val="auto"/>
                      <w:szCs w:val="21"/>
                    </w:rPr>
                    <w:t>0</w:t>
                  </w:r>
                </w:p>
              </w:tc>
            </w:tr>
          </w:tbl>
          <w:p>
            <w:pPr>
              <w:widowControl w:val="0"/>
              <w:numPr>
                <w:ilvl w:val="0"/>
                <w:numId w:val="19"/>
              </w:numPr>
              <w:adjustRightInd w:val="0"/>
              <w:spacing w:line="360" w:lineRule="auto"/>
              <w:jc w:val="both"/>
              <w:rPr>
                <w:rFonts w:ascii="Times New Roman" w:hAnsi="Times New Roman"/>
                <w:b/>
                <w:bCs/>
                <w:color w:val="auto"/>
                <w:sz w:val="24"/>
                <w:szCs w:val="24"/>
              </w:rPr>
            </w:pPr>
            <w:r>
              <w:rPr>
                <w:rFonts w:hint="eastAsia" w:ascii="Times New Roman" w:hAnsi="Times New Roman"/>
                <w:b/>
                <w:bCs/>
                <w:color w:val="auto"/>
                <w:sz w:val="24"/>
                <w:szCs w:val="24"/>
              </w:rPr>
              <w:t>现有工程环评批复、验收意见落实情况</w:t>
            </w:r>
          </w:p>
          <w:p>
            <w:pPr>
              <w:pStyle w:val="56"/>
              <w:ind w:firstLine="480"/>
              <w:rPr>
                <w:rFonts w:ascii="Times New Roman" w:hAnsi="Times New Roman"/>
                <w:bCs/>
                <w:color w:val="auto"/>
                <w:sz w:val="24"/>
                <w:szCs w:val="24"/>
              </w:rPr>
            </w:pPr>
            <w:r>
              <w:rPr>
                <w:rFonts w:hint="eastAsia" w:ascii="Times New Roman" w:hAnsi="Times New Roman"/>
                <w:bCs/>
                <w:color w:val="auto"/>
                <w:sz w:val="24"/>
                <w:szCs w:val="24"/>
              </w:rPr>
              <w:t>现有一期工程验收意见落实情况见表17，现有二期工程环评批复落实情况见表18。</w:t>
            </w:r>
          </w:p>
          <w:p>
            <w:pPr>
              <w:widowControl w:val="0"/>
              <w:numPr>
                <w:ilvl w:val="0"/>
                <w:numId w:val="13"/>
              </w:numPr>
              <w:jc w:val="center"/>
              <w:rPr>
                <w:rFonts w:ascii="Times New Roman" w:hAnsi="Times New Roman"/>
                <w:b/>
                <w:color w:val="auto"/>
                <w:sz w:val="24"/>
                <w:lang w:bidi="ar"/>
              </w:rPr>
            </w:pPr>
            <w:r>
              <w:rPr>
                <w:rFonts w:hint="eastAsia" w:ascii="Times New Roman" w:hAnsi="Times New Roman"/>
                <w:b/>
                <w:color w:val="auto"/>
                <w:sz w:val="24"/>
                <w:lang w:bidi="ar"/>
              </w:rPr>
              <w:t>现有一期工程验收意见落实情况</w:t>
            </w:r>
          </w:p>
          <w:tbl>
            <w:tblPr>
              <w:tblStyle w:val="90"/>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984"/>
              <w:gridCol w:w="3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69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序号</w:t>
                  </w:r>
                </w:p>
              </w:tc>
              <w:tc>
                <w:tcPr>
                  <w:tcW w:w="39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验收批复要求（榆政环批复〔2018〕37号）</w:t>
                  </w:r>
                </w:p>
              </w:tc>
              <w:tc>
                <w:tcPr>
                  <w:tcW w:w="377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69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p>
              </w:tc>
              <w:tc>
                <w:tcPr>
                  <w:tcW w:w="39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完善危险废物申报登记，建立危险废物管理计划及台账，危险废物交有资质单位处置，转移过程严格执行转移审批及电子联单等制度。</w:t>
                  </w:r>
                </w:p>
              </w:tc>
              <w:tc>
                <w:tcPr>
                  <w:tcW w:w="377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危险废物临时储存场建设规范、危险废物申报登记完整，台账详实，危险废物均交资质单位处置，转移过程执行了转移审批及电子联单制度。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1" w:hRule="atLeast"/>
              </w:trPr>
              <w:tc>
                <w:tcPr>
                  <w:tcW w:w="69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c>
                <w:tcPr>
                  <w:tcW w:w="39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应加强各项环保设施的日常维护和管理，并按《建设项目竣工环境保护验收暂行办法》的规定，对项目其它环境保护设施开展竣工环境保护验收，验收合格后，主体工程方可投入运营。</w:t>
                  </w:r>
                </w:p>
              </w:tc>
              <w:tc>
                <w:tcPr>
                  <w:tcW w:w="377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项目建设有严格的环保设施维护和管理制度，按照《建设项目竣工环境保护验收暂行办法》的规定开展了大气、废水的自主验收，通过自主验收，项目目前主体工程运行稳定。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695"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w:t>
                  </w:r>
                </w:p>
              </w:tc>
              <w:tc>
                <w:tcPr>
                  <w:tcW w:w="3984"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你单位应在10个工作日内将验收监测报告送靖边环保局备案。</w:t>
                  </w:r>
                </w:p>
              </w:tc>
              <w:tc>
                <w:tcPr>
                  <w:tcW w:w="377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验收批复后，在10个工作日内将验收报告送靖边环保局备案。</w:t>
                  </w:r>
                </w:p>
              </w:tc>
            </w:tr>
          </w:tbl>
          <w:p>
            <w:pPr>
              <w:widowControl w:val="0"/>
              <w:numPr>
                <w:ilvl w:val="0"/>
                <w:numId w:val="13"/>
              </w:numPr>
              <w:spacing w:before="171" w:beforeLines="50"/>
              <w:ind w:left="839" w:hanging="629"/>
              <w:jc w:val="center"/>
              <w:rPr>
                <w:rFonts w:ascii="Times New Roman" w:hAnsi="Times New Roman"/>
                <w:b/>
                <w:color w:val="auto"/>
                <w:sz w:val="24"/>
                <w:lang w:bidi="ar"/>
              </w:rPr>
            </w:pPr>
            <w:r>
              <w:rPr>
                <w:rFonts w:hint="eastAsia" w:ascii="Times New Roman" w:hAnsi="Times New Roman"/>
                <w:b/>
                <w:color w:val="auto"/>
                <w:sz w:val="24"/>
                <w:lang w:bidi="ar"/>
              </w:rPr>
              <w:t>现有二期工程环评及环评批复落实情况</w:t>
            </w:r>
          </w:p>
          <w:tbl>
            <w:tblPr>
              <w:tblStyle w:val="90"/>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93"/>
              <w:gridCol w:w="701"/>
              <w:gridCol w:w="2556"/>
              <w:gridCol w:w="2490"/>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56" w:hRule="atLeast"/>
              </w:trPr>
              <w:tc>
                <w:tcPr>
                  <w:tcW w:w="400"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污染</w:t>
                  </w:r>
                </w:p>
                <w:p>
                  <w:pPr>
                    <w:adjustRightInd w:val="0"/>
                    <w:snapToGrid w:val="0"/>
                    <w:jc w:val="center"/>
                    <w:rPr>
                      <w:rFonts w:ascii="Times New Roman" w:hAnsi="Times New Roman"/>
                      <w:color w:val="auto"/>
                      <w:szCs w:val="21"/>
                    </w:rPr>
                  </w:pPr>
                  <w:r>
                    <w:rPr>
                      <w:rFonts w:ascii="Times New Roman" w:hAnsi="Times New Roman"/>
                      <w:color w:val="auto"/>
                      <w:szCs w:val="21"/>
                    </w:rPr>
                    <w:t>项目</w:t>
                  </w:r>
                </w:p>
              </w:tc>
              <w:tc>
                <w:tcPr>
                  <w:tcW w:w="404"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项目</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环境影晌报告书内容</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环评批复内容</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2" w:hRule="atLeast"/>
              </w:trPr>
              <w:tc>
                <w:tcPr>
                  <w:tcW w:w="400" w:type="pct"/>
                  <w:vMerge w:val="restar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废气</w:t>
                  </w:r>
                </w:p>
              </w:tc>
              <w:tc>
                <w:tcPr>
                  <w:tcW w:w="404"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燃气蒸汽锅炉、燃气加热锅炉</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采用低氮燃烧器，燃烧废气通过20高排气筒排放，排放符合《锅炉大气污染物排放标准》（DB/1226-2018）。</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严格落实大气污染防治措施，锅炉废气排放执行《锅炉大气污染物排放标准》（DB/1226-2018）。</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采用低氮燃烧器，燃烧废气通过20高排气筒排放，排放符合《锅炉大气污染物排放标准》（DB/1226-2018）。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77" w:hRule="atLeast"/>
              </w:trPr>
              <w:tc>
                <w:tcPr>
                  <w:tcW w:w="400" w:type="pct"/>
                  <w:vMerge w:val="continue"/>
                  <w:shd w:val="clear" w:color="auto" w:fill="auto"/>
                  <w:vAlign w:val="center"/>
                </w:tcPr>
                <w:p>
                  <w:pPr>
                    <w:adjustRightInd w:val="0"/>
                    <w:snapToGrid w:val="0"/>
                    <w:jc w:val="center"/>
                    <w:rPr>
                      <w:rFonts w:ascii="Times New Roman" w:hAnsi="Times New Roman"/>
                      <w:color w:val="auto"/>
                      <w:szCs w:val="21"/>
                    </w:rPr>
                  </w:pPr>
                </w:p>
              </w:tc>
              <w:tc>
                <w:tcPr>
                  <w:tcW w:w="404"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乙烯、异戊烷、丙烯储罐</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正常情况下制冷剂漏损量很小，释放高度为5m，初始垂向扩散参数为8m。</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严格控制挥发性有机物无组织排放，确保厂界各类大气污染物达标排放。</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通过定期检查阀门情况等方式严控无组织废气排放。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652" w:hRule="atLeast"/>
              </w:trPr>
              <w:tc>
                <w:tcPr>
                  <w:tcW w:w="400" w:type="pct"/>
                  <w:vMerge w:val="restar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废水</w:t>
                  </w:r>
                </w:p>
              </w:tc>
              <w:tc>
                <w:tcPr>
                  <w:tcW w:w="404"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生活污</w:t>
                  </w:r>
                </w:p>
                <w:p>
                  <w:pPr>
                    <w:adjustRightInd w:val="0"/>
                    <w:snapToGrid w:val="0"/>
                    <w:jc w:val="center"/>
                    <w:rPr>
                      <w:rFonts w:ascii="Times New Roman" w:hAnsi="Times New Roman"/>
                      <w:color w:val="auto"/>
                      <w:szCs w:val="21"/>
                    </w:rPr>
                  </w:pPr>
                  <w:r>
                    <w:rPr>
                      <w:rFonts w:ascii="Times New Roman" w:hAnsi="Times New Roman"/>
                      <w:color w:val="auto"/>
                      <w:szCs w:val="21"/>
                    </w:rPr>
                    <w:t>水</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经井格栅</w:t>
                  </w:r>
                  <w:r>
                    <w:rPr>
                      <w:rFonts w:hint="eastAsia" w:ascii="Times New Roman" w:hAnsi="Times New Roman"/>
                      <w:color w:val="auto"/>
                      <w:szCs w:val="21"/>
                    </w:rPr>
                    <w:t>-化粪池和隔油池（食堂废水）两级沉淀池-</w:t>
                  </w:r>
                  <w:r>
                    <w:rPr>
                      <w:rFonts w:ascii="Times New Roman" w:hAnsi="Times New Roman"/>
                      <w:color w:val="auto"/>
                      <w:szCs w:val="21"/>
                    </w:rPr>
                    <w:t>CASS池</w:t>
                  </w:r>
                  <w:r>
                    <w:rPr>
                      <w:rFonts w:hint="eastAsia" w:ascii="Times New Roman" w:hAnsi="Times New Roman"/>
                      <w:color w:val="auto"/>
                      <w:szCs w:val="21"/>
                    </w:rPr>
                    <w:t>处理后灌溉季节回用于绿化，非灌溉季节外运至靖边县污水处理厂</w:t>
                  </w:r>
                  <w:r>
                    <w:rPr>
                      <w:rFonts w:ascii="Times New Roman" w:hAnsi="Times New Roman"/>
                      <w:color w:val="auto"/>
                      <w:szCs w:val="21"/>
                    </w:rPr>
                    <w:t>。</w:t>
                  </w:r>
                </w:p>
              </w:tc>
              <w:tc>
                <w:tcPr>
                  <w:tcW w:w="1438" w:type="pct"/>
                  <w:vMerge w:val="restar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严格按照报告书要求落实生产废水和生活污水的污染防治措施。加强生产过程管理，做好防渗、防漏等监控措施，防止污染地下水。</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经井格栅</w:t>
                  </w:r>
                  <w:r>
                    <w:rPr>
                      <w:rFonts w:hint="eastAsia" w:ascii="Times New Roman" w:hAnsi="Times New Roman"/>
                      <w:color w:val="auto"/>
                      <w:szCs w:val="21"/>
                    </w:rPr>
                    <w:t>-化粪池和隔油池（食堂废水）两级沉淀池-</w:t>
                  </w:r>
                  <w:r>
                    <w:rPr>
                      <w:rFonts w:ascii="Times New Roman" w:hAnsi="Times New Roman"/>
                      <w:color w:val="auto"/>
                      <w:szCs w:val="21"/>
                    </w:rPr>
                    <w:t>CASS池</w:t>
                  </w:r>
                  <w:r>
                    <w:rPr>
                      <w:rFonts w:hint="eastAsia" w:ascii="Times New Roman" w:hAnsi="Times New Roman"/>
                      <w:color w:val="auto"/>
                      <w:szCs w:val="21"/>
                    </w:rPr>
                    <w:t>处理后灌溉季节回用于绿化，非灌溉季节外运至靖边县污水处理厂</w:t>
                  </w: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77" w:hRule="atLeast"/>
              </w:trPr>
              <w:tc>
                <w:tcPr>
                  <w:tcW w:w="400" w:type="pct"/>
                  <w:vMerge w:val="continue"/>
                  <w:shd w:val="clear" w:color="auto" w:fill="auto"/>
                  <w:vAlign w:val="center"/>
                </w:tcPr>
                <w:p>
                  <w:pPr>
                    <w:adjustRightInd w:val="0"/>
                    <w:snapToGrid w:val="0"/>
                    <w:jc w:val="center"/>
                    <w:rPr>
                      <w:rFonts w:ascii="Times New Roman" w:hAnsi="Times New Roman"/>
                      <w:color w:val="auto"/>
                      <w:szCs w:val="21"/>
                    </w:rPr>
                  </w:pPr>
                </w:p>
              </w:tc>
              <w:tc>
                <w:tcPr>
                  <w:tcW w:w="404"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生产废</w:t>
                  </w:r>
                </w:p>
                <w:p>
                  <w:pPr>
                    <w:adjustRightInd w:val="0"/>
                    <w:snapToGrid w:val="0"/>
                    <w:jc w:val="center"/>
                    <w:rPr>
                      <w:rFonts w:ascii="Times New Roman" w:hAnsi="Times New Roman"/>
                      <w:color w:val="auto"/>
                      <w:szCs w:val="21"/>
                    </w:rPr>
                  </w:pPr>
                  <w:r>
                    <w:rPr>
                      <w:rFonts w:ascii="Times New Roman" w:hAnsi="Times New Roman"/>
                      <w:color w:val="auto"/>
                      <w:szCs w:val="21"/>
                    </w:rPr>
                    <w:t>水</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采用污水罐收集，并经管道输送至活性炭二级吸附处理设施进行预处理，处理后外运至靖边县污水处理厂</w:t>
                  </w:r>
                  <w:r>
                    <w:rPr>
                      <w:rFonts w:ascii="Times New Roman" w:hAnsi="Times New Roman"/>
                      <w:color w:val="auto"/>
                      <w:szCs w:val="21"/>
                    </w:rPr>
                    <w:t>。</w:t>
                  </w:r>
                </w:p>
              </w:tc>
              <w:tc>
                <w:tcPr>
                  <w:tcW w:w="1438" w:type="pct"/>
                  <w:vMerge w:val="continue"/>
                  <w:shd w:val="clear" w:color="auto" w:fill="auto"/>
                  <w:vAlign w:val="center"/>
                </w:tcPr>
                <w:p>
                  <w:pPr>
                    <w:adjustRightInd w:val="0"/>
                    <w:snapToGrid w:val="0"/>
                    <w:jc w:val="center"/>
                    <w:rPr>
                      <w:rFonts w:ascii="Times New Roman" w:hAnsi="Times New Roman"/>
                      <w:color w:val="auto"/>
                      <w:szCs w:val="21"/>
                    </w:rPr>
                  </w:pP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采用污水罐收集，并经管道输送至活性炭二级吸附处理设施进行预处理，处理后外运至靖边县污水处理厂</w:t>
                  </w: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1" w:hRule="atLeast"/>
              </w:trPr>
              <w:tc>
                <w:tcPr>
                  <w:tcW w:w="400" w:type="pct"/>
                  <w:vMerge w:val="restar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固体废物</w:t>
                  </w:r>
                </w:p>
              </w:tc>
              <w:tc>
                <w:tcPr>
                  <w:tcW w:w="404"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危险废物</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分类存放在专用容器中，在现有危废暂存间暂存，定期交由有资质的危废单位处理。</w:t>
                  </w:r>
                </w:p>
              </w:tc>
              <w:tc>
                <w:tcPr>
                  <w:tcW w:w="1438" w:type="pct"/>
                  <w:vMerge w:val="restar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项目产生的危险废物收集、贮存、运输、处置过程应按照《危险废物转移联单管理办法》、《危险废物贮存污染控制标准》（GB18597）等相关规定执行。</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分类存放在专用容器中，在现有危废暂存间暂存，定期交由有资质的危废单位处理。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1" w:hRule="atLeast"/>
              </w:trPr>
              <w:tc>
                <w:tcPr>
                  <w:tcW w:w="400" w:type="pct"/>
                  <w:vMerge w:val="continue"/>
                  <w:shd w:val="clear" w:color="auto" w:fill="auto"/>
                  <w:vAlign w:val="center"/>
                </w:tcPr>
                <w:p>
                  <w:pPr>
                    <w:adjustRightInd w:val="0"/>
                    <w:snapToGrid w:val="0"/>
                    <w:jc w:val="center"/>
                    <w:rPr>
                      <w:rFonts w:ascii="Times New Roman" w:hAnsi="Times New Roman"/>
                      <w:color w:val="auto"/>
                      <w:szCs w:val="21"/>
                    </w:rPr>
                  </w:pPr>
                </w:p>
              </w:tc>
              <w:tc>
                <w:tcPr>
                  <w:tcW w:w="404"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一般固体废物</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禁止混入生活垃圾和危险废物中处理，暂存于现有厂区一般固体废物暂存间，后交由厂家回收再生。</w:t>
                  </w:r>
                </w:p>
              </w:tc>
              <w:tc>
                <w:tcPr>
                  <w:tcW w:w="1438" w:type="pct"/>
                  <w:vMerge w:val="continue"/>
                  <w:shd w:val="clear" w:color="auto" w:fill="auto"/>
                  <w:vAlign w:val="center"/>
                </w:tcPr>
                <w:p>
                  <w:pPr>
                    <w:adjustRightInd w:val="0"/>
                    <w:snapToGrid w:val="0"/>
                    <w:jc w:val="center"/>
                    <w:rPr>
                      <w:rFonts w:ascii="Times New Roman" w:hAnsi="Times New Roman"/>
                      <w:color w:val="auto"/>
                      <w:szCs w:val="21"/>
                    </w:rPr>
                  </w:pP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暂存于现有厂区一般固体废物暂存间，后交由厂家回收再生。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51" w:hRule="atLeast"/>
              </w:trPr>
              <w:tc>
                <w:tcPr>
                  <w:tcW w:w="400" w:type="pct"/>
                  <w:vMerge w:val="continue"/>
                  <w:shd w:val="clear" w:color="auto" w:fill="auto"/>
                  <w:vAlign w:val="center"/>
                </w:tcPr>
                <w:p>
                  <w:pPr>
                    <w:adjustRightInd w:val="0"/>
                    <w:snapToGrid w:val="0"/>
                    <w:jc w:val="center"/>
                    <w:rPr>
                      <w:rFonts w:ascii="Times New Roman" w:hAnsi="Times New Roman"/>
                      <w:color w:val="auto"/>
                      <w:szCs w:val="21"/>
                    </w:rPr>
                  </w:pPr>
                </w:p>
              </w:tc>
              <w:tc>
                <w:tcPr>
                  <w:tcW w:w="404"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生活垃圾</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厂区垃圾箱统一收集后，交由当地环卫部门处理。</w:t>
                  </w:r>
                </w:p>
              </w:tc>
              <w:tc>
                <w:tcPr>
                  <w:tcW w:w="1438" w:type="pct"/>
                  <w:vMerge w:val="continue"/>
                  <w:shd w:val="clear" w:color="auto" w:fill="auto"/>
                  <w:vAlign w:val="center"/>
                </w:tcPr>
                <w:p>
                  <w:pPr>
                    <w:adjustRightInd w:val="0"/>
                    <w:snapToGrid w:val="0"/>
                    <w:jc w:val="center"/>
                    <w:rPr>
                      <w:rFonts w:ascii="Times New Roman" w:hAnsi="Times New Roman"/>
                      <w:color w:val="auto"/>
                      <w:szCs w:val="21"/>
                    </w:rPr>
                  </w:pP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厂区垃圾箱统一收集后，交由当地环卫部门处理。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04" w:hRule="atLeast"/>
              </w:trPr>
              <w:tc>
                <w:tcPr>
                  <w:tcW w:w="805" w:type="pct"/>
                  <w:gridSpan w:val="2"/>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噪声</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选用低噪声设备</w:t>
                  </w:r>
                  <w:r>
                    <w:rPr>
                      <w:rFonts w:hint="eastAsia" w:ascii="Times New Roman" w:hAnsi="Times New Roman"/>
                      <w:color w:val="auto"/>
                      <w:szCs w:val="21"/>
                    </w:rPr>
                    <w:t>、基础减震、室内布置、隔声门窗、</w:t>
                  </w:r>
                  <w:r>
                    <w:rPr>
                      <w:rFonts w:ascii="Times New Roman" w:hAnsi="Times New Roman"/>
                      <w:color w:val="auto"/>
                      <w:szCs w:val="21"/>
                    </w:rPr>
                    <w:t>风机</w:t>
                  </w:r>
                  <w:r>
                    <w:rPr>
                      <w:rFonts w:hint="eastAsia" w:ascii="Times New Roman" w:hAnsi="Times New Roman"/>
                      <w:color w:val="auto"/>
                      <w:szCs w:val="21"/>
                    </w:rPr>
                    <w:t>加</w:t>
                  </w:r>
                  <w:r>
                    <w:rPr>
                      <w:rFonts w:ascii="Times New Roman" w:hAnsi="Times New Roman"/>
                      <w:color w:val="auto"/>
                      <w:szCs w:val="21"/>
                    </w:rPr>
                    <w:t>装消声器等</w:t>
                  </w:r>
                  <w:r>
                    <w:rPr>
                      <w:rFonts w:hint="eastAsia" w:ascii="Times New Roman" w:hAnsi="Times New Roman"/>
                      <w:color w:val="auto"/>
                      <w:szCs w:val="21"/>
                    </w:rPr>
                    <w:t>降噪措施</w:t>
                  </w:r>
                  <w:r>
                    <w:rPr>
                      <w:rFonts w:ascii="Times New Roman" w:hAnsi="Times New Roman"/>
                      <w:color w:val="auto"/>
                      <w:szCs w:val="21"/>
                      <w:lang w:val="zh-TW"/>
                    </w:rPr>
                    <w:t>。</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严格落实噪声污染控制措施，优先选择低噪声设备，对高噪声设备采取相应的降噪措施，确保厂界噪声达标。</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选用低噪声设备</w:t>
                  </w:r>
                  <w:r>
                    <w:rPr>
                      <w:rFonts w:hint="eastAsia" w:ascii="Times New Roman" w:hAnsi="Times New Roman"/>
                      <w:color w:val="auto"/>
                      <w:szCs w:val="21"/>
                    </w:rPr>
                    <w:t>、基础减震、室内布置、隔声门窗、</w:t>
                  </w:r>
                  <w:r>
                    <w:rPr>
                      <w:rFonts w:ascii="Times New Roman" w:hAnsi="Times New Roman"/>
                      <w:color w:val="auto"/>
                      <w:szCs w:val="21"/>
                    </w:rPr>
                    <w:t>风机</w:t>
                  </w:r>
                  <w:r>
                    <w:rPr>
                      <w:rFonts w:hint="eastAsia" w:ascii="Times New Roman" w:hAnsi="Times New Roman"/>
                      <w:color w:val="auto"/>
                      <w:szCs w:val="21"/>
                    </w:rPr>
                    <w:t>加</w:t>
                  </w:r>
                  <w:r>
                    <w:rPr>
                      <w:rFonts w:ascii="Times New Roman" w:hAnsi="Times New Roman"/>
                      <w:color w:val="auto"/>
                      <w:szCs w:val="21"/>
                    </w:rPr>
                    <w:t>装消声器等</w:t>
                  </w:r>
                  <w:r>
                    <w:rPr>
                      <w:rFonts w:hint="eastAsia" w:ascii="Times New Roman" w:hAnsi="Times New Roman"/>
                      <w:color w:val="auto"/>
                      <w:szCs w:val="21"/>
                    </w:rPr>
                    <w:t>降噪措施</w:t>
                  </w:r>
                  <w:r>
                    <w:rPr>
                      <w:rFonts w:ascii="Times New Roman" w:hAnsi="Times New Roman"/>
                      <w:color w:val="auto"/>
                      <w:szCs w:val="21"/>
                      <w:lang w:val="zh-TW"/>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377" w:hRule="atLeast"/>
              </w:trPr>
              <w:tc>
                <w:tcPr>
                  <w:tcW w:w="805" w:type="pct"/>
                  <w:gridSpan w:val="2"/>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事故防范</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制冷剂及污水罐区设置有围堰，围堰尺寸为28</w:t>
                  </w:r>
                  <w:r>
                    <w:rPr>
                      <w:rFonts w:ascii="Arial" w:hAnsi="Arial" w:cs="Arial"/>
                      <w:color w:val="auto"/>
                      <w:szCs w:val="21"/>
                    </w:rPr>
                    <w:t>×</w:t>
                  </w:r>
                  <w:r>
                    <w:rPr>
                      <w:rFonts w:hint="eastAsia" w:ascii="Times New Roman" w:hAnsi="Times New Roman"/>
                      <w:color w:val="auto"/>
                      <w:szCs w:val="21"/>
                    </w:rPr>
                    <w:t>18.3，高度0.55m，容积218m</w:t>
                  </w:r>
                  <w:r>
                    <w:rPr>
                      <w:rFonts w:hint="eastAsia" w:ascii="Times New Roman" w:hAnsi="Times New Roman"/>
                      <w:color w:val="auto"/>
                      <w:szCs w:val="21"/>
                      <w:vertAlign w:val="superscript"/>
                    </w:rPr>
                    <w:t>3</w:t>
                  </w:r>
                  <w:r>
                    <w:rPr>
                      <w:rFonts w:hint="eastAsia" w:ascii="Times New Roman" w:hAnsi="Times New Roman"/>
                      <w:color w:val="auto"/>
                      <w:szCs w:val="21"/>
                    </w:rPr>
                    <w:t>；LNG储罐围堰高4.75m，围堰面积7674m</w:t>
                  </w:r>
                  <w:r>
                    <w:rPr>
                      <w:rFonts w:hint="eastAsia" w:ascii="Times New Roman" w:hAnsi="Times New Roman"/>
                      <w:color w:val="auto"/>
                      <w:szCs w:val="21"/>
                      <w:vertAlign w:val="superscript"/>
                    </w:rPr>
                    <w:t>2</w:t>
                  </w:r>
                  <w:r>
                    <w:rPr>
                      <w:rFonts w:hint="eastAsia" w:ascii="Times New Roman" w:hAnsi="Times New Roman"/>
                      <w:color w:val="auto"/>
                      <w:szCs w:val="21"/>
                    </w:rPr>
                    <w:t>，围堰容积36451.5m</w:t>
                  </w:r>
                  <w:r>
                    <w:rPr>
                      <w:rFonts w:hint="eastAsia" w:ascii="Times New Roman" w:hAnsi="Times New Roman"/>
                      <w:color w:val="auto"/>
                      <w:szCs w:val="21"/>
                      <w:vertAlign w:val="superscript"/>
                    </w:rPr>
                    <w:t>3</w:t>
                  </w:r>
                  <w:r>
                    <w:rPr>
                      <w:rFonts w:hint="eastAsia" w:ascii="Times New Roman" w:hAnsi="Times New Roman"/>
                      <w:color w:val="auto"/>
                      <w:szCs w:val="21"/>
                    </w:rPr>
                    <w:t>，依托现有工程3座事故集液池（共234.15m</w:t>
                  </w:r>
                  <w:r>
                    <w:rPr>
                      <w:rFonts w:hint="eastAsia" w:ascii="Times New Roman" w:hAnsi="Times New Roman"/>
                      <w:color w:val="auto"/>
                      <w:szCs w:val="21"/>
                      <w:vertAlign w:val="superscript"/>
                    </w:rPr>
                    <w:t>3</w:t>
                  </w:r>
                  <w:r>
                    <w:rPr>
                      <w:rFonts w:hint="eastAsia" w:ascii="Times New Roman" w:hAnsi="Times New Roman"/>
                      <w:color w:val="auto"/>
                      <w:szCs w:val="21"/>
                    </w:rPr>
                    <w:t>）、1座事故水池（1000m</w:t>
                  </w:r>
                  <w:r>
                    <w:rPr>
                      <w:rFonts w:hint="eastAsia" w:ascii="Times New Roman" w:hAnsi="Times New Roman"/>
                      <w:color w:val="auto"/>
                      <w:szCs w:val="21"/>
                      <w:vertAlign w:val="superscript"/>
                    </w:rPr>
                    <w:t>3</w:t>
                  </w:r>
                  <w:r>
                    <w:rPr>
                      <w:rFonts w:hint="eastAsia" w:ascii="Times New Roman" w:hAnsi="Times New Roman"/>
                      <w:color w:val="auto"/>
                      <w:szCs w:val="21"/>
                    </w:rPr>
                    <w:t>）、1座消防水池（6000m</w:t>
                  </w:r>
                  <w:r>
                    <w:rPr>
                      <w:rFonts w:hint="eastAsia" w:ascii="Times New Roman" w:hAnsi="Times New Roman"/>
                      <w:color w:val="auto"/>
                      <w:szCs w:val="21"/>
                      <w:vertAlign w:val="superscript"/>
                    </w:rPr>
                    <w:t>3</w:t>
                  </w:r>
                  <w:r>
                    <w:rPr>
                      <w:rFonts w:hint="eastAsia" w:ascii="Times New Roman" w:hAnsi="Times New Roman"/>
                      <w:color w:val="auto"/>
                      <w:szCs w:val="21"/>
                    </w:rPr>
                    <w:t>）。</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制冷剂及污水罐区设置有围堰，围堰尺寸为28</w:t>
                  </w:r>
                  <w:r>
                    <w:rPr>
                      <w:rFonts w:ascii="Arial" w:hAnsi="Arial" w:cs="Arial"/>
                      <w:color w:val="auto"/>
                      <w:szCs w:val="21"/>
                    </w:rPr>
                    <w:t>×</w:t>
                  </w:r>
                  <w:r>
                    <w:rPr>
                      <w:rFonts w:hint="eastAsia" w:ascii="Times New Roman" w:hAnsi="Times New Roman"/>
                      <w:color w:val="auto"/>
                      <w:szCs w:val="21"/>
                    </w:rPr>
                    <w:t>18.3，高度0.55m，容积218m</w:t>
                  </w:r>
                  <w:r>
                    <w:rPr>
                      <w:rFonts w:hint="eastAsia" w:ascii="Times New Roman" w:hAnsi="Times New Roman"/>
                      <w:color w:val="auto"/>
                      <w:szCs w:val="21"/>
                      <w:vertAlign w:val="superscript"/>
                    </w:rPr>
                    <w:t>3</w:t>
                  </w:r>
                  <w:r>
                    <w:rPr>
                      <w:rFonts w:hint="eastAsia" w:ascii="Times New Roman" w:hAnsi="Times New Roman"/>
                      <w:color w:val="auto"/>
                      <w:szCs w:val="21"/>
                    </w:rPr>
                    <w:t>；LNG储罐围堰高4.75m，围堰面积7674m</w:t>
                  </w:r>
                  <w:r>
                    <w:rPr>
                      <w:rFonts w:hint="eastAsia" w:ascii="Times New Roman" w:hAnsi="Times New Roman"/>
                      <w:color w:val="auto"/>
                      <w:szCs w:val="21"/>
                      <w:vertAlign w:val="superscript"/>
                    </w:rPr>
                    <w:t>2</w:t>
                  </w:r>
                  <w:r>
                    <w:rPr>
                      <w:rFonts w:hint="eastAsia" w:ascii="Times New Roman" w:hAnsi="Times New Roman"/>
                      <w:color w:val="auto"/>
                      <w:szCs w:val="21"/>
                    </w:rPr>
                    <w:t>，围堰容积36451.5m</w:t>
                  </w:r>
                  <w:r>
                    <w:rPr>
                      <w:rFonts w:hint="eastAsia" w:ascii="Times New Roman" w:hAnsi="Times New Roman"/>
                      <w:color w:val="auto"/>
                      <w:szCs w:val="21"/>
                      <w:vertAlign w:val="superscript"/>
                    </w:rPr>
                    <w:t>3</w:t>
                  </w:r>
                  <w:r>
                    <w:rPr>
                      <w:rFonts w:hint="eastAsia" w:ascii="Times New Roman" w:hAnsi="Times New Roman"/>
                      <w:color w:val="auto"/>
                      <w:szCs w:val="21"/>
                    </w:rPr>
                    <w:t>，依托现有工程3座事故集液池（共234.15m</w:t>
                  </w:r>
                  <w:r>
                    <w:rPr>
                      <w:rFonts w:hint="eastAsia" w:ascii="Times New Roman" w:hAnsi="Times New Roman"/>
                      <w:color w:val="auto"/>
                      <w:szCs w:val="21"/>
                      <w:vertAlign w:val="superscript"/>
                    </w:rPr>
                    <w:t>3</w:t>
                  </w:r>
                  <w:r>
                    <w:rPr>
                      <w:rFonts w:hint="eastAsia" w:ascii="Times New Roman" w:hAnsi="Times New Roman"/>
                      <w:color w:val="auto"/>
                      <w:szCs w:val="21"/>
                    </w:rPr>
                    <w:t>）、1座事故水池（1000m</w:t>
                  </w:r>
                  <w:r>
                    <w:rPr>
                      <w:rFonts w:hint="eastAsia" w:ascii="Times New Roman" w:hAnsi="Times New Roman"/>
                      <w:color w:val="auto"/>
                      <w:szCs w:val="21"/>
                      <w:vertAlign w:val="superscript"/>
                    </w:rPr>
                    <w:t>3</w:t>
                  </w:r>
                  <w:r>
                    <w:rPr>
                      <w:rFonts w:hint="eastAsia" w:ascii="Times New Roman" w:hAnsi="Times New Roman"/>
                      <w:color w:val="auto"/>
                      <w:szCs w:val="21"/>
                    </w:rPr>
                    <w:t>）、1座消防水池（6000m</w:t>
                  </w:r>
                  <w:r>
                    <w:rPr>
                      <w:rFonts w:hint="eastAsia" w:ascii="Times New Roman" w:hAnsi="Times New Roman"/>
                      <w:color w:val="auto"/>
                      <w:szCs w:val="21"/>
                      <w:vertAlign w:val="superscript"/>
                    </w:rPr>
                    <w:t>3</w:t>
                  </w:r>
                  <w:r>
                    <w:rPr>
                      <w:rFonts w:hint="eastAsia"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841" w:hRule="atLeast"/>
              </w:trPr>
              <w:tc>
                <w:tcPr>
                  <w:tcW w:w="805" w:type="pct"/>
                  <w:gridSpan w:val="2"/>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“以新带老”</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（1）厂区生活污水处理设施应进行维修、调试，确保稳定运行，将处理后的生活污水用于厂区内绿化，非绿化灌溉季节运至靖边县污水处理厂；</w:t>
                  </w:r>
                </w:p>
                <w:p>
                  <w:pPr>
                    <w:adjustRightInd w:val="0"/>
                    <w:snapToGrid w:val="0"/>
                    <w:jc w:val="center"/>
                    <w:rPr>
                      <w:rFonts w:ascii="Times New Roman" w:hAnsi="Times New Roman"/>
                      <w:color w:val="auto"/>
                      <w:szCs w:val="21"/>
                    </w:rPr>
                  </w:pPr>
                  <w:r>
                    <w:rPr>
                      <w:rFonts w:hint="eastAsia" w:ascii="Times New Roman" w:hAnsi="Times New Roman"/>
                      <w:color w:val="auto"/>
                      <w:szCs w:val="21"/>
                    </w:rPr>
                    <w:t>（2）现有二期工程新建的生产废水处理设施规模已考虑到一期工程，污水经处理后外运靖边县污水处理厂。</w:t>
                  </w:r>
                </w:p>
                <w:p>
                  <w:pPr>
                    <w:adjustRightInd w:val="0"/>
                    <w:snapToGrid w:val="0"/>
                    <w:jc w:val="center"/>
                    <w:rPr>
                      <w:rFonts w:ascii="Times New Roman" w:hAnsi="Times New Roman"/>
                      <w:color w:val="auto"/>
                      <w:szCs w:val="21"/>
                    </w:rPr>
                  </w:pPr>
                  <w:r>
                    <w:rPr>
                      <w:rFonts w:hint="eastAsia" w:ascii="Times New Roman" w:hAnsi="Times New Roman"/>
                      <w:color w:val="auto"/>
                      <w:szCs w:val="21"/>
                    </w:rPr>
                    <w:t>（3）现有二期工程加热炉增设低氮燃烧器，使得NOx污染物排放符合《锅炉大气污染物排放标准》（DB61/1226-2018）表3现有燃气锅炉标准。</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整改现有工程存在的环保问题，按照“以新带老”的要求，尽快落实各项污染防治及整改措施。</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生活污水处理设施正常稳定运行，新建生产废水处理设施，加热炉增加使用低氮燃烧器。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66" w:hRule="atLeast"/>
              </w:trPr>
              <w:tc>
                <w:tcPr>
                  <w:tcW w:w="805" w:type="pct"/>
                  <w:gridSpan w:val="2"/>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环境管理</w:t>
                  </w:r>
                </w:p>
              </w:tc>
              <w:tc>
                <w:tcPr>
                  <w:tcW w:w="1476"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制定完善的环境风险和安全防范管理制度，编制风险应急预案，确保项目安全、平稳运行。</w:t>
                  </w:r>
                </w:p>
              </w:tc>
              <w:tc>
                <w:tcPr>
                  <w:tcW w:w="1438"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加强环境风险防范，制定突发环境事件应急预案，按规定报生态环境主管部门备案，并定期进行演练。</w:t>
                  </w:r>
                </w:p>
              </w:tc>
              <w:tc>
                <w:tcPr>
                  <w:tcW w:w="1279" w:type="pct"/>
                  <w:shd w:val="clear" w:color="auto" w:fill="auto"/>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编制风险应急预案并备案，定期进行演练。</w:t>
                  </w:r>
                </w:p>
              </w:tc>
            </w:tr>
          </w:tbl>
          <w:p>
            <w:pPr>
              <w:widowControl w:val="0"/>
              <w:adjustRightInd w:val="0"/>
              <w:spacing w:line="360" w:lineRule="auto"/>
              <w:jc w:val="both"/>
              <w:rPr>
                <w:rFonts w:ascii="Times New Roman" w:hAnsi="Times New Roman"/>
                <w:b/>
                <w:bCs/>
                <w:color w:val="auto"/>
                <w:sz w:val="24"/>
                <w:szCs w:val="24"/>
                <w:highlight w:val="yellow"/>
              </w:rPr>
            </w:pPr>
            <w:r>
              <w:rPr>
                <w:rFonts w:hint="eastAsia" w:ascii="Times New Roman" w:hAnsi="Times New Roman"/>
                <w:b/>
                <w:bCs/>
                <w:color w:val="auto"/>
                <w:sz w:val="24"/>
                <w:szCs w:val="24"/>
              </w:rPr>
              <w:t>4、</w:t>
            </w:r>
            <w:r>
              <w:rPr>
                <w:rFonts w:ascii="Times New Roman" w:hAnsi="Times New Roman"/>
                <w:b/>
                <w:bCs/>
                <w:color w:val="auto"/>
                <w:sz w:val="24"/>
                <w:szCs w:val="24"/>
              </w:rPr>
              <w:t>现有工程存在的环境问题及</w:t>
            </w:r>
            <w:r>
              <w:rPr>
                <w:rFonts w:hint="eastAsia" w:ascii="Times New Roman" w:hAnsi="Times New Roman"/>
                <w:b/>
                <w:bCs/>
                <w:color w:val="auto"/>
                <w:sz w:val="24"/>
                <w:szCs w:val="24"/>
                <w:highlight w:val="none"/>
              </w:rPr>
              <w:t>“</w:t>
            </w:r>
            <w:r>
              <w:rPr>
                <w:rFonts w:ascii="Times New Roman" w:hAnsi="Times New Roman"/>
                <w:b/>
                <w:bCs/>
                <w:color w:val="auto"/>
                <w:sz w:val="24"/>
                <w:szCs w:val="24"/>
                <w:highlight w:val="none"/>
              </w:rPr>
              <w:t>以新带老</w:t>
            </w:r>
            <w:r>
              <w:rPr>
                <w:rFonts w:hint="eastAsia" w:ascii="Times New Roman" w:hAnsi="Times New Roman"/>
                <w:b/>
                <w:bCs/>
                <w:color w:val="auto"/>
                <w:sz w:val="24"/>
                <w:szCs w:val="24"/>
                <w:highlight w:val="none"/>
              </w:rPr>
              <w:t>”措施</w:t>
            </w:r>
            <w:r>
              <w:rPr>
                <w:rFonts w:ascii="Times New Roman" w:hAnsi="Times New Roman"/>
                <w:b/>
                <w:bCs/>
                <w:color w:val="auto"/>
                <w:sz w:val="24"/>
                <w:szCs w:val="24"/>
                <w:highlight w:val="none"/>
              </w:rPr>
              <w:t>分析</w:t>
            </w:r>
          </w:p>
          <w:p>
            <w:pPr>
              <w:widowControl w:val="0"/>
              <w:adjustRightInd w:val="0"/>
              <w:spacing w:line="360" w:lineRule="auto"/>
              <w:ind w:firstLine="480" w:firstLineChars="200"/>
              <w:jc w:val="both"/>
              <w:rPr>
                <w:rFonts w:hint="eastAsia" w:ascii="Times New Roman" w:hAnsi="Times New Roman"/>
                <w:bCs/>
                <w:color w:val="auto"/>
                <w:sz w:val="24"/>
                <w:szCs w:val="24"/>
                <w:lang w:eastAsia="zh-CN"/>
              </w:rPr>
            </w:pPr>
            <w:r>
              <w:rPr>
                <w:rFonts w:ascii="Times New Roman" w:hAnsi="Times New Roman"/>
                <w:bCs/>
                <w:color w:val="auto"/>
                <w:sz w:val="24"/>
                <w:szCs w:val="24"/>
              </w:rPr>
              <w:t>本项目</w:t>
            </w:r>
            <w:r>
              <w:rPr>
                <w:rFonts w:hint="eastAsia" w:ascii="Times New Roman" w:hAnsi="Times New Roman"/>
                <w:bCs/>
                <w:color w:val="auto"/>
                <w:sz w:val="24"/>
                <w:szCs w:val="24"/>
              </w:rPr>
              <w:t>现有工程</w:t>
            </w:r>
            <w:r>
              <w:rPr>
                <w:rFonts w:hint="eastAsia" w:ascii="Times New Roman" w:hAnsi="Times New Roman"/>
                <w:bCs/>
                <w:color w:val="auto"/>
                <w:sz w:val="24"/>
                <w:szCs w:val="24"/>
                <w:lang w:eastAsia="zh-CN"/>
              </w:rPr>
              <w:t>一期项目于2013年12月份建成投产，二期项目于20</w:t>
            </w:r>
            <w:r>
              <w:rPr>
                <w:rFonts w:hint="eastAsia" w:ascii="Times New Roman" w:hAnsi="Times New Roman"/>
                <w:bCs/>
                <w:color w:val="auto"/>
                <w:sz w:val="24"/>
                <w:szCs w:val="24"/>
                <w:lang w:val="en-US" w:eastAsia="zh-CN"/>
              </w:rPr>
              <w:t>22</w:t>
            </w:r>
            <w:r>
              <w:rPr>
                <w:rFonts w:hint="eastAsia" w:ascii="Times New Roman" w:hAnsi="Times New Roman"/>
                <w:bCs/>
                <w:color w:val="auto"/>
                <w:sz w:val="24"/>
                <w:szCs w:val="24"/>
                <w:lang w:eastAsia="zh-CN"/>
              </w:rPr>
              <w:t>年</w:t>
            </w:r>
            <w:r>
              <w:rPr>
                <w:rFonts w:hint="eastAsia" w:ascii="Times New Roman" w:hAnsi="Times New Roman"/>
                <w:bCs/>
                <w:color w:val="auto"/>
                <w:sz w:val="24"/>
                <w:szCs w:val="24"/>
                <w:lang w:val="en-US" w:eastAsia="zh-CN"/>
              </w:rPr>
              <w:t>9</w:t>
            </w:r>
            <w:r>
              <w:rPr>
                <w:rFonts w:hint="eastAsia" w:ascii="Times New Roman" w:hAnsi="Times New Roman"/>
                <w:bCs/>
                <w:color w:val="auto"/>
                <w:sz w:val="24"/>
                <w:szCs w:val="24"/>
                <w:lang w:eastAsia="zh-CN"/>
              </w:rPr>
              <w:t>月份建成并试运行，并</w:t>
            </w:r>
            <w:r>
              <w:rPr>
                <w:rFonts w:hint="eastAsia" w:ascii="Times New Roman" w:hAnsi="Times New Roman"/>
                <w:bCs/>
                <w:color w:val="auto"/>
                <w:sz w:val="24"/>
                <w:szCs w:val="24"/>
                <w:highlight w:val="none"/>
                <w:lang w:eastAsia="zh-CN"/>
              </w:rPr>
              <w:t>按环保要求建设了各项环保设施。一期项目运行至</w:t>
            </w:r>
            <w:r>
              <w:rPr>
                <w:rFonts w:hint="eastAsia" w:ascii="Times New Roman" w:hAnsi="Times New Roman"/>
                <w:bCs/>
                <w:color w:val="auto"/>
                <w:sz w:val="24"/>
                <w:szCs w:val="24"/>
                <w:lang w:eastAsia="zh-CN"/>
              </w:rPr>
              <w:t>今工况稳定，根据一期项目验收监测结果，一期项目废水、废气、噪声均能达标排放，各项环保设施排放能满足标准要求。在进行二期环评现场调查时发现一期项目存在的环保问题主要有三点：第一、一期项目于2014年5月~2017年11月之间未投入生产，生活污水处理系统也未进行调试运行，一期项目投产后由于生活污水处理系统运转不正常，故生活污水处理方式采用罐车拉运至靖边污水处理厂处理，虽然能满足要求，但造成环保设施闲置，增加运输过程中相关污染及环境风险；第二、一期项目原设计未考虑生产废水处理，生产废水与生活污水一并收集后用靖边污水处理厂处理，不符合污水应分质处理；第三、一期项目加热炉污染物排放均符合原批复的《工业炉窑大气污染物排放标准》（GB9078-1996）标准，但经核查NOx应执行《锅炉大气污染物排放标准》（DB61/1226-2018）表3燃气锅炉标准，对照该标准NOx浓度超过排放标准。针对以上问题，二期环评提出了相应的“以新代老”措施后，目前公司已采取了相应的处置措施，包括维修调试生活污水处理设施，确保稳定运行，将处理后的生活污水用于厂区内绿化，非绿化灌溉季节运至靖边县污水处理厂；新建了生产废水处理设施，设施规模将一期项目考虑在内，生产废水经处理后外运至靖边县污水处理厂；一期项目加热炉安装了低氮燃烧器，使NOx排放浓度符合《锅炉大气污染物排放标准》（DB61/1226-2018）表3燃气锅炉标准。</w:t>
            </w:r>
          </w:p>
          <w:p>
            <w:pPr>
              <w:widowControl w:val="0"/>
              <w:adjustRightInd w:val="0"/>
              <w:spacing w:line="360" w:lineRule="auto"/>
              <w:ind w:firstLine="480" w:firstLineChars="200"/>
              <w:jc w:val="both"/>
              <w:rPr>
                <w:rFonts w:hint="eastAsia" w:ascii="Times New Roman" w:hAnsi="Times New Roman"/>
                <w:bCs/>
                <w:color w:val="auto"/>
                <w:sz w:val="24"/>
                <w:szCs w:val="24"/>
                <w:lang w:eastAsia="zh-CN"/>
              </w:rPr>
            </w:pPr>
            <w:r>
              <w:rPr>
                <w:rFonts w:hint="eastAsia" w:ascii="Times New Roman" w:hAnsi="Times New Roman"/>
                <w:bCs/>
                <w:color w:val="auto"/>
                <w:sz w:val="24"/>
                <w:szCs w:val="24"/>
                <w:lang w:eastAsia="zh-CN"/>
              </w:rPr>
              <w:t>一期项目在落实二期环评提出的“以新代老”措施后，运行时各污染物均能达标排放，一期项目不再存在环境问题。二期项目试运行阶段一切装置运行状况良好，各类污染物排放均符合相关标准，未发现环境问题。</w:t>
            </w:r>
          </w:p>
          <w:p>
            <w:pPr>
              <w:widowControl w:val="0"/>
              <w:adjustRightInd w:val="0"/>
              <w:spacing w:line="360" w:lineRule="auto"/>
              <w:ind w:firstLine="480" w:firstLineChars="200"/>
              <w:jc w:val="both"/>
              <w:rPr>
                <w:rFonts w:hint="eastAsia" w:ascii="Times New Roman" w:hAnsi="Times New Roman"/>
                <w:bCs/>
                <w:color w:val="auto"/>
                <w:sz w:val="24"/>
                <w:szCs w:val="24"/>
              </w:rPr>
            </w:pPr>
            <w:r>
              <w:rPr>
                <w:rFonts w:hint="eastAsia" w:ascii="Times New Roman" w:hAnsi="Times New Roman"/>
                <w:bCs/>
                <w:color w:val="auto"/>
                <w:sz w:val="24"/>
                <w:szCs w:val="24"/>
                <w:lang w:eastAsia="zh-CN"/>
              </w:rPr>
              <w:t>综上所述</w:t>
            </w:r>
            <w:r>
              <w:rPr>
                <w:rFonts w:hint="eastAsia" w:ascii="Times New Roman" w:hAnsi="Times New Roman"/>
                <w:bCs/>
                <w:color w:val="auto"/>
                <w:sz w:val="24"/>
                <w:szCs w:val="24"/>
              </w:rPr>
              <w:t>，</w:t>
            </w:r>
            <w:r>
              <w:rPr>
                <w:rFonts w:hint="eastAsia" w:ascii="Times New Roman" w:hAnsi="Times New Roman"/>
                <w:bCs/>
                <w:color w:val="auto"/>
                <w:sz w:val="24"/>
                <w:szCs w:val="24"/>
                <w:lang w:eastAsia="zh-CN"/>
              </w:rPr>
              <w:t>本项目</w:t>
            </w:r>
            <w:r>
              <w:rPr>
                <w:rFonts w:ascii="Times New Roman" w:hAnsi="Times New Roman"/>
                <w:bCs/>
                <w:color w:val="auto"/>
                <w:sz w:val="24"/>
                <w:szCs w:val="24"/>
              </w:rPr>
              <w:t>现有工程</w:t>
            </w:r>
            <w:r>
              <w:rPr>
                <w:rFonts w:hint="eastAsia" w:ascii="Times New Roman" w:hAnsi="Times New Roman"/>
                <w:bCs/>
                <w:color w:val="auto"/>
                <w:sz w:val="24"/>
                <w:szCs w:val="24"/>
                <w:lang w:eastAsia="zh-CN"/>
              </w:rPr>
              <w:t>运行状况均较好，</w:t>
            </w:r>
            <w:r>
              <w:rPr>
                <w:rFonts w:ascii="Times New Roman" w:hAnsi="Times New Roman"/>
                <w:bCs/>
                <w:color w:val="auto"/>
                <w:sz w:val="24"/>
                <w:szCs w:val="24"/>
              </w:rPr>
              <w:t>不存在环境问题</w:t>
            </w:r>
            <w:r>
              <w:rPr>
                <w:rFonts w:hint="eastAsia" w:ascii="Times New Roman" w:hAnsi="Times New Roman"/>
                <w:bCs/>
                <w:color w:val="auto"/>
                <w:sz w:val="24"/>
                <w:szCs w:val="24"/>
              </w:rPr>
              <w:t>。本环评不进行“以新带老”分析。</w:t>
            </w:r>
          </w:p>
        </w:tc>
      </w:tr>
    </w:tbl>
    <w:p>
      <w:pPr>
        <w:pStyle w:val="329"/>
        <w:keepNext/>
        <w:keepLines/>
        <w:pageBreakBefore/>
        <w:numPr>
          <w:ilvl w:val="0"/>
          <w:numId w:val="12"/>
        </w:numPr>
        <w:snapToGrid w:val="0"/>
        <w:ind w:firstLineChars="0"/>
        <w:jc w:val="center"/>
        <w:outlineLvl w:val="0"/>
        <w:rPr>
          <w:rFonts w:ascii="Times New Roman" w:hAnsi="Times New Roman"/>
          <w:b/>
          <w:bCs/>
          <w:color w:val="auto"/>
          <w:sz w:val="32"/>
          <w:szCs w:val="32"/>
        </w:rPr>
      </w:pPr>
      <w:r>
        <w:rPr>
          <w:rFonts w:ascii="Times New Roman" w:hAnsi="Times New Roman"/>
          <w:b/>
          <w:bCs/>
          <w:color w:val="auto"/>
          <w:sz w:val="32"/>
          <w:szCs w:val="32"/>
        </w:rPr>
        <w:t>区域环境质量现状、环境保护目标及评价标准</w:t>
      </w:r>
    </w:p>
    <w:tbl>
      <w:tblPr>
        <w:tblStyle w:val="90"/>
        <w:tblW w:w="91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9"/>
        <w:gridCol w:w="86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90" w:hRule="atLeast"/>
          <w:jc w:val="center"/>
        </w:trPr>
        <w:tc>
          <w:tcPr>
            <w:tcW w:w="509" w:type="dxa"/>
            <w:tcMar>
              <w:left w:w="0" w:type="dxa"/>
              <w:right w:w="0" w:type="dxa"/>
            </w:tcMar>
            <w:vAlign w:val="center"/>
          </w:tcPr>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区域</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环境</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质量</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现状</w:t>
            </w:r>
          </w:p>
        </w:tc>
        <w:tc>
          <w:tcPr>
            <w:tcW w:w="8648" w:type="dxa"/>
          </w:tcPr>
          <w:p>
            <w:pPr>
              <w:widowControl w:val="0"/>
              <w:spacing w:line="360" w:lineRule="auto"/>
              <w:jc w:val="both"/>
              <w:rPr>
                <w:rFonts w:ascii="Times New Roman" w:hAnsi="Times New Roman"/>
                <w:b/>
                <w:color w:val="auto"/>
                <w:sz w:val="24"/>
                <w:szCs w:val="24"/>
              </w:rPr>
            </w:pPr>
            <w:r>
              <w:rPr>
                <w:rFonts w:ascii="Times New Roman" w:hAnsi="Times New Roman"/>
                <w:b/>
                <w:color w:val="auto"/>
                <w:sz w:val="24"/>
                <w:szCs w:val="24"/>
              </w:rPr>
              <w:t>一、环境空气质量现状</w:t>
            </w:r>
          </w:p>
          <w:p>
            <w:pPr>
              <w:widowControl w:val="0"/>
              <w:spacing w:line="360" w:lineRule="auto"/>
              <w:ind w:firstLine="482" w:firstLineChars="200"/>
              <w:jc w:val="both"/>
              <w:rPr>
                <w:rFonts w:ascii="Times New Roman" w:hAnsi="Times New Roman"/>
                <w:b/>
                <w:bCs/>
                <w:color w:val="auto"/>
                <w:sz w:val="24"/>
                <w:lang w:bidi="ar"/>
              </w:rPr>
            </w:pPr>
            <w:r>
              <w:rPr>
                <w:rFonts w:ascii="Times New Roman" w:hAnsi="Times New Roman"/>
                <w:b/>
                <w:bCs/>
                <w:color w:val="auto"/>
                <w:sz w:val="24"/>
                <w:lang w:bidi="ar"/>
              </w:rPr>
              <w:t>1、区域达标性分析</w:t>
            </w:r>
          </w:p>
          <w:p>
            <w:pPr>
              <w:widowControl w:val="0"/>
              <w:spacing w:line="360" w:lineRule="auto"/>
              <w:ind w:firstLine="480" w:firstLineChars="200"/>
              <w:jc w:val="both"/>
              <w:rPr>
                <w:rFonts w:ascii="Times New Roman" w:hAnsi="Times New Roman"/>
                <w:color w:val="auto"/>
                <w:sz w:val="24"/>
                <w:lang w:bidi="ar"/>
              </w:rPr>
            </w:pPr>
            <w:r>
              <w:rPr>
                <w:rFonts w:ascii="Times New Roman" w:hAnsi="Times New Roman"/>
                <w:color w:val="auto"/>
                <w:sz w:val="24"/>
                <w:lang w:bidi="ar"/>
              </w:rPr>
              <w:t>本项目评价采用陕西省生态环境厅办公室202</w:t>
            </w:r>
            <w:r>
              <w:rPr>
                <w:rFonts w:hint="eastAsia" w:ascii="Times New Roman" w:hAnsi="Times New Roman"/>
                <w:color w:val="auto"/>
                <w:sz w:val="24"/>
                <w:lang w:val="en-US" w:eastAsia="zh-CN" w:bidi="ar"/>
              </w:rPr>
              <w:t>3</w:t>
            </w:r>
            <w:r>
              <w:rPr>
                <w:rFonts w:ascii="Times New Roman" w:hAnsi="Times New Roman"/>
                <w:color w:val="auto"/>
                <w:sz w:val="24"/>
                <w:lang w:bidi="ar"/>
              </w:rPr>
              <w:t>年1月1</w:t>
            </w:r>
            <w:r>
              <w:rPr>
                <w:rFonts w:hint="eastAsia" w:ascii="Times New Roman" w:hAnsi="Times New Roman"/>
                <w:color w:val="auto"/>
                <w:sz w:val="24"/>
                <w:lang w:val="en-US" w:eastAsia="zh-CN" w:bidi="ar"/>
              </w:rPr>
              <w:t>8</w:t>
            </w:r>
            <w:r>
              <w:rPr>
                <w:rFonts w:ascii="Times New Roman" w:hAnsi="Times New Roman"/>
                <w:color w:val="auto"/>
                <w:sz w:val="24"/>
                <w:lang w:bidi="ar"/>
              </w:rPr>
              <w:t>日发布的《环保快报》（SNJB0048）中</w:t>
            </w:r>
            <w:r>
              <w:rPr>
                <w:rFonts w:hint="eastAsia" w:ascii="Times New Roman" w:hAnsi="Times New Roman"/>
                <w:color w:val="auto"/>
                <w:sz w:val="24"/>
                <w:lang w:bidi="ar"/>
              </w:rPr>
              <w:t>“</w:t>
            </w:r>
            <w:r>
              <w:rPr>
                <w:rFonts w:ascii="Times New Roman" w:hAnsi="Times New Roman"/>
                <w:color w:val="auto"/>
                <w:sz w:val="24"/>
                <w:lang w:bidi="ar"/>
              </w:rPr>
              <w:t>附表5 202</w:t>
            </w:r>
            <w:r>
              <w:rPr>
                <w:rFonts w:hint="eastAsia" w:ascii="Times New Roman" w:hAnsi="Times New Roman"/>
                <w:color w:val="auto"/>
                <w:sz w:val="24"/>
                <w:lang w:val="en-US" w:eastAsia="zh-CN" w:bidi="ar"/>
              </w:rPr>
              <w:t>2</w:t>
            </w:r>
            <w:r>
              <w:rPr>
                <w:rFonts w:ascii="Times New Roman" w:hAnsi="Times New Roman"/>
                <w:color w:val="auto"/>
                <w:sz w:val="24"/>
                <w:lang w:bidi="ar"/>
              </w:rPr>
              <w:t>年1~12月陕北地区26个县（区）空气质量状况统计表</w:t>
            </w:r>
            <w:r>
              <w:rPr>
                <w:rFonts w:hint="eastAsia" w:ascii="Times New Roman" w:hAnsi="Times New Roman"/>
                <w:color w:val="auto"/>
                <w:sz w:val="24"/>
                <w:lang w:bidi="ar"/>
              </w:rPr>
              <w:t>”</w:t>
            </w:r>
            <w:r>
              <w:rPr>
                <w:rFonts w:ascii="Times New Roman" w:hAnsi="Times New Roman"/>
                <w:color w:val="auto"/>
                <w:sz w:val="24"/>
                <w:lang w:bidi="ar"/>
              </w:rPr>
              <w:t>中靖边县的数据，判定本项目区域环境空气质量达标情况，见表</w:t>
            </w:r>
            <w:r>
              <w:rPr>
                <w:rFonts w:hint="eastAsia" w:ascii="Times New Roman" w:hAnsi="Times New Roman"/>
                <w:color w:val="auto"/>
                <w:sz w:val="24"/>
                <w:lang w:bidi="ar"/>
              </w:rPr>
              <w:t>19</w:t>
            </w:r>
            <w:r>
              <w:rPr>
                <w:rFonts w:ascii="Times New Roman" w:hAnsi="Times New Roman"/>
                <w:color w:val="auto"/>
                <w:sz w:val="24"/>
                <w:lang w:bidi="ar"/>
              </w:rPr>
              <w:t>。</w:t>
            </w:r>
          </w:p>
          <w:p>
            <w:pPr>
              <w:widowControl w:val="0"/>
              <w:numPr>
                <w:ilvl w:val="0"/>
                <w:numId w:val="13"/>
              </w:numPr>
              <w:jc w:val="center"/>
              <w:rPr>
                <w:rFonts w:ascii="Times New Roman" w:hAnsi="Times New Roman"/>
                <w:b/>
                <w:color w:val="auto"/>
                <w:sz w:val="24"/>
                <w:lang w:bidi="ar"/>
              </w:rPr>
            </w:pPr>
            <w:r>
              <w:rPr>
                <w:rFonts w:ascii="Times New Roman" w:hAnsi="Times New Roman"/>
                <w:b/>
                <w:color w:val="auto"/>
                <w:sz w:val="24"/>
                <w:lang w:bidi="ar"/>
              </w:rPr>
              <w:t>靖边县20</w:t>
            </w:r>
            <w:r>
              <w:rPr>
                <w:rFonts w:hint="eastAsia" w:ascii="Times New Roman" w:hAnsi="Times New Roman"/>
                <w:b/>
                <w:color w:val="auto"/>
                <w:sz w:val="24"/>
                <w:lang w:bidi="ar"/>
              </w:rPr>
              <w:t>2</w:t>
            </w:r>
            <w:r>
              <w:rPr>
                <w:rFonts w:hint="eastAsia" w:ascii="Times New Roman" w:hAnsi="Times New Roman"/>
                <w:b/>
                <w:color w:val="auto"/>
                <w:sz w:val="24"/>
                <w:lang w:val="en-US" w:eastAsia="zh-CN" w:bidi="ar"/>
              </w:rPr>
              <w:t>2</w:t>
            </w:r>
            <w:r>
              <w:rPr>
                <w:rFonts w:ascii="Times New Roman" w:hAnsi="Times New Roman"/>
                <w:b/>
                <w:color w:val="auto"/>
                <w:sz w:val="24"/>
                <w:lang w:bidi="ar"/>
              </w:rPr>
              <w:t>年环境空气质量状况统计结果</w:t>
            </w:r>
          </w:p>
          <w:tbl>
            <w:tblPr>
              <w:tblStyle w:val="9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166"/>
              <w:gridCol w:w="1407"/>
              <w:gridCol w:w="1242"/>
              <w:gridCol w:w="1155"/>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662" w:type="pct"/>
                  <w:vAlign w:val="center"/>
                </w:tcPr>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污染物</w:t>
                  </w:r>
                </w:p>
              </w:tc>
              <w:tc>
                <w:tcPr>
                  <w:tcW w:w="1286" w:type="pct"/>
                  <w:vAlign w:val="center"/>
                </w:tcPr>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年评价指标</w:t>
                  </w:r>
                </w:p>
              </w:tc>
              <w:tc>
                <w:tcPr>
                  <w:tcW w:w="835" w:type="pct"/>
                  <w:vAlign w:val="center"/>
                </w:tcPr>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现状浓度</w:t>
                  </w:r>
                </w:p>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（µg/m</w:t>
                  </w:r>
                  <w:r>
                    <w:rPr>
                      <w:rFonts w:ascii="Times New Roman" w:hAnsi="Times New Roman"/>
                      <w:bCs/>
                      <w:color w:val="auto"/>
                      <w:szCs w:val="21"/>
                      <w:vertAlign w:val="superscript"/>
                    </w:rPr>
                    <w:t>3</w:t>
                  </w:r>
                  <w:r>
                    <w:rPr>
                      <w:rFonts w:ascii="Times New Roman" w:hAnsi="Times New Roman"/>
                      <w:bCs/>
                      <w:color w:val="auto"/>
                      <w:szCs w:val="21"/>
                    </w:rPr>
                    <w:t>）</w:t>
                  </w:r>
                </w:p>
              </w:tc>
              <w:tc>
                <w:tcPr>
                  <w:tcW w:w="737" w:type="pct"/>
                  <w:vAlign w:val="center"/>
                </w:tcPr>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标准值（µg/m</w:t>
                  </w:r>
                  <w:r>
                    <w:rPr>
                      <w:rFonts w:ascii="Times New Roman" w:hAnsi="Times New Roman"/>
                      <w:bCs/>
                      <w:color w:val="auto"/>
                      <w:szCs w:val="21"/>
                      <w:vertAlign w:val="superscript"/>
                    </w:rPr>
                    <w:t>3</w:t>
                  </w:r>
                  <w:r>
                    <w:rPr>
                      <w:rFonts w:ascii="Times New Roman" w:hAnsi="Times New Roman"/>
                      <w:bCs/>
                      <w:color w:val="auto"/>
                      <w:szCs w:val="21"/>
                    </w:rPr>
                    <w:t>）</w:t>
                  </w:r>
                </w:p>
              </w:tc>
              <w:tc>
                <w:tcPr>
                  <w:tcW w:w="686" w:type="pct"/>
                  <w:vAlign w:val="center"/>
                </w:tcPr>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占标率</w:t>
                  </w:r>
                </w:p>
              </w:tc>
              <w:tc>
                <w:tcPr>
                  <w:tcW w:w="791" w:type="pct"/>
                  <w:vAlign w:val="center"/>
                </w:tcPr>
                <w:p>
                  <w:pPr>
                    <w:pStyle w:val="89"/>
                    <w:adjustRightInd w:val="0"/>
                    <w:snapToGrid w:val="0"/>
                    <w:spacing w:after="0"/>
                    <w:ind w:firstLine="0" w:firstLineChars="0"/>
                    <w:jc w:val="center"/>
                    <w:rPr>
                      <w:rFonts w:ascii="Times New Roman" w:hAnsi="Times New Roman"/>
                      <w:bCs/>
                      <w:color w:val="auto"/>
                      <w:szCs w:val="21"/>
                    </w:rPr>
                  </w:pPr>
                  <w:r>
                    <w:rPr>
                      <w:rFonts w:ascii="Times New Roman" w:hAnsi="Times New Roman"/>
                      <w:bCs/>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2"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SO</w:t>
                  </w:r>
                  <w:r>
                    <w:rPr>
                      <w:rFonts w:ascii="Times New Roman" w:hAnsi="Times New Roman"/>
                      <w:color w:val="auto"/>
                      <w:szCs w:val="21"/>
                      <w:vertAlign w:val="subscript"/>
                    </w:rPr>
                    <w:t>2</w:t>
                  </w:r>
                </w:p>
              </w:tc>
              <w:tc>
                <w:tcPr>
                  <w:tcW w:w="1286"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年平均质量浓度</w:t>
                  </w:r>
                </w:p>
              </w:tc>
              <w:tc>
                <w:tcPr>
                  <w:tcW w:w="835" w:type="pct"/>
                  <w:vAlign w:val="center"/>
                </w:tcPr>
                <w:p>
                  <w:pPr>
                    <w:pStyle w:val="89"/>
                    <w:adjustRightInd w:val="0"/>
                    <w:snapToGrid w:val="0"/>
                    <w:spacing w:after="0"/>
                    <w:ind w:firstLine="0" w:firstLineChars="0"/>
                    <w:jc w:val="center"/>
                    <w:rPr>
                      <w:rFonts w:hint="eastAsia" w:ascii="Times New Roman" w:hAnsi="Times New Roman" w:eastAsia="宋体"/>
                      <w:color w:val="auto"/>
                      <w:szCs w:val="21"/>
                      <w:lang w:eastAsia="zh-CN"/>
                    </w:rPr>
                  </w:pPr>
                  <w:r>
                    <w:rPr>
                      <w:rFonts w:ascii="Times New Roman" w:hAnsi="Times New Roman"/>
                      <w:color w:val="auto"/>
                      <w:szCs w:val="21"/>
                    </w:rPr>
                    <w:t>1</w:t>
                  </w:r>
                  <w:r>
                    <w:rPr>
                      <w:rFonts w:hint="eastAsia" w:ascii="Times New Roman" w:hAnsi="Times New Roman"/>
                      <w:color w:val="auto"/>
                      <w:szCs w:val="21"/>
                      <w:lang w:val="en-US" w:eastAsia="zh-CN"/>
                    </w:rPr>
                    <w:t>0</w:t>
                  </w:r>
                </w:p>
              </w:tc>
              <w:tc>
                <w:tcPr>
                  <w:tcW w:w="737"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60</w:t>
                  </w:r>
                </w:p>
              </w:tc>
              <w:tc>
                <w:tcPr>
                  <w:tcW w:w="68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r>
                    <w:rPr>
                      <w:rFonts w:hint="eastAsia" w:ascii="Times New Roman" w:hAnsi="Times New Roman"/>
                      <w:color w:val="auto"/>
                      <w:szCs w:val="21"/>
                      <w:lang w:val="en-US" w:eastAsia="zh-CN"/>
                    </w:rPr>
                    <w:t>6.7</w:t>
                  </w:r>
                  <w:r>
                    <w:rPr>
                      <w:rFonts w:ascii="Times New Roman" w:hAnsi="Times New Roman"/>
                      <w:color w:val="auto"/>
                      <w:szCs w:val="21"/>
                    </w:rPr>
                    <w:t>%</w:t>
                  </w:r>
                </w:p>
              </w:tc>
              <w:tc>
                <w:tcPr>
                  <w:tcW w:w="7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2"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NO</w:t>
                  </w:r>
                  <w:r>
                    <w:rPr>
                      <w:rFonts w:ascii="Times New Roman" w:hAnsi="Times New Roman"/>
                      <w:color w:val="auto"/>
                      <w:szCs w:val="21"/>
                      <w:vertAlign w:val="subscript"/>
                    </w:rPr>
                    <w:t>2</w:t>
                  </w:r>
                </w:p>
              </w:tc>
              <w:tc>
                <w:tcPr>
                  <w:tcW w:w="1286"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年平均质量浓度</w:t>
                  </w:r>
                </w:p>
              </w:tc>
              <w:tc>
                <w:tcPr>
                  <w:tcW w:w="835" w:type="pct"/>
                  <w:vAlign w:val="center"/>
                </w:tcPr>
                <w:p>
                  <w:pPr>
                    <w:pStyle w:val="89"/>
                    <w:adjustRightInd w:val="0"/>
                    <w:snapToGrid w:val="0"/>
                    <w:spacing w:after="0"/>
                    <w:ind w:firstLine="0" w:firstLineChars="0"/>
                    <w:jc w:val="center"/>
                    <w:rPr>
                      <w:rFonts w:hint="eastAsia" w:ascii="Times New Roman" w:hAnsi="Times New Roman" w:eastAsia="宋体"/>
                      <w:color w:val="auto"/>
                      <w:szCs w:val="21"/>
                      <w:lang w:eastAsia="zh-CN"/>
                    </w:rPr>
                  </w:pPr>
                  <w:r>
                    <w:rPr>
                      <w:rFonts w:ascii="Times New Roman" w:hAnsi="Times New Roman"/>
                      <w:color w:val="auto"/>
                      <w:szCs w:val="21"/>
                    </w:rPr>
                    <w:t>2</w:t>
                  </w:r>
                  <w:r>
                    <w:rPr>
                      <w:rFonts w:hint="eastAsia" w:ascii="Times New Roman" w:hAnsi="Times New Roman"/>
                      <w:color w:val="auto"/>
                      <w:szCs w:val="21"/>
                      <w:lang w:val="en-US" w:eastAsia="zh-CN"/>
                    </w:rPr>
                    <w:t>2</w:t>
                  </w:r>
                </w:p>
              </w:tc>
              <w:tc>
                <w:tcPr>
                  <w:tcW w:w="737"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40</w:t>
                  </w:r>
                </w:p>
              </w:tc>
              <w:tc>
                <w:tcPr>
                  <w:tcW w:w="68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w:t>
                  </w:r>
                  <w:r>
                    <w:rPr>
                      <w:rFonts w:hint="eastAsia" w:ascii="Times New Roman" w:hAnsi="Times New Roman"/>
                      <w:color w:val="auto"/>
                      <w:szCs w:val="21"/>
                      <w:lang w:val="en-US" w:eastAsia="zh-CN"/>
                    </w:rPr>
                    <w:t>5.0</w:t>
                  </w:r>
                  <w:r>
                    <w:rPr>
                      <w:rFonts w:ascii="Times New Roman" w:hAnsi="Times New Roman"/>
                      <w:color w:val="auto"/>
                      <w:szCs w:val="21"/>
                    </w:rPr>
                    <w:t>%</w:t>
                  </w:r>
                </w:p>
              </w:tc>
              <w:tc>
                <w:tcPr>
                  <w:tcW w:w="7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2"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10</w:t>
                  </w:r>
                </w:p>
              </w:tc>
              <w:tc>
                <w:tcPr>
                  <w:tcW w:w="1286"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年平均质量浓度</w:t>
                  </w:r>
                </w:p>
              </w:tc>
              <w:tc>
                <w:tcPr>
                  <w:tcW w:w="835" w:type="pct"/>
                  <w:vAlign w:val="center"/>
                </w:tcPr>
                <w:p>
                  <w:pPr>
                    <w:pStyle w:val="89"/>
                    <w:adjustRightInd w:val="0"/>
                    <w:snapToGrid w:val="0"/>
                    <w:spacing w:after="0"/>
                    <w:ind w:firstLine="0" w:firstLineChars="0"/>
                    <w:jc w:val="center"/>
                    <w:rPr>
                      <w:rFonts w:hint="eastAsia" w:ascii="Times New Roman" w:hAnsi="Times New Roman" w:eastAsia="宋体"/>
                      <w:color w:val="auto"/>
                      <w:szCs w:val="21"/>
                      <w:lang w:eastAsia="zh-CN"/>
                    </w:rPr>
                  </w:pPr>
                  <w:r>
                    <w:rPr>
                      <w:rFonts w:ascii="Times New Roman" w:hAnsi="Times New Roman"/>
                      <w:color w:val="auto"/>
                      <w:szCs w:val="21"/>
                    </w:rPr>
                    <w:t>5</w:t>
                  </w:r>
                  <w:r>
                    <w:rPr>
                      <w:rFonts w:hint="eastAsia" w:ascii="Times New Roman" w:hAnsi="Times New Roman"/>
                      <w:color w:val="auto"/>
                      <w:szCs w:val="21"/>
                      <w:lang w:val="en-US" w:eastAsia="zh-CN"/>
                    </w:rPr>
                    <w:t>4</w:t>
                  </w:r>
                </w:p>
              </w:tc>
              <w:tc>
                <w:tcPr>
                  <w:tcW w:w="737"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70</w:t>
                  </w:r>
                </w:p>
              </w:tc>
              <w:tc>
                <w:tcPr>
                  <w:tcW w:w="68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w:t>
                  </w:r>
                  <w:r>
                    <w:rPr>
                      <w:rFonts w:hint="eastAsia" w:ascii="Times New Roman" w:hAnsi="Times New Roman"/>
                      <w:color w:val="auto"/>
                      <w:szCs w:val="21"/>
                      <w:lang w:val="en-US" w:eastAsia="zh-CN"/>
                    </w:rPr>
                    <w:t>7.1</w:t>
                  </w:r>
                  <w:r>
                    <w:rPr>
                      <w:rFonts w:ascii="Times New Roman" w:hAnsi="Times New Roman"/>
                      <w:color w:val="auto"/>
                      <w:szCs w:val="21"/>
                    </w:rPr>
                    <w:t>%</w:t>
                  </w:r>
                </w:p>
              </w:tc>
              <w:tc>
                <w:tcPr>
                  <w:tcW w:w="7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2"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PM</w:t>
                  </w:r>
                  <w:r>
                    <w:rPr>
                      <w:rFonts w:ascii="Times New Roman" w:hAnsi="Times New Roman"/>
                      <w:color w:val="auto"/>
                      <w:szCs w:val="21"/>
                      <w:vertAlign w:val="subscript"/>
                    </w:rPr>
                    <w:t>2.5</w:t>
                  </w:r>
                </w:p>
              </w:tc>
              <w:tc>
                <w:tcPr>
                  <w:tcW w:w="1286"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年平均质量浓度</w:t>
                  </w:r>
                </w:p>
              </w:tc>
              <w:tc>
                <w:tcPr>
                  <w:tcW w:w="835" w:type="pct"/>
                  <w:vAlign w:val="center"/>
                </w:tcPr>
                <w:p>
                  <w:pPr>
                    <w:pStyle w:val="89"/>
                    <w:adjustRightInd w:val="0"/>
                    <w:snapToGrid w:val="0"/>
                    <w:spacing w:after="0"/>
                    <w:ind w:firstLine="0" w:firstLineChars="0"/>
                    <w:jc w:val="center"/>
                    <w:rPr>
                      <w:rFonts w:hint="eastAsia" w:ascii="Times New Roman" w:hAnsi="Times New Roman" w:eastAsia="宋体"/>
                      <w:color w:val="auto"/>
                      <w:szCs w:val="21"/>
                      <w:lang w:eastAsia="zh-CN"/>
                    </w:rPr>
                  </w:pPr>
                  <w:r>
                    <w:rPr>
                      <w:rFonts w:ascii="Times New Roman" w:hAnsi="Times New Roman"/>
                      <w:color w:val="auto"/>
                      <w:szCs w:val="21"/>
                    </w:rPr>
                    <w:t>2</w:t>
                  </w:r>
                  <w:r>
                    <w:rPr>
                      <w:rFonts w:hint="eastAsia" w:ascii="Times New Roman" w:hAnsi="Times New Roman"/>
                      <w:color w:val="auto"/>
                      <w:szCs w:val="21"/>
                      <w:lang w:val="en-US" w:eastAsia="zh-CN"/>
                    </w:rPr>
                    <w:t>6</w:t>
                  </w:r>
                </w:p>
              </w:tc>
              <w:tc>
                <w:tcPr>
                  <w:tcW w:w="737"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35</w:t>
                  </w:r>
                </w:p>
              </w:tc>
              <w:tc>
                <w:tcPr>
                  <w:tcW w:w="686" w:type="pct"/>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lang w:val="en-US" w:eastAsia="zh-CN"/>
                    </w:rPr>
                    <w:t>74.3</w:t>
                  </w:r>
                  <w:r>
                    <w:rPr>
                      <w:rFonts w:ascii="Times New Roman" w:hAnsi="Times New Roman"/>
                      <w:color w:val="auto"/>
                      <w:szCs w:val="21"/>
                    </w:rPr>
                    <w:t>%</w:t>
                  </w:r>
                </w:p>
              </w:tc>
              <w:tc>
                <w:tcPr>
                  <w:tcW w:w="7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2"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CO</w:t>
                  </w:r>
                </w:p>
              </w:tc>
              <w:tc>
                <w:tcPr>
                  <w:tcW w:w="1286"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第95百分位浓度</w:t>
                  </w:r>
                </w:p>
              </w:tc>
              <w:tc>
                <w:tcPr>
                  <w:tcW w:w="835" w:type="pct"/>
                  <w:vAlign w:val="center"/>
                </w:tcPr>
                <w:p>
                  <w:pPr>
                    <w:pStyle w:val="89"/>
                    <w:adjustRightInd w:val="0"/>
                    <w:snapToGrid w:val="0"/>
                    <w:spacing w:after="0"/>
                    <w:ind w:firstLine="0" w:firstLineChars="0"/>
                    <w:jc w:val="center"/>
                    <w:rPr>
                      <w:rFonts w:hint="eastAsia" w:ascii="Times New Roman" w:hAnsi="Times New Roman" w:eastAsia="宋体"/>
                      <w:color w:val="auto"/>
                      <w:szCs w:val="21"/>
                      <w:lang w:eastAsia="zh-CN"/>
                    </w:rPr>
                  </w:pPr>
                  <w:r>
                    <w:rPr>
                      <w:rFonts w:ascii="Times New Roman" w:hAnsi="Times New Roman"/>
                      <w:color w:val="auto"/>
                      <w:szCs w:val="21"/>
                    </w:rPr>
                    <w:t>1.</w:t>
                  </w:r>
                  <w:r>
                    <w:rPr>
                      <w:rFonts w:hint="eastAsia" w:ascii="Times New Roman" w:hAnsi="Times New Roman"/>
                      <w:color w:val="auto"/>
                      <w:szCs w:val="21"/>
                      <w:lang w:val="en-US" w:eastAsia="zh-CN"/>
                    </w:rPr>
                    <w:t>2</w:t>
                  </w:r>
                </w:p>
              </w:tc>
              <w:tc>
                <w:tcPr>
                  <w:tcW w:w="737"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4</w:t>
                  </w:r>
                </w:p>
              </w:tc>
              <w:tc>
                <w:tcPr>
                  <w:tcW w:w="68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w:t>
                  </w:r>
                  <w:r>
                    <w:rPr>
                      <w:rFonts w:hint="eastAsia" w:ascii="Times New Roman" w:hAnsi="Times New Roman"/>
                      <w:color w:val="auto"/>
                      <w:szCs w:val="21"/>
                      <w:lang w:val="en-US" w:eastAsia="zh-CN"/>
                    </w:rPr>
                    <w:t>0.0</w:t>
                  </w:r>
                  <w:r>
                    <w:rPr>
                      <w:rFonts w:ascii="Times New Roman" w:hAnsi="Times New Roman"/>
                      <w:color w:val="auto"/>
                      <w:szCs w:val="21"/>
                    </w:rPr>
                    <w:t>%</w:t>
                  </w:r>
                </w:p>
              </w:tc>
              <w:tc>
                <w:tcPr>
                  <w:tcW w:w="7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62"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O</w:t>
                  </w:r>
                  <w:r>
                    <w:rPr>
                      <w:rFonts w:ascii="Times New Roman" w:hAnsi="Times New Roman"/>
                      <w:color w:val="auto"/>
                      <w:szCs w:val="21"/>
                      <w:vertAlign w:val="subscript"/>
                    </w:rPr>
                    <w:t>3</w:t>
                  </w:r>
                </w:p>
              </w:tc>
              <w:tc>
                <w:tcPr>
                  <w:tcW w:w="1286"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第90百分位浓度</w:t>
                  </w:r>
                </w:p>
              </w:tc>
              <w:tc>
                <w:tcPr>
                  <w:tcW w:w="835" w:type="pct"/>
                  <w:vAlign w:val="center"/>
                </w:tcPr>
                <w:p>
                  <w:pPr>
                    <w:pStyle w:val="89"/>
                    <w:adjustRightInd w:val="0"/>
                    <w:snapToGrid w:val="0"/>
                    <w:spacing w:after="0"/>
                    <w:ind w:firstLine="0" w:firstLineChars="0"/>
                    <w:jc w:val="center"/>
                    <w:rPr>
                      <w:rFonts w:hint="default" w:ascii="Times New Roman" w:hAnsi="Times New Roman" w:eastAsia="宋体"/>
                      <w:color w:val="auto"/>
                      <w:szCs w:val="21"/>
                      <w:lang w:val="en-US" w:eastAsia="zh-CN"/>
                    </w:rPr>
                  </w:pPr>
                  <w:r>
                    <w:rPr>
                      <w:rFonts w:ascii="Times New Roman" w:hAnsi="Times New Roman"/>
                      <w:color w:val="auto"/>
                      <w:szCs w:val="21"/>
                    </w:rPr>
                    <w:t>1</w:t>
                  </w:r>
                  <w:r>
                    <w:rPr>
                      <w:rFonts w:hint="eastAsia" w:ascii="Times New Roman" w:hAnsi="Times New Roman"/>
                      <w:color w:val="auto"/>
                      <w:szCs w:val="21"/>
                      <w:lang w:val="en-US" w:eastAsia="zh-CN"/>
                    </w:rPr>
                    <w:t>29</w:t>
                  </w:r>
                </w:p>
              </w:tc>
              <w:tc>
                <w:tcPr>
                  <w:tcW w:w="737" w:type="pct"/>
                  <w:vAlign w:val="center"/>
                </w:tcPr>
                <w:p>
                  <w:pPr>
                    <w:pStyle w:val="89"/>
                    <w:adjustRightInd w:val="0"/>
                    <w:snapToGrid w:val="0"/>
                    <w:spacing w:after="0"/>
                    <w:ind w:firstLine="0" w:firstLineChars="0"/>
                    <w:jc w:val="center"/>
                    <w:rPr>
                      <w:rFonts w:ascii="Times New Roman" w:hAnsi="Times New Roman"/>
                      <w:color w:val="auto"/>
                      <w:szCs w:val="21"/>
                    </w:rPr>
                  </w:pPr>
                  <w:r>
                    <w:rPr>
                      <w:rFonts w:ascii="Times New Roman" w:hAnsi="Times New Roman"/>
                      <w:color w:val="auto"/>
                      <w:szCs w:val="21"/>
                    </w:rPr>
                    <w:t>160</w:t>
                  </w:r>
                </w:p>
              </w:tc>
              <w:tc>
                <w:tcPr>
                  <w:tcW w:w="68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8</w:t>
                  </w:r>
                  <w:r>
                    <w:rPr>
                      <w:rFonts w:hint="eastAsia" w:ascii="Times New Roman" w:hAnsi="Times New Roman"/>
                      <w:color w:val="auto"/>
                      <w:szCs w:val="21"/>
                      <w:lang w:val="en-US" w:eastAsia="zh-CN"/>
                    </w:rPr>
                    <w:t>0</w:t>
                  </w:r>
                  <w:r>
                    <w:rPr>
                      <w:rFonts w:ascii="Times New Roman" w:hAnsi="Times New Roman"/>
                      <w:color w:val="auto"/>
                      <w:szCs w:val="21"/>
                    </w:rPr>
                    <w:t>.6%</w:t>
                  </w:r>
                </w:p>
              </w:tc>
              <w:tc>
                <w:tcPr>
                  <w:tcW w:w="7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达标</w:t>
                  </w:r>
                </w:p>
              </w:tc>
            </w:tr>
          </w:tbl>
          <w:p>
            <w:pPr>
              <w:tabs>
                <w:tab w:val="left" w:pos="0"/>
              </w:tabs>
              <w:spacing w:line="360" w:lineRule="auto"/>
              <w:ind w:firstLine="480" w:firstLineChars="200"/>
              <w:rPr>
                <w:rFonts w:ascii="Times New Roman" w:hAnsi="Times New Roman"/>
                <w:color w:val="auto"/>
                <w:sz w:val="24"/>
                <w:szCs w:val="24"/>
              </w:rPr>
            </w:pPr>
            <w:r>
              <w:rPr>
                <w:rFonts w:ascii="Times New Roman" w:hAnsi="Times New Roman"/>
                <w:color w:val="auto"/>
                <w:sz w:val="24"/>
                <w:szCs w:val="20"/>
              </w:rPr>
              <w:t>由表</w:t>
            </w:r>
            <w:r>
              <w:rPr>
                <w:rFonts w:hint="eastAsia" w:ascii="Times New Roman" w:hAnsi="Times New Roman"/>
                <w:color w:val="auto"/>
                <w:sz w:val="24"/>
                <w:szCs w:val="20"/>
              </w:rPr>
              <w:t>19</w:t>
            </w:r>
            <w:r>
              <w:rPr>
                <w:rFonts w:ascii="Times New Roman" w:hAnsi="Times New Roman"/>
                <w:color w:val="auto"/>
                <w:sz w:val="24"/>
                <w:szCs w:val="20"/>
              </w:rPr>
              <w:t>可知，</w:t>
            </w:r>
            <w:r>
              <w:rPr>
                <w:rFonts w:ascii="Times New Roman" w:hAnsi="Times New Roman"/>
                <w:color w:val="auto"/>
                <w:sz w:val="24"/>
                <w:szCs w:val="24"/>
              </w:rPr>
              <w:t>2021年</w:t>
            </w:r>
            <w:r>
              <w:rPr>
                <w:rFonts w:ascii="Times New Roman" w:hAnsi="Times New Roman"/>
                <w:color w:val="auto"/>
                <w:sz w:val="24"/>
                <w:szCs w:val="20"/>
              </w:rPr>
              <w:t>靖边县</w:t>
            </w:r>
            <w:r>
              <w:rPr>
                <w:rFonts w:ascii="Times New Roman" w:hAnsi="Times New Roman"/>
                <w:color w:val="auto"/>
                <w:sz w:val="24"/>
                <w:szCs w:val="24"/>
              </w:rPr>
              <w:t>主要大气污染物中PM</w:t>
            </w:r>
            <w:r>
              <w:rPr>
                <w:rFonts w:ascii="Times New Roman" w:hAnsi="Times New Roman"/>
                <w:color w:val="auto"/>
                <w:sz w:val="24"/>
                <w:szCs w:val="24"/>
                <w:vertAlign w:val="subscript"/>
              </w:rPr>
              <w:t>2.5</w:t>
            </w:r>
            <w:r>
              <w:rPr>
                <w:rFonts w:ascii="Times New Roman" w:hAnsi="Times New Roman"/>
                <w:color w:val="auto"/>
                <w:sz w:val="24"/>
                <w:szCs w:val="24"/>
              </w:rPr>
              <w:t>、PM</w:t>
            </w:r>
            <w:r>
              <w:rPr>
                <w:rFonts w:ascii="Times New Roman" w:hAnsi="Times New Roman"/>
                <w:color w:val="auto"/>
                <w:sz w:val="24"/>
                <w:szCs w:val="24"/>
                <w:vertAlign w:val="subscript"/>
              </w:rPr>
              <w:t>10</w:t>
            </w:r>
            <w:r>
              <w:rPr>
                <w:rFonts w:ascii="Times New Roman" w:hAnsi="Times New Roman"/>
                <w:color w:val="auto"/>
                <w:sz w:val="24"/>
                <w:szCs w:val="24"/>
              </w:rPr>
              <w:t>、SO</w:t>
            </w:r>
            <w:r>
              <w:rPr>
                <w:rFonts w:ascii="Times New Roman" w:hAnsi="Times New Roman"/>
                <w:color w:val="auto"/>
                <w:sz w:val="24"/>
                <w:szCs w:val="24"/>
                <w:vertAlign w:val="subscript"/>
              </w:rPr>
              <w:t>2</w:t>
            </w:r>
            <w:r>
              <w:rPr>
                <w:rFonts w:ascii="Times New Roman" w:hAnsi="Times New Roman"/>
                <w:color w:val="auto"/>
                <w:sz w:val="24"/>
                <w:szCs w:val="24"/>
              </w:rPr>
              <w:t>、NO</w:t>
            </w:r>
            <w:r>
              <w:rPr>
                <w:rFonts w:ascii="Times New Roman" w:hAnsi="Times New Roman"/>
                <w:color w:val="auto"/>
                <w:sz w:val="24"/>
                <w:szCs w:val="24"/>
                <w:vertAlign w:val="subscript"/>
              </w:rPr>
              <w:t>2</w:t>
            </w:r>
            <w:r>
              <w:rPr>
                <w:rFonts w:ascii="Times New Roman" w:hAnsi="Times New Roman"/>
                <w:color w:val="auto"/>
                <w:sz w:val="24"/>
                <w:szCs w:val="24"/>
              </w:rPr>
              <w:t>、CO、O</w:t>
            </w:r>
            <w:r>
              <w:rPr>
                <w:rFonts w:ascii="Times New Roman" w:hAnsi="Times New Roman"/>
                <w:color w:val="auto"/>
                <w:sz w:val="24"/>
                <w:szCs w:val="24"/>
                <w:vertAlign w:val="subscript"/>
              </w:rPr>
              <w:t>3</w:t>
            </w:r>
            <w:r>
              <w:rPr>
                <w:rFonts w:ascii="Times New Roman" w:hAnsi="Times New Roman"/>
                <w:color w:val="auto"/>
                <w:sz w:val="24"/>
                <w:szCs w:val="24"/>
              </w:rPr>
              <w:t>浓度均满足《环境空气质量标准》（GB3095-2012）中二级标准限值要求，靖边县属</w:t>
            </w:r>
            <w:r>
              <w:rPr>
                <w:rFonts w:ascii="Times New Roman" w:hAnsi="Times New Roman"/>
                <w:color w:val="auto"/>
                <w:sz w:val="24"/>
                <w:szCs w:val="20"/>
              </w:rPr>
              <w:t>环境空气质量</w:t>
            </w:r>
            <w:r>
              <w:rPr>
                <w:rFonts w:ascii="Times New Roman" w:hAnsi="Times New Roman"/>
                <w:color w:val="auto"/>
                <w:sz w:val="24"/>
                <w:szCs w:val="24"/>
              </w:rPr>
              <w:t>达标区</w:t>
            </w:r>
            <w:bookmarkStart w:id="5" w:name="_Hlk77145070"/>
            <w:r>
              <w:rPr>
                <w:rFonts w:ascii="Times New Roman" w:hAnsi="Times New Roman"/>
                <w:color w:val="auto"/>
                <w:sz w:val="24"/>
                <w:szCs w:val="24"/>
              </w:rPr>
              <w:t>，即项目所在区域为环境空气质量达标区。</w:t>
            </w:r>
          </w:p>
          <w:p>
            <w:pPr>
              <w:tabs>
                <w:tab w:val="left" w:pos="0"/>
              </w:tabs>
              <w:spacing w:line="360" w:lineRule="auto"/>
              <w:ind w:firstLine="482" w:firstLineChars="200"/>
              <w:rPr>
                <w:rFonts w:ascii="Times New Roman" w:hAnsi="Times New Roman"/>
                <w:b/>
                <w:bCs/>
                <w:color w:val="auto"/>
                <w:sz w:val="24"/>
                <w:lang w:bidi="ar"/>
              </w:rPr>
            </w:pPr>
            <w:r>
              <w:rPr>
                <w:rFonts w:ascii="Times New Roman" w:hAnsi="Times New Roman"/>
                <w:b/>
                <w:bCs/>
                <w:color w:val="auto"/>
                <w:sz w:val="24"/>
                <w:lang w:bidi="ar"/>
              </w:rPr>
              <w:t>2、其他污染物监测分析</w:t>
            </w:r>
          </w:p>
          <w:p>
            <w:pPr>
              <w:tabs>
                <w:tab w:val="left" w:pos="0"/>
              </w:tabs>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本项目环境空气中非甲烷总烃的现状监测引用与项目</w:t>
            </w:r>
            <w:r>
              <w:rPr>
                <w:rFonts w:hint="eastAsia" w:ascii="Times New Roman" w:hAnsi="Times New Roman"/>
                <w:color w:val="auto"/>
                <w:sz w:val="24"/>
                <w:szCs w:val="20"/>
              </w:rPr>
              <w:t>紧</w:t>
            </w:r>
            <w:r>
              <w:rPr>
                <w:rFonts w:ascii="Times New Roman" w:hAnsi="Times New Roman"/>
                <w:color w:val="auto"/>
                <w:sz w:val="24"/>
                <w:szCs w:val="20"/>
              </w:rPr>
              <w:t>邻的</w:t>
            </w:r>
            <w:r>
              <w:rPr>
                <w:rFonts w:hint="eastAsia" w:ascii="Times New Roman" w:hAnsi="Times New Roman"/>
                <w:color w:val="auto"/>
                <w:sz w:val="24"/>
                <w:szCs w:val="20"/>
              </w:rPr>
              <w:t>待建的</w:t>
            </w:r>
            <w:r>
              <w:rPr>
                <w:rFonts w:ascii="Times New Roman" w:hAnsi="Times New Roman"/>
                <w:color w:val="auto"/>
                <w:sz w:val="24"/>
                <w:szCs w:val="20"/>
              </w:rPr>
              <w:t>《陕西省创铭能源有限公司年产5万吨碳酸二甲酯项目</w:t>
            </w:r>
            <w:r>
              <w:rPr>
                <w:rFonts w:hint="eastAsia" w:ascii="Times New Roman" w:hAnsi="Times New Roman"/>
                <w:color w:val="auto"/>
                <w:sz w:val="24"/>
                <w:szCs w:val="20"/>
              </w:rPr>
              <w:t>环境影响报告书</w:t>
            </w:r>
            <w:r>
              <w:rPr>
                <w:rFonts w:ascii="Times New Roman" w:hAnsi="Times New Roman"/>
                <w:color w:val="auto"/>
                <w:sz w:val="24"/>
                <w:szCs w:val="20"/>
              </w:rPr>
              <w:t>》</w:t>
            </w:r>
            <w:r>
              <w:rPr>
                <w:rFonts w:hint="eastAsia" w:ascii="Times New Roman" w:hAnsi="Times New Roman"/>
                <w:color w:val="auto"/>
                <w:sz w:val="24"/>
                <w:szCs w:val="20"/>
              </w:rPr>
              <w:t>的现状监测数据，该项目监测至今还未进行建设，项目所在厂区内也没有新增装置运行，因此，监测数据符合引用条件。</w:t>
            </w:r>
            <w:r>
              <w:rPr>
                <w:rFonts w:ascii="Times New Roman" w:hAnsi="Times New Roman"/>
                <w:color w:val="auto"/>
                <w:sz w:val="24"/>
                <w:szCs w:val="20"/>
              </w:rPr>
              <w:t>陕西中测检测科技股份有限公司于2020年3月16日~3月23日进行现场监测，监测连续7天，每天4次，监测项目为非甲烷总烃，监测点位</w:t>
            </w:r>
            <w:r>
              <w:rPr>
                <w:rFonts w:hint="eastAsia" w:ascii="Times New Roman" w:hAnsi="Times New Roman"/>
                <w:color w:val="auto"/>
                <w:sz w:val="24"/>
                <w:szCs w:val="20"/>
              </w:rPr>
              <w:t>为项目</w:t>
            </w:r>
            <w:r>
              <w:rPr>
                <w:rFonts w:ascii="Times New Roman" w:hAnsi="Times New Roman"/>
                <w:color w:val="auto"/>
                <w:sz w:val="24"/>
                <w:szCs w:val="20"/>
              </w:rPr>
              <w:t>所在地和下风向沙石峁村</w:t>
            </w:r>
            <w:r>
              <w:rPr>
                <w:rFonts w:hint="eastAsia" w:ascii="Times New Roman" w:hAnsi="Times New Roman"/>
                <w:color w:val="auto"/>
                <w:sz w:val="24"/>
                <w:szCs w:val="20"/>
              </w:rPr>
              <w:t>，</w:t>
            </w:r>
            <w:r>
              <w:rPr>
                <w:rFonts w:ascii="Times New Roman" w:hAnsi="Times New Roman"/>
                <w:color w:val="auto"/>
                <w:sz w:val="24"/>
                <w:szCs w:val="20"/>
              </w:rPr>
              <w:t>报告编号：2020032088（附件</w:t>
            </w:r>
            <w:r>
              <w:rPr>
                <w:rFonts w:hint="eastAsia" w:ascii="Times New Roman" w:hAnsi="Times New Roman"/>
                <w:color w:val="auto"/>
                <w:sz w:val="24"/>
                <w:szCs w:val="20"/>
              </w:rPr>
              <w:t>7</w:t>
            </w:r>
            <w:r>
              <w:rPr>
                <w:rFonts w:ascii="Times New Roman" w:hAnsi="Times New Roman"/>
                <w:color w:val="auto"/>
                <w:sz w:val="24"/>
                <w:szCs w:val="20"/>
              </w:rPr>
              <w:t>）。具体监测点位图见附图4。</w:t>
            </w:r>
          </w:p>
          <w:p>
            <w:pPr>
              <w:tabs>
                <w:tab w:val="left" w:pos="0"/>
              </w:tabs>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本项目所引用的环境空气质量现状监测结果见表</w:t>
            </w:r>
            <w:r>
              <w:rPr>
                <w:rFonts w:hint="eastAsia" w:ascii="Times New Roman" w:hAnsi="Times New Roman"/>
                <w:color w:val="auto"/>
                <w:sz w:val="24"/>
                <w:szCs w:val="20"/>
              </w:rPr>
              <w:t>20</w:t>
            </w:r>
            <w:r>
              <w:rPr>
                <w:rFonts w:ascii="Times New Roman" w:hAnsi="Times New Roman"/>
                <w:color w:val="auto"/>
                <w:sz w:val="24"/>
                <w:szCs w:val="20"/>
              </w:rPr>
              <w:t>。</w:t>
            </w:r>
          </w:p>
          <w:p>
            <w:pPr>
              <w:widowControl w:val="0"/>
              <w:numPr>
                <w:ilvl w:val="0"/>
                <w:numId w:val="13"/>
              </w:numPr>
              <w:jc w:val="center"/>
              <w:rPr>
                <w:rFonts w:ascii="Times New Roman" w:hAnsi="Times New Roman"/>
                <w:bCs/>
                <w:color w:val="auto"/>
                <w:sz w:val="24"/>
                <w:szCs w:val="24"/>
                <w:vertAlign w:val="superscript"/>
              </w:rPr>
            </w:pPr>
            <w:r>
              <w:rPr>
                <w:rFonts w:ascii="Times New Roman" w:hAnsi="Times New Roman"/>
                <w:b/>
                <w:color w:val="auto"/>
                <w:sz w:val="24"/>
                <w:szCs w:val="24"/>
              </w:rPr>
              <w:t>环境空气质量现状</w:t>
            </w:r>
            <w:r>
              <w:rPr>
                <w:rFonts w:ascii="Times New Roman" w:hAnsi="Times New Roman"/>
                <w:b/>
                <w:bCs/>
                <w:color w:val="auto"/>
                <w:sz w:val="24"/>
                <w:szCs w:val="24"/>
              </w:rPr>
              <w:t xml:space="preserve">监测结果                 </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00"/>
              <w:gridCol w:w="669"/>
              <w:gridCol w:w="803"/>
              <w:gridCol w:w="796"/>
              <w:gridCol w:w="754"/>
              <w:gridCol w:w="754"/>
              <w:gridCol w:w="1129"/>
              <w:gridCol w:w="680"/>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分析项目</w:t>
                  </w:r>
                </w:p>
              </w:tc>
              <w:tc>
                <w:tcPr>
                  <w:tcW w:w="100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采样日期</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点位</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02:00</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08:00</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14:00</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20:00</w:t>
                  </w:r>
                </w:p>
              </w:tc>
              <w:tc>
                <w:tcPr>
                  <w:tcW w:w="112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标准限值（mg/m</w:t>
                  </w:r>
                  <w:r>
                    <w:rPr>
                      <w:rFonts w:ascii="Times New Roman" w:hAnsi="Times New Roman"/>
                      <w:color w:val="auto"/>
                      <w:szCs w:val="21"/>
                      <w:vertAlign w:val="superscript"/>
                    </w:rPr>
                    <w:t>3</w:t>
                  </w:r>
                  <w:r>
                    <w:rPr>
                      <w:rFonts w:ascii="Times New Roman" w:hAnsi="Times New Roman"/>
                      <w:color w:val="auto"/>
                      <w:szCs w:val="21"/>
                    </w:rPr>
                    <w:t>）</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最大占标率%</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非甲烷总烃（mg/m</w:t>
                  </w:r>
                  <w:r>
                    <w:rPr>
                      <w:rFonts w:ascii="Times New Roman" w:hAnsi="Times New Roman"/>
                      <w:color w:val="auto"/>
                      <w:szCs w:val="21"/>
                      <w:vertAlign w:val="superscript"/>
                    </w:rPr>
                    <w:t>3</w:t>
                  </w:r>
                  <w:r>
                    <w:rPr>
                      <w:rFonts w:ascii="Times New Roman" w:hAnsi="Times New Roman"/>
                      <w:color w:val="auto"/>
                      <w:szCs w:val="21"/>
                    </w:rPr>
                    <w:t>）</w:t>
                  </w: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3月16日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0.44</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0.42</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0.54</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0.62</w:t>
                  </w:r>
                </w:p>
              </w:tc>
              <w:tc>
                <w:tcPr>
                  <w:tcW w:w="1129" w:type="dxa"/>
                  <w:vMerge w:val="restart"/>
                  <w:vAlign w:val="center"/>
                </w:tcPr>
                <w:p>
                  <w:pPr>
                    <w:pStyle w:val="89"/>
                    <w:widowControl/>
                    <w:adjustRightInd w:val="0"/>
                    <w:snapToGrid w:val="0"/>
                    <w:spacing w:after="0" w:line="240" w:lineRule="auto"/>
                    <w:ind w:firstLine="0" w:firstLineChars="0"/>
                    <w:jc w:val="center"/>
                    <w:textAlignment w:val="auto"/>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2.0</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12.4</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0.40</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0.48</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0.55</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0.54</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11.0</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3月17日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0.45</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0.47</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0.64</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0.61</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12.8</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0.44</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0.39</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0.60</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12.0</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3月18日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0.39</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0.48</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0.64</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0.58</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12.8</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0.46</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0.56</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11.2</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3月19日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0.46</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0.66</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0.50</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13.2</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0.38</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0.48</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0.51</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0.56</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11.2</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3月20日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0.40</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0.48</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0.64</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0.62</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12.8</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0.45</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0.44</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0.68</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13.6</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3月21日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0.46</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0.42</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0.58</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0.59</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11.8</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0.45</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0.40</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0.67</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13.4</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restart"/>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3月22日</w:t>
                  </w: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厂区</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0.41</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0.42</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0.50</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0.46</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10.0</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1000"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69"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沙石峁村</w:t>
                  </w:r>
                </w:p>
              </w:tc>
              <w:tc>
                <w:tcPr>
                  <w:tcW w:w="803"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0.44</w:t>
                  </w:r>
                </w:p>
              </w:tc>
              <w:tc>
                <w:tcPr>
                  <w:tcW w:w="796"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0.50</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0.69</w:t>
                  </w:r>
                </w:p>
              </w:tc>
              <w:tc>
                <w:tcPr>
                  <w:tcW w:w="754"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0.49</w:t>
                  </w:r>
                </w:p>
              </w:tc>
              <w:tc>
                <w:tcPr>
                  <w:tcW w:w="1129" w:type="dxa"/>
                  <w:vMerge w:val="continue"/>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13.8</w:t>
                  </w:r>
                </w:p>
              </w:tc>
              <w:tc>
                <w:tcPr>
                  <w:tcW w:w="680" w:type="dxa"/>
                  <w:vAlign w:val="center"/>
                </w:tcPr>
                <w:p>
                  <w:pPr>
                    <w:pStyle w:val="89"/>
                    <w:widowControl/>
                    <w:adjustRightInd w:val="0"/>
                    <w:snapToGrid w:val="0"/>
                    <w:spacing w:after="0" w:line="240" w:lineRule="auto"/>
                    <w:ind w:firstLine="0" w:firstLineChars="0"/>
                    <w:jc w:val="center"/>
                    <w:textAlignment w:val="auto"/>
                    <w:rPr>
                      <w:rFonts w:ascii="Times New Roman" w:hAnsi="Times New Roman"/>
                      <w:color w:val="auto"/>
                      <w:szCs w:val="21"/>
                    </w:rPr>
                  </w:pPr>
                  <w:r>
                    <w:rPr>
                      <w:rFonts w:ascii="Times New Roman" w:hAnsi="Times New Roman"/>
                      <w:color w:val="auto"/>
                      <w:szCs w:val="21"/>
                    </w:rPr>
                    <w:t>0</w:t>
                  </w:r>
                </w:p>
              </w:tc>
            </w:tr>
          </w:tbl>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由表</w:t>
            </w:r>
            <w:r>
              <w:rPr>
                <w:rFonts w:hint="eastAsia" w:ascii="Times New Roman" w:hAnsi="Times New Roman"/>
                <w:color w:val="auto"/>
                <w:sz w:val="24"/>
                <w:szCs w:val="24"/>
              </w:rPr>
              <w:t>20</w:t>
            </w:r>
            <w:r>
              <w:rPr>
                <w:rFonts w:ascii="Times New Roman" w:hAnsi="Times New Roman"/>
                <w:color w:val="auto"/>
                <w:sz w:val="24"/>
                <w:szCs w:val="24"/>
              </w:rPr>
              <w:t>数据可知，项目地环境空气中特征因子非甲烷总烃的小时平均浓度值满足《大气污染物排放标准详解》中相关标准限值要求。</w:t>
            </w:r>
            <w:bookmarkEnd w:id="5"/>
          </w:p>
          <w:p>
            <w:pPr>
              <w:widowControl w:val="0"/>
              <w:spacing w:line="360" w:lineRule="auto"/>
              <w:jc w:val="both"/>
              <w:rPr>
                <w:rFonts w:ascii="Times New Roman" w:hAnsi="Times New Roman"/>
                <w:b/>
                <w:color w:val="auto"/>
                <w:sz w:val="24"/>
                <w:szCs w:val="24"/>
              </w:rPr>
            </w:pPr>
            <w:r>
              <w:rPr>
                <w:rFonts w:ascii="Times New Roman" w:hAnsi="Times New Roman"/>
                <w:b/>
                <w:color w:val="auto"/>
                <w:sz w:val="24"/>
                <w:szCs w:val="24"/>
              </w:rPr>
              <w:t>二、声环境质量现状</w:t>
            </w:r>
          </w:p>
          <w:p>
            <w:pPr>
              <w:pStyle w:val="49"/>
              <w:adjustRightInd w:val="0"/>
              <w:spacing w:line="360" w:lineRule="auto"/>
              <w:ind w:firstLine="480" w:firstLineChars="200"/>
              <w:rPr>
                <w:rFonts w:ascii="Times New Roman" w:hAnsi="Times New Roman"/>
                <w:bCs/>
                <w:color w:val="auto"/>
                <w:sz w:val="24"/>
                <w:szCs w:val="24"/>
              </w:rPr>
            </w:pPr>
            <w:r>
              <w:rPr>
                <w:rFonts w:ascii="Times New Roman" w:hAnsi="Times New Roman"/>
                <w:color w:val="auto"/>
                <w:sz w:val="24"/>
              </w:rPr>
              <w:t>本项目</w:t>
            </w:r>
            <w:r>
              <w:rPr>
                <w:rFonts w:ascii="Times New Roman" w:hAnsi="Times New Roman"/>
                <w:bCs/>
                <w:color w:val="auto"/>
                <w:sz w:val="24"/>
                <w:szCs w:val="24"/>
              </w:rPr>
              <w:t>所在厂界外周边50米范围内不存在声环境保护目标，依据《建设项目环境影响报告表编制技术指南（污染影响类）》（试行）中的相关要求，可不进行声环境质量现状监测。</w:t>
            </w:r>
          </w:p>
          <w:p>
            <w:pPr>
              <w:widowControl w:val="0"/>
              <w:spacing w:line="360" w:lineRule="auto"/>
              <w:jc w:val="both"/>
              <w:rPr>
                <w:rFonts w:ascii="Times New Roman" w:hAnsi="Times New Roman"/>
                <w:b/>
                <w:color w:val="auto"/>
                <w:sz w:val="24"/>
                <w:szCs w:val="24"/>
              </w:rPr>
            </w:pPr>
            <w:r>
              <w:rPr>
                <w:rFonts w:ascii="Times New Roman" w:hAnsi="Times New Roman"/>
                <w:b/>
                <w:color w:val="auto"/>
                <w:sz w:val="24"/>
                <w:szCs w:val="24"/>
              </w:rPr>
              <w:t>三、地下水环境质量现状</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本项目所在</w:t>
            </w:r>
            <w:r>
              <w:rPr>
                <w:rFonts w:hint="eastAsia" w:ascii="Times New Roman" w:hAnsi="Times New Roman"/>
                <w:color w:val="auto"/>
                <w:sz w:val="24"/>
                <w:szCs w:val="20"/>
              </w:rPr>
              <w:t>地</w:t>
            </w:r>
            <w:r>
              <w:rPr>
                <w:rFonts w:ascii="Times New Roman" w:hAnsi="Times New Roman"/>
                <w:color w:val="auto"/>
                <w:sz w:val="24"/>
                <w:szCs w:val="20"/>
              </w:rPr>
              <w:t>地下水类型为第四系松散层孔隙水，主要为萨拉乌苏组孔隙水。第四系孔隙潜水地下水补给来源主要为大气降水，其次为农灌回归入渗、侧向径流补给、地表水入渗、凝结水补给。项目所在</w:t>
            </w:r>
            <w:r>
              <w:rPr>
                <w:rFonts w:hint="eastAsia" w:ascii="Times New Roman" w:hAnsi="Times New Roman"/>
                <w:color w:val="auto"/>
                <w:sz w:val="24"/>
                <w:szCs w:val="20"/>
              </w:rPr>
              <w:t>地</w:t>
            </w:r>
            <w:r>
              <w:rPr>
                <w:rFonts w:ascii="Times New Roman" w:hAnsi="Times New Roman"/>
                <w:color w:val="auto"/>
                <w:sz w:val="24"/>
                <w:szCs w:val="20"/>
              </w:rPr>
              <w:t>属风沙地，表层岩性为风击沙，结构松散，透水性强，降水入渗补给条件优越。且地下水补给区与径流区一致，受区域地形和芦河的影响，地下潜水径流大方向上自西南向东北方向径流、排泄。项目所在</w:t>
            </w:r>
            <w:r>
              <w:rPr>
                <w:rFonts w:hint="eastAsia" w:ascii="Times New Roman" w:hAnsi="Times New Roman"/>
                <w:color w:val="auto"/>
                <w:sz w:val="24"/>
                <w:szCs w:val="20"/>
              </w:rPr>
              <w:t>地</w:t>
            </w:r>
            <w:r>
              <w:rPr>
                <w:rFonts w:ascii="Times New Roman" w:hAnsi="Times New Roman"/>
                <w:color w:val="auto"/>
                <w:sz w:val="24"/>
                <w:szCs w:val="20"/>
              </w:rPr>
              <w:t>的西北角受地势影响水位较高，水流方向自该区域向四周扩散。</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本项目西南方向与《陕西省创铭能源有限公司年产5万吨碳酸二甲酯项目》相邻，</w:t>
            </w:r>
            <w:r>
              <w:rPr>
                <w:rFonts w:hint="eastAsia" w:ascii="Times New Roman" w:hAnsi="Times New Roman"/>
                <w:color w:val="auto"/>
                <w:sz w:val="24"/>
                <w:szCs w:val="20"/>
              </w:rPr>
              <w:t>地下水监测数据</w:t>
            </w:r>
            <w:r>
              <w:rPr>
                <w:rFonts w:ascii="Times New Roman" w:hAnsi="Times New Roman"/>
                <w:color w:val="auto"/>
                <w:sz w:val="24"/>
                <w:szCs w:val="20"/>
              </w:rPr>
              <w:t>引用《陕西省创铭能源有限公司年产5万吨碳酸二甲酯项目</w:t>
            </w:r>
            <w:r>
              <w:rPr>
                <w:rFonts w:hint="eastAsia" w:ascii="Times New Roman" w:hAnsi="Times New Roman"/>
                <w:color w:val="auto"/>
                <w:sz w:val="24"/>
                <w:szCs w:val="20"/>
              </w:rPr>
              <w:t>环境影响报告书</w:t>
            </w:r>
            <w:r>
              <w:rPr>
                <w:rFonts w:ascii="Times New Roman" w:hAnsi="Times New Roman"/>
                <w:color w:val="auto"/>
                <w:sz w:val="24"/>
                <w:szCs w:val="20"/>
              </w:rPr>
              <w:t>》的地下水环境质量现状监测资料。陕西中测检测科技股份有限公司于2020年3月16日进行现场监测，报告编号：2020032088（附件</w:t>
            </w:r>
            <w:r>
              <w:rPr>
                <w:rFonts w:hint="eastAsia" w:ascii="Times New Roman" w:hAnsi="Times New Roman"/>
                <w:color w:val="auto"/>
                <w:sz w:val="24"/>
                <w:szCs w:val="20"/>
              </w:rPr>
              <w:t>7</w:t>
            </w:r>
            <w:r>
              <w:rPr>
                <w:rFonts w:ascii="Times New Roman" w:hAnsi="Times New Roman"/>
                <w:color w:val="auto"/>
                <w:sz w:val="24"/>
                <w:szCs w:val="20"/>
              </w:rPr>
              <w:t>）</w:t>
            </w:r>
            <w:r>
              <w:rPr>
                <w:rFonts w:hint="eastAsia" w:ascii="Times New Roman" w:hAnsi="Times New Roman"/>
                <w:color w:val="auto"/>
                <w:sz w:val="24"/>
                <w:szCs w:val="20"/>
              </w:rPr>
              <w:t>，</w:t>
            </w:r>
            <w:r>
              <w:rPr>
                <w:rFonts w:ascii="Times New Roman" w:hAnsi="Times New Roman"/>
                <w:color w:val="auto"/>
                <w:sz w:val="24"/>
              </w:rPr>
              <w:t>具体监测点位布设见下表及附图4</w:t>
            </w:r>
            <w:r>
              <w:rPr>
                <w:rFonts w:ascii="Times New Roman" w:hAnsi="Times New Roman"/>
                <w:color w:val="auto"/>
                <w:sz w:val="24"/>
                <w:szCs w:val="20"/>
              </w:rPr>
              <w:t>。</w:t>
            </w:r>
            <w:r>
              <w:rPr>
                <w:rFonts w:ascii="Times New Roman" w:hAnsi="Times New Roman"/>
                <w:color w:val="auto"/>
                <w:sz w:val="24"/>
                <w:szCs w:val="24"/>
              </w:rPr>
              <w:t>地下水监测</w:t>
            </w:r>
            <w:r>
              <w:rPr>
                <w:rFonts w:ascii="Times New Roman" w:hAnsi="Times New Roman"/>
                <w:color w:val="auto"/>
                <w:sz w:val="24"/>
                <w:szCs w:val="20"/>
              </w:rPr>
              <w:t>因子为：pH值、氨氮、硝酸盐、亚硝酸盐、挥发性酚类、氰化物、砷、汞、六价铬、总硬度、铅、氟化物、镉、铁、锰、溶解性总固体、耗氧量、总大肠菌群、细菌总数、甲醇、K</w:t>
            </w:r>
            <w:r>
              <w:rPr>
                <w:rFonts w:ascii="Times New Roman" w:hAnsi="Times New Roman"/>
                <w:color w:val="auto"/>
                <w:sz w:val="24"/>
                <w:szCs w:val="20"/>
                <w:vertAlign w:val="superscript"/>
              </w:rPr>
              <w:t>+</w:t>
            </w:r>
            <w:r>
              <w:rPr>
                <w:rFonts w:ascii="Times New Roman" w:hAnsi="Times New Roman"/>
                <w:color w:val="auto"/>
                <w:sz w:val="24"/>
                <w:szCs w:val="20"/>
              </w:rPr>
              <w:t>、Na</w:t>
            </w:r>
            <w:r>
              <w:rPr>
                <w:rFonts w:ascii="Times New Roman" w:hAnsi="Times New Roman"/>
                <w:color w:val="auto"/>
                <w:sz w:val="24"/>
                <w:szCs w:val="20"/>
                <w:vertAlign w:val="superscript"/>
              </w:rPr>
              <w:t>+</w:t>
            </w:r>
            <w:r>
              <w:rPr>
                <w:rFonts w:ascii="Times New Roman" w:hAnsi="Times New Roman"/>
                <w:color w:val="auto"/>
                <w:sz w:val="24"/>
                <w:szCs w:val="20"/>
              </w:rPr>
              <w:t>、Ca</w:t>
            </w:r>
            <w:r>
              <w:rPr>
                <w:rFonts w:ascii="Times New Roman" w:hAnsi="Times New Roman"/>
                <w:color w:val="auto"/>
                <w:sz w:val="24"/>
                <w:szCs w:val="20"/>
                <w:vertAlign w:val="superscript"/>
              </w:rPr>
              <w:t>2+</w:t>
            </w:r>
            <w:r>
              <w:rPr>
                <w:rFonts w:ascii="Times New Roman" w:hAnsi="Times New Roman"/>
                <w:color w:val="auto"/>
                <w:sz w:val="24"/>
                <w:szCs w:val="20"/>
              </w:rPr>
              <w:t>、Mg</w:t>
            </w:r>
            <w:r>
              <w:rPr>
                <w:rFonts w:ascii="Times New Roman" w:hAnsi="Times New Roman"/>
                <w:color w:val="auto"/>
                <w:sz w:val="24"/>
                <w:szCs w:val="20"/>
                <w:vertAlign w:val="superscript"/>
              </w:rPr>
              <w:t>2+</w:t>
            </w:r>
            <w:r>
              <w:rPr>
                <w:rFonts w:ascii="Times New Roman" w:hAnsi="Times New Roman"/>
                <w:color w:val="auto"/>
                <w:sz w:val="24"/>
                <w:szCs w:val="20"/>
              </w:rPr>
              <w:t>、CO</w:t>
            </w:r>
            <w:r>
              <w:rPr>
                <w:rFonts w:ascii="Times New Roman" w:hAnsi="Times New Roman"/>
                <w:color w:val="auto"/>
                <w:sz w:val="24"/>
                <w:szCs w:val="20"/>
                <w:vertAlign w:val="subscript"/>
              </w:rPr>
              <w:t>3</w:t>
            </w:r>
            <w:r>
              <w:rPr>
                <w:rFonts w:ascii="Times New Roman" w:hAnsi="Times New Roman"/>
                <w:color w:val="auto"/>
                <w:sz w:val="24"/>
                <w:szCs w:val="20"/>
                <w:vertAlign w:val="superscript"/>
              </w:rPr>
              <w:t>2-</w:t>
            </w:r>
            <w:r>
              <w:rPr>
                <w:rFonts w:ascii="Times New Roman" w:hAnsi="Times New Roman"/>
                <w:color w:val="auto"/>
                <w:sz w:val="24"/>
                <w:szCs w:val="20"/>
              </w:rPr>
              <w:t>、HCO</w:t>
            </w:r>
            <w:r>
              <w:rPr>
                <w:rFonts w:ascii="Times New Roman" w:hAnsi="Times New Roman"/>
                <w:color w:val="auto"/>
                <w:sz w:val="24"/>
                <w:szCs w:val="20"/>
                <w:vertAlign w:val="superscript"/>
              </w:rPr>
              <w:t>3-</w:t>
            </w:r>
            <w:r>
              <w:rPr>
                <w:rFonts w:ascii="Times New Roman" w:hAnsi="Times New Roman"/>
                <w:color w:val="auto"/>
                <w:sz w:val="24"/>
                <w:szCs w:val="20"/>
              </w:rPr>
              <w:t>、Cl</w:t>
            </w:r>
            <w:r>
              <w:rPr>
                <w:rFonts w:ascii="Times New Roman" w:hAnsi="Times New Roman"/>
                <w:color w:val="auto"/>
                <w:sz w:val="24"/>
                <w:szCs w:val="20"/>
                <w:vertAlign w:val="superscript"/>
              </w:rPr>
              <w:t>-</w:t>
            </w:r>
            <w:r>
              <w:rPr>
                <w:rFonts w:ascii="Times New Roman" w:hAnsi="Times New Roman"/>
                <w:color w:val="auto"/>
                <w:sz w:val="24"/>
                <w:szCs w:val="20"/>
              </w:rPr>
              <w:t>、SO</w:t>
            </w:r>
            <w:r>
              <w:rPr>
                <w:rFonts w:ascii="Times New Roman" w:hAnsi="Times New Roman"/>
                <w:color w:val="auto"/>
                <w:sz w:val="24"/>
                <w:szCs w:val="20"/>
                <w:vertAlign w:val="subscript"/>
              </w:rPr>
              <w:t>4</w:t>
            </w:r>
            <w:r>
              <w:rPr>
                <w:rFonts w:ascii="Times New Roman" w:hAnsi="Times New Roman"/>
                <w:color w:val="auto"/>
                <w:sz w:val="24"/>
                <w:szCs w:val="20"/>
                <w:vertAlign w:val="superscript"/>
              </w:rPr>
              <w:t>2-</w:t>
            </w:r>
            <w:r>
              <w:rPr>
                <w:rFonts w:ascii="Times New Roman" w:hAnsi="Times New Roman"/>
                <w:color w:val="auto"/>
                <w:sz w:val="24"/>
                <w:szCs w:val="20"/>
              </w:rPr>
              <w:t>。同步监测井口标高、井深、水深。</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本项目所引用的地下水监测点位功能表见表</w:t>
            </w:r>
            <w:r>
              <w:rPr>
                <w:rFonts w:hint="eastAsia" w:ascii="Times New Roman" w:hAnsi="Times New Roman"/>
                <w:color w:val="auto"/>
                <w:sz w:val="24"/>
                <w:szCs w:val="20"/>
              </w:rPr>
              <w:t>21</w:t>
            </w:r>
            <w:r>
              <w:rPr>
                <w:rFonts w:ascii="Times New Roman" w:hAnsi="Times New Roman"/>
                <w:color w:val="auto"/>
                <w:sz w:val="24"/>
                <w:szCs w:val="20"/>
              </w:rPr>
              <w:t>。</w:t>
            </w:r>
          </w:p>
          <w:p>
            <w:pPr>
              <w:widowControl w:val="0"/>
              <w:numPr>
                <w:ilvl w:val="0"/>
                <w:numId w:val="13"/>
              </w:numPr>
              <w:jc w:val="center"/>
              <w:rPr>
                <w:rFonts w:ascii="Times New Roman" w:hAnsi="Times New Roman"/>
                <w:color w:val="auto"/>
              </w:rPr>
            </w:pPr>
            <w:r>
              <w:rPr>
                <w:rFonts w:ascii="Times New Roman" w:hAnsi="Times New Roman"/>
                <w:b/>
                <w:color w:val="auto"/>
                <w:sz w:val="24"/>
                <w:szCs w:val="24"/>
              </w:rPr>
              <w:t>地下水水质监测点位及功能一览表</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183"/>
              <w:gridCol w:w="752"/>
              <w:gridCol w:w="1023"/>
              <w:gridCol w:w="1670"/>
              <w:gridCol w:w="1022"/>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0"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编号</w:t>
                  </w:r>
                </w:p>
              </w:tc>
              <w:tc>
                <w:tcPr>
                  <w:tcW w:w="1295"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监测点名称</w:t>
                  </w:r>
                </w:p>
              </w:tc>
              <w:tc>
                <w:tcPr>
                  <w:tcW w:w="446"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方位</w:t>
                  </w:r>
                </w:p>
              </w:tc>
              <w:tc>
                <w:tcPr>
                  <w:tcW w:w="607"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距离m</w:t>
                  </w:r>
                </w:p>
              </w:tc>
              <w:tc>
                <w:tcPr>
                  <w:tcW w:w="991"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含水层</w:t>
                  </w:r>
                </w:p>
              </w:tc>
              <w:tc>
                <w:tcPr>
                  <w:tcW w:w="607"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井深m</w:t>
                  </w:r>
                </w:p>
              </w:tc>
              <w:tc>
                <w:tcPr>
                  <w:tcW w:w="620" w:type="pct"/>
                  <w:vAlign w:val="center"/>
                </w:tcPr>
                <w:p>
                  <w:pPr>
                    <w:adjustRightInd w:val="0"/>
                    <w:snapToGrid w:val="0"/>
                    <w:ind w:firstLine="74"/>
                    <w:jc w:val="center"/>
                    <w:rPr>
                      <w:rFonts w:ascii="Times New Roman" w:hAnsi="Times New Roman"/>
                      <w:b/>
                      <w:bCs/>
                      <w:color w:val="auto"/>
                      <w:szCs w:val="21"/>
                    </w:rPr>
                  </w:pPr>
                  <w:r>
                    <w:rPr>
                      <w:rFonts w:ascii="Times New Roman" w:hAnsi="Times New Roman"/>
                      <w:b/>
                      <w:bCs/>
                      <w:color w:val="auto"/>
                      <w:szCs w:val="21"/>
                    </w:rPr>
                    <w:t>水深m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1#</w:t>
                  </w:r>
                </w:p>
              </w:tc>
              <w:tc>
                <w:tcPr>
                  <w:tcW w:w="1295"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厂区南侧水井</w:t>
                  </w:r>
                </w:p>
              </w:tc>
              <w:tc>
                <w:tcPr>
                  <w:tcW w:w="446"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东</w:t>
                  </w: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100</w:t>
                  </w:r>
                </w:p>
              </w:tc>
              <w:tc>
                <w:tcPr>
                  <w:tcW w:w="991" w:type="pct"/>
                  <w:vMerge w:val="restar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第四系含水层</w:t>
                  </w: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230</w:t>
                  </w:r>
                </w:p>
              </w:tc>
              <w:tc>
                <w:tcPr>
                  <w:tcW w:w="62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w:t>
                  </w:r>
                </w:p>
              </w:tc>
              <w:tc>
                <w:tcPr>
                  <w:tcW w:w="1295"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厂区2#水井</w:t>
                  </w:r>
                </w:p>
              </w:tc>
              <w:tc>
                <w:tcPr>
                  <w:tcW w:w="446"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北</w:t>
                  </w: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120</w:t>
                  </w:r>
                </w:p>
              </w:tc>
              <w:tc>
                <w:tcPr>
                  <w:tcW w:w="991" w:type="pct"/>
                  <w:vMerge w:val="continue"/>
                  <w:vAlign w:val="center"/>
                </w:tcPr>
                <w:p>
                  <w:pPr>
                    <w:adjustRightInd w:val="0"/>
                    <w:snapToGrid w:val="0"/>
                    <w:ind w:firstLine="74"/>
                    <w:jc w:val="center"/>
                    <w:rPr>
                      <w:rFonts w:ascii="Times New Roman" w:hAnsi="Times New Roman"/>
                      <w:bCs/>
                      <w:color w:val="auto"/>
                      <w:szCs w:val="21"/>
                    </w:rPr>
                  </w:pP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235</w:t>
                  </w:r>
                </w:p>
              </w:tc>
              <w:tc>
                <w:tcPr>
                  <w:tcW w:w="62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3#</w:t>
                  </w:r>
                </w:p>
              </w:tc>
              <w:tc>
                <w:tcPr>
                  <w:tcW w:w="1295"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延长石油水井</w:t>
                  </w:r>
                </w:p>
              </w:tc>
              <w:tc>
                <w:tcPr>
                  <w:tcW w:w="446"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东南</w:t>
                  </w: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1700</w:t>
                  </w:r>
                </w:p>
              </w:tc>
              <w:tc>
                <w:tcPr>
                  <w:tcW w:w="991" w:type="pct"/>
                  <w:vMerge w:val="continue"/>
                  <w:vAlign w:val="center"/>
                </w:tcPr>
                <w:p>
                  <w:pPr>
                    <w:adjustRightInd w:val="0"/>
                    <w:snapToGrid w:val="0"/>
                    <w:ind w:firstLine="74"/>
                    <w:jc w:val="center"/>
                    <w:rPr>
                      <w:rFonts w:ascii="Times New Roman" w:hAnsi="Times New Roman"/>
                      <w:bCs/>
                      <w:color w:val="auto"/>
                      <w:szCs w:val="21"/>
                    </w:rPr>
                  </w:pP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240</w:t>
                  </w:r>
                </w:p>
              </w:tc>
              <w:tc>
                <w:tcPr>
                  <w:tcW w:w="62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43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4#</w:t>
                  </w:r>
                </w:p>
              </w:tc>
              <w:tc>
                <w:tcPr>
                  <w:tcW w:w="1295"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能源化工综合利用产业园管委会水井</w:t>
                  </w:r>
                </w:p>
              </w:tc>
              <w:tc>
                <w:tcPr>
                  <w:tcW w:w="446"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南</w:t>
                  </w: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1150</w:t>
                  </w:r>
                </w:p>
              </w:tc>
              <w:tc>
                <w:tcPr>
                  <w:tcW w:w="991" w:type="pct"/>
                  <w:vMerge w:val="continue"/>
                  <w:vAlign w:val="center"/>
                </w:tcPr>
                <w:p>
                  <w:pPr>
                    <w:adjustRightInd w:val="0"/>
                    <w:snapToGrid w:val="0"/>
                    <w:ind w:firstLine="74"/>
                    <w:jc w:val="center"/>
                    <w:rPr>
                      <w:rFonts w:ascii="Times New Roman" w:hAnsi="Times New Roman"/>
                      <w:bCs/>
                      <w:color w:val="auto"/>
                      <w:szCs w:val="21"/>
                    </w:rPr>
                  </w:pP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210</w:t>
                  </w:r>
                </w:p>
              </w:tc>
              <w:tc>
                <w:tcPr>
                  <w:tcW w:w="62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43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5#</w:t>
                  </w:r>
                </w:p>
              </w:tc>
              <w:tc>
                <w:tcPr>
                  <w:tcW w:w="1295"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沙石峁村水井</w:t>
                  </w:r>
                </w:p>
              </w:tc>
              <w:tc>
                <w:tcPr>
                  <w:tcW w:w="446"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南</w:t>
                  </w: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1980</w:t>
                  </w:r>
                </w:p>
              </w:tc>
              <w:tc>
                <w:tcPr>
                  <w:tcW w:w="991" w:type="pct"/>
                  <w:vMerge w:val="continue"/>
                  <w:vAlign w:val="center"/>
                </w:tcPr>
                <w:p>
                  <w:pPr>
                    <w:adjustRightInd w:val="0"/>
                    <w:snapToGrid w:val="0"/>
                    <w:ind w:firstLine="74"/>
                    <w:jc w:val="center"/>
                    <w:rPr>
                      <w:rFonts w:ascii="Times New Roman" w:hAnsi="Times New Roman"/>
                      <w:bCs/>
                      <w:color w:val="auto"/>
                      <w:szCs w:val="21"/>
                    </w:rPr>
                  </w:pPr>
                </w:p>
              </w:tc>
              <w:tc>
                <w:tcPr>
                  <w:tcW w:w="607"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230</w:t>
                  </w:r>
                </w:p>
              </w:tc>
              <w:tc>
                <w:tcPr>
                  <w:tcW w:w="620" w:type="pct"/>
                  <w:vAlign w:val="center"/>
                </w:tcPr>
                <w:p>
                  <w:pPr>
                    <w:adjustRightInd w:val="0"/>
                    <w:snapToGrid w:val="0"/>
                    <w:ind w:firstLine="74"/>
                    <w:jc w:val="center"/>
                    <w:rPr>
                      <w:rFonts w:ascii="Times New Roman" w:hAnsi="Times New Roman"/>
                      <w:bCs/>
                      <w:color w:val="auto"/>
                      <w:szCs w:val="21"/>
                    </w:rPr>
                  </w:pPr>
                  <w:r>
                    <w:rPr>
                      <w:rFonts w:ascii="Times New Roman" w:hAnsi="Times New Roman"/>
                      <w:bCs/>
                      <w:color w:val="auto"/>
                      <w:szCs w:val="21"/>
                    </w:rPr>
                    <w:t>30</w:t>
                  </w:r>
                </w:p>
              </w:tc>
            </w:tr>
          </w:tbl>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0"/>
              </w:rPr>
              <w:t>本项目所引用的地下水环境质量现状监测结果</w:t>
            </w:r>
            <w:r>
              <w:rPr>
                <w:rFonts w:hint="eastAsia" w:ascii="Times New Roman" w:hAnsi="Times New Roman"/>
                <w:color w:val="auto"/>
                <w:sz w:val="24"/>
                <w:szCs w:val="20"/>
              </w:rPr>
              <w:t>见表22</w:t>
            </w:r>
            <w:r>
              <w:rPr>
                <w:rFonts w:ascii="Times New Roman" w:hAnsi="Times New Roman"/>
                <w:color w:val="auto"/>
                <w:sz w:val="24"/>
                <w:szCs w:val="20"/>
              </w:rPr>
              <w:t>。</w:t>
            </w:r>
          </w:p>
          <w:p>
            <w:pPr>
              <w:widowControl w:val="0"/>
              <w:numPr>
                <w:ilvl w:val="0"/>
                <w:numId w:val="13"/>
              </w:numPr>
              <w:jc w:val="right"/>
              <w:rPr>
                <w:rFonts w:ascii="Times New Roman" w:hAnsi="Times New Roman"/>
                <w:bCs/>
                <w:color w:val="auto"/>
                <w:sz w:val="24"/>
                <w:szCs w:val="24"/>
                <w:vertAlign w:val="superscript"/>
              </w:rPr>
            </w:pPr>
            <w:r>
              <w:rPr>
                <w:rFonts w:ascii="Times New Roman" w:hAnsi="Times New Roman"/>
                <w:b/>
                <w:bCs/>
                <w:color w:val="auto"/>
                <w:sz w:val="24"/>
                <w:szCs w:val="24"/>
              </w:rPr>
              <w:t>地下水环境质量现状监测结果统计表</w:t>
            </w:r>
            <w:r>
              <w:rPr>
                <w:rFonts w:ascii="Times New Roman" w:hAnsi="Times New Roman"/>
                <w:b/>
                <w:color w:val="auto"/>
                <w:sz w:val="24"/>
                <w:szCs w:val="24"/>
              </w:rPr>
              <w:t>（单位mg/L，pH无量纲）</w:t>
            </w:r>
          </w:p>
          <w:tbl>
            <w:tblPr>
              <w:tblStyle w:val="9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944"/>
              <w:gridCol w:w="1099"/>
              <w:gridCol w:w="1108"/>
              <w:gridCol w:w="1289"/>
              <w:gridCol w:w="1099"/>
              <w:gridCol w:w="891"/>
              <w:gridCol w:w="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utoSpaceDE w:val="0"/>
                    <w:autoSpaceDN w:val="0"/>
                    <w:adjustRightInd w:val="0"/>
                    <w:snapToGrid w:val="0"/>
                    <w:jc w:val="center"/>
                    <w:rPr>
                      <w:rFonts w:ascii="Times New Roman" w:hAnsi="Times New Roman"/>
                      <w:bCs/>
                      <w:color w:val="auto"/>
                      <w:szCs w:val="21"/>
                    </w:rPr>
                  </w:pPr>
                  <w:r>
                    <w:rPr>
                      <w:rFonts w:ascii="Times New Roman" w:hAnsi="Times New Roman"/>
                      <w:bCs/>
                      <w:color w:val="auto"/>
                      <w:szCs w:val="21"/>
                    </w:rPr>
                    <w:t>项目</w:t>
                  </w:r>
                </w:p>
              </w:tc>
              <w:tc>
                <w:tcPr>
                  <w:tcW w:w="561" w:type="pct"/>
                  <w:vAlign w:val="center"/>
                </w:tcPr>
                <w:p>
                  <w:pPr>
                    <w:autoSpaceDE w:val="0"/>
                    <w:autoSpaceDN w:val="0"/>
                    <w:adjustRightInd w:val="0"/>
                    <w:snapToGrid w:val="0"/>
                    <w:jc w:val="center"/>
                    <w:rPr>
                      <w:rFonts w:ascii="Times New Roman" w:hAnsi="Times New Roman"/>
                      <w:bCs/>
                      <w:color w:val="auto"/>
                      <w:szCs w:val="21"/>
                    </w:rPr>
                  </w:pPr>
                  <w:r>
                    <w:rPr>
                      <w:rFonts w:ascii="Times New Roman" w:hAnsi="Times New Roman"/>
                      <w:bCs/>
                      <w:color w:val="auto"/>
                      <w:szCs w:val="21"/>
                    </w:rPr>
                    <w:t>厂区南侧水井</w:t>
                  </w:r>
                </w:p>
              </w:tc>
              <w:tc>
                <w:tcPr>
                  <w:tcW w:w="653" w:type="pct"/>
                  <w:vAlign w:val="center"/>
                </w:tcPr>
                <w:p>
                  <w:pPr>
                    <w:autoSpaceDE w:val="0"/>
                    <w:autoSpaceDN w:val="0"/>
                    <w:adjustRightInd w:val="0"/>
                    <w:snapToGrid w:val="0"/>
                    <w:jc w:val="center"/>
                    <w:rPr>
                      <w:rFonts w:ascii="Times New Roman" w:hAnsi="Times New Roman"/>
                      <w:bCs/>
                      <w:color w:val="auto"/>
                      <w:szCs w:val="21"/>
                    </w:rPr>
                  </w:pPr>
                  <w:r>
                    <w:rPr>
                      <w:rFonts w:ascii="Times New Roman" w:hAnsi="Times New Roman"/>
                      <w:bCs/>
                      <w:color w:val="auto"/>
                      <w:szCs w:val="21"/>
                    </w:rPr>
                    <w:t>厂区2#水井</w:t>
                  </w:r>
                </w:p>
              </w:tc>
              <w:tc>
                <w:tcPr>
                  <w:tcW w:w="658" w:type="pct"/>
                  <w:vAlign w:val="center"/>
                </w:tcPr>
                <w:p>
                  <w:pPr>
                    <w:autoSpaceDE w:val="0"/>
                    <w:autoSpaceDN w:val="0"/>
                    <w:adjustRightInd w:val="0"/>
                    <w:snapToGrid w:val="0"/>
                    <w:jc w:val="center"/>
                    <w:rPr>
                      <w:rFonts w:ascii="Times New Roman" w:hAnsi="Times New Roman"/>
                      <w:bCs/>
                      <w:color w:val="auto"/>
                      <w:szCs w:val="21"/>
                    </w:rPr>
                  </w:pPr>
                  <w:r>
                    <w:rPr>
                      <w:rFonts w:ascii="Times New Roman" w:hAnsi="Times New Roman"/>
                      <w:bCs/>
                      <w:color w:val="auto"/>
                      <w:szCs w:val="21"/>
                    </w:rPr>
                    <w:t>延长石油水井</w:t>
                  </w:r>
                </w:p>
              </w:tc>
              <w:tc>
                <w:tcPr>
                  <w:tcW w:w="766"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能化产业园管委会水井</w:t>
                  </w:r>
                </w:p>
              </w:tc>
              <w:tc>
                <w:tcPr>
                  <w:tcW w:w="65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沙石峁村水井</w:t>
                  </w:r>
                </w:p>
              </w:tc>
              <w:tc>
                <w:tcPr>
                  <w:tcW w:w="529" w:type="pct"/>
                  <w:vAlign w:val="center"/>
                </w:tcPr>
                <w:p>
                  <w:pPr>
                    <w:autoSpaceDE w:val="0"/>
                    <w:autoSpaceDN w:val="0"/>
                    <w:adjustRightInd w:val="0"/>
                    <w:snapToGrid w:val="0"/>
                    <w:jc w:val="center"/>
                    <w:rPr>
                      <w:rFonts w:ascii="Times New Roman" w:hAnsi="Times New Roman"/>
                      <w:bCs/>
                      <w:color w:val="auto"/>
                      <w:szCs w:val="21"/>
                    </w:rPr>
                  </w:pPr>
                  <w:r>
                    <w:rPr>
                      <w:rFonts w:ascii="Times New Roman" w:hAnsi="Times New Roman"/>
                      <w:bCs/>
                      <w:color w:val="auto"/>
                      <w:szCs w:val="21"/>
                    </w:rPr>
                    <w:t>Ⅲ类水质标准</w:t>
                  </w:r>
                </w:p>
              </w:tc>
              <w:tc>
                <w:tcPr>
                  <w:tcW w:w="513" w:type="pct"/>
                  <w:vAlign w:val="center"/>
                </w:tcPr>
                <w:p>
                  <w:pPr>
                    <w:autoSpaceDE w:val="0"/>
                    <w:autoSpaceDN w:val="0"/>
                    <w:adjustRightInd w:val="0"/>
                    <w:snapToGrid w:val="0"/>
                    <w:jc w:val="center"/>
                    <w:rPr>
                      <w:rFonts w:ascii="Times New Roman" w:hAnsi="Times New Roman"/>
                      <w:bCs/>
                      <w:color w:val="auto"/>
                      <w:szCs w:val="21"/>
                    </w:rPr>
                  </w:pPr>
                  <w:r>
                    <w:rPr>
                      <w:rFonts w:ascii="Times New Roman" w:hAnsi="Times New Roman"/>
                      <w:bCs/>
                      <w:color w:val="auto"/>
                      <w:szCs w:val="21"/>
                    </w:rPr>
                    <w:t>最大超标倍数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Cs/>
                      <w:color w:val="auto"/>
                      <w:szCs w:val="21"/>
                    </w:rPr>
                  </w:pPr>
                  <w:r>
                    <w:rPr>
                      <w:rFonts w:ascii="Times New Roman" w:hAnsi="Times New Roman"/>
                      <w:color w:val="auto"/>
                      <w:szCs w:val="21"/>
                    </w:rPr>
                    <w:t>pH值</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7.73</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7.81</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7.62</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7.73</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7.81</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6.5-8.5</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氨氮</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0.165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0.098</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0.218</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0.086</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0.172</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硝酸盐</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3.1</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1.6</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1.9</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1.3</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2.4</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亚硝酸盐</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0.001ND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0.001ND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0.001ND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0.001ND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0.001ND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挥发酚</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0.0003ND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0.0003ND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0.0003ND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0.0003ND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0.0003ND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≤0.002</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氰化物</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≤0.05</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砷</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0.007ND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0.007ND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0.007ND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0.007ND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0.007ND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汞</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0.04ND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0.04ND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0.04ND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0.04ND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0.04ND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≤0.001</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六价铬</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0.004ND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≤0.05</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总硬度</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270</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308</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295</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315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327</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≤450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铅</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2.5ND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2.5ND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2.5ND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2.5ND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2.5ND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氟</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0.20</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0.09</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0.13</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0.30</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0.18</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镉</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≤0.005</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铁</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0.03ND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0.03ND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0.03ND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0.03ND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0.03ND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≤0.3</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锰</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0.01ND</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≤0.1</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溶解性总固体</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431</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451</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446</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503</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499</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≤1000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高锰酸盐指数</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0.67</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0.53</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0.85</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0.73</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0.57</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总大肠菌群</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细菌总数</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52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≤100</w:t>
                  </w:r>
                </w:p>
              </w:tc>
              <w:tc>
                <w:tcPr>
                  <w:tcW w:w="513"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甲醇</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0.2ND</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0.2ND</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0.2ND</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0.2ND</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K</w:t>
                  </w:r>
                  <w:r>
                    <w:rPr>
                      <w:rFonts w:ascii="Times New Roman" w:hAnsi="Times New Roman"/>
                      <w:color w:val="auto"/>
                      <w:szCs w:val="21"/>
                      <w:vertAlign w:val="superscript"/>
                    </w:rPr>
                    <w:t>+</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1.07</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1.56</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2.07</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2.33</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1.75</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Na</w:t>
                  </w:r>
                  <w:r>
                    <w:rPr>
                      <w:rFonts w:ascii="Times New Roman" w:hAnsi="Times New Roman"/>
                      <w:color w:val="auto"/>
                      <w:szCs w:val="21"/>
                      <w:vertAlign w:val="superscript"/>
                    </w:rPr>
                    <w:t>+</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55.8</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48.5</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56.4</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66.8</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57.8</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Ca</w:t>
                  </w:r>
                  <w:r>
                    <w:rPr>
                      <w:rFonts w:ascii="Times New Roman" w:hAnsi="Times New Roman"/>
                      <w:color w:val="auto"/>
                      <w:szCs w:val="21"/>
                      <w:vertAlign w:val="superscript"/>
                    </w:rPr>
                    <w:t>2+</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46.7</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56.3</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49.5</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52.1</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64.9</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Mg</w:t>
                  </w:r>
                  <w:r>
                    <w:rPr>
                      <w:rFonts w:ascii="Times New Roman" w:hAnsi="Times New Roman"/>
                      <w:color w:val="auto"/>
                      <w:szCs w:val="21"/>
                      <w:vertAlign w:val="superscript"/>
                    </w:rPr>
                    <w:t>2+</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38.5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41.2</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42.3</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46.5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41.3</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CO</w:t>
                  </w:r>
                  <w:r>
                    <w:rPr>
                      <w:rFonts w:ascii="Times New Roman" w:hAnsi="Times New Roman"/>
                      <w:color w:val="auto"/>
                      <w:szCs w:val="21"/>
                      <w:vertAlign w:val="subscript"/>
                    </w:rPr>
                    <w:t>3</w:t>
                  </w:r>
                  <w:r>
                    <w:rPr>
                      <w:rFonts w:ascii="Times New Roman" w:hAnsi="Times New Roman"/>
                      <w:color w:val="auto"/>
                      <w:szCs w:val="21"/>
                      <w:vertAlign w:val="superscript"/>
                    </w:rPr>
                    <w:t>2-</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未检出</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HCO</w:t>
                  </w:r>
                  <w:r>
                    <w:rPr>
                      <w:rFonts w:ascii="Times New Roman" w:hAnsi="Times New Roman"/>
                      <w:color w:val="auto"/>
                      <w:szCs w:val="21"/>
                      <w:vertAlign w:val="subscript"/>
                    </w:rPr>
                    <w:t>3</w:t>
                  </w:r>
                  <w:r>
                    <w:rPr>
                      <w:rFonts w:ascii="Times New Roman" w:hAnsi="Times New Roman"/>
                      <w:color w:val="auto"/>
                      <w:szCs w:val="21"/>
                      <w:vertAlign w:val="superscript"/>
                    </w:rPr>
                    <w:t>-</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275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244</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289</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325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264</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bCs/>
                      <w:color w:val="auto"/>
                      <w:szCs w:val="21"/>
                    </w:rPr>
                    <w:t>/</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Cl</w:t>
                  </w:r>
                  <w:r>
                    <w:rPr>
                      <w:rFonts w:ascii="Times New Roman" w:hAnsi="Times New Roman"/>
                      <w:color w:val="auto"/>
                      <w:szCs w:val="21"/>
                      <w:vertAlign w:val="superscript"/>
                    </w:rPr>
                    <w:t>-</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60</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82</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63</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76</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95</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color w:val="auto"/>
                      <w:szCs w:val="21"/>
                    </w:rPr>
                    <w:t>≤</w:t>
                  </w:r>
                  <w:r>
                    <w:rPr>
                      <w:rFonts w:ascii="Times New Roman" w:hAnsi="Times New Roman"/>
                      <w:bCs/>
                      <w:color w:val="auto"/>
                      <w:szCs w:val="21"/>
                    </w:rPr>
                    <w:t>250</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SO4</w:t>
                  </w:r>
                  <w:r>
                    <w:rPr>
                      <w:rFonts w:ascii="Times New Roman" w:hAnsi="Times New Roman"/>
                      <w:color w:val="auto"/>
                      <w:szCs w:val="21"/>
                      <w:vertAlign w:val="superscript"/>
                    </w:rPr>
                    <w:t>2-</w:t>
                  </w:r>
                </w:p>
              </w:tc>
              <w:tc>
                <w:tcPr>
                  <w:tcW w:w="56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95</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105</w:t>
                  </w:r>
                </w:p>
              </w:tc>
              <w:tc>
                <w:tcPr>
                  <w:tcW w:w="65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94</w:t>
                  </w:r>
                </w:p>
              </w:tc>
              <w:tc>
                <w:tcPr>
                  <w:tcW w:w="76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102</w:t>
                  </w:r>
                </w:p>
              </w:tc>
              <w:tc>
                <w:tcPr>
                  <w:tcW w:w="65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113</w:t>
                  </w:r>
                </w:p>
              </w:tc>
              <w:tc>
                <w:tcPr>
                  <w:tcW w:w="529" w:type="pct"/>
                  <w:vAlign w:val="center"/>
                </w:tcPr>
                <w:p>
                  <w:pPr>
                    <w:adjustRightInd w:val="0"/>
                    <w:snapToGrid w:val="0"/>
                    <w:jc w:val="center"/>
                    <w:rPr>
                      <w:rFonts w:ascii="Times New Roman" w:hAnsi="Times New Roman"/>
                      <w:bCs/>
                      <w:color w:val="auto"/>
                      <w:szCs w:val="21"/>
                    </w:rPr>
                  </w:pPr>
                  <w:r>
                    <w:rPr>
                      <w:rFonts w:ascii="Times New Roman" w:hAnsi="Times New Roman"/>
                      <w:color w:val="auto"/>
                      <w:szCs w:val="21"/>
                    </w:rPr>
                    <w:t>≤</w:t>
                  </w:r>
                  <w:r>
                    <w:rPr>
                      <w:rFonts w:ascii="Times New Roman" w:hAnsi="Times New Roman"/>
                      <w:bCs/>
                      <w:color w:val="auto"/>
                      <w:szCs w:val="21"/>
                    </w:rPr>
                    <w:t>250</w:t>
                  </w:r>
                </w:p>
              </w:tc>
              <w:tc>
                <w:tcPr>
                  <w:tcW w:w="513"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67"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备注：</w:t>
                  </w:r>
                </w:p>
              </w:tc>
              <w:tc>
                <w:tcPr>
                  <w:tcW w:w="4333" w:type="pct"/>
                  <w:gridSpan w:val="7"/>
                  <w:vAlign w:val="center"/>
                </w:tcPr>
                <w:p>
                  <w:pPr>
                    <w:adjustRightInd w:val="0"/>
                    <w:snapToGrid w:val="0"/>
                    <w:jc w:val="center"/>
                    <w:rPr>
                      <w:rFonts w:ascii="Times New Roman" w:hAnsi="Times New Roman"/>
                      <w:b/>
                      <w:bCs/>
                      <w:color w:val="auto"/>
                      <w:szCs w:val="21"/>
                    </w:rPr>
                  </w:pPr>
                  <w:r>
                    <w:rPr>
                      <w:rFonts w:ascii="Times New Roman" w:hAnsi="Times New Roman"/>
                      <w:color w:val="auto"/>
                      <w:szCs w:val="21"/>
                    </w:rPr>
                    <w:t>低于检出限以检出限加ND表示。</w:t>
                  </w:r>
                </w:p>
              </w:tc>
            </w:tr>
          </w:tbl>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监测结果表明，本项目所在区地下水水质监测因子均能满足《地下水质量标准》（GB /T14848-2017）中Ⅲ类标准要求，地下水水质良好。</w:t>
            </w:r>
          </w:p>
          <w:p>
            <w:pPr>
              <w:widowControl w:val="0"/>
              <w:spacing w:line="360" w:lineRule="auto"/>
              <w:jc w:val="both"/>
              <w:rPr>
                <w:rFonts w:ascii="Times New Roman" w:hAnsi="Times New Roman"/>
                <w:b/>
                <w:color w:val="auto"/>
                <w:sz w:val="24"/>
                <w:szCs w:val="24"/>
              </w:rPr>
            </w:pPr>
            <w:r>
              <w:rPr>
                <w:rFonts w:ascii="Times New Roman" w:hAnsi="Times New Roman"/>
                <w:b/>
                <w:color w:val="auto"/>
                <w:sz w:val="24"/>
                <w:szCs w:val="24"/>
              </w:rPr>
              <w:t>四、生态环境质量现状</w:t>
            </w:r>
          </w:p>
          <w:p>
            <w:pPr>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本项目</w:t>
            </w:r>
            <w:r>
              <w:rPr>
                <w:rFonts w:hint="eastAsia" w:ascii="Times New Roman" w:hAnsi="Times New Roman"/>
                <w:color w:val="auto"/>
                <w:sz w:val="24"/>
                <w:szCs w:val="20"/>
              </w:rPr>
              <w:t>位于现有的已征工业用地范围内，项目</w:t>
            </w:r>
            <w:r>
              <w:rPr>
                <w:rFonts w:ascii="Times New Roman" w:hAnsi="Times New Roman"/>
                <w:color w:val="auto"/>
                <w:sz w:val="24"/>
                <w:szCs w:val="20"/>
              </w:rPr>
              <w:t>用地不新增，用地范围内不含生态环境保护目标，按照</w:t>
            </w:r>
            <w:r>
              <w:rPr>
                <w:rFonts w:ascii="Times New Roman" w:hAnsi="Times New Roman"/>
                <w:bCs/>
                <w:color w:val="auto"/>
                <w:sz w:val="24"/>
                <w:szCs w:val="24"/>
              </w:rPr>
              <w:t>《建设项目环境影响报告表编制技术指南（污染影响类）》（试行）中的相关要求，</w:t>
            </w:r>
            <w:r>
              <w:rPr>
                <w:rFonts w:ascii="Times New Roman" w:hAnsi="Times New Roman"/>
                <w:color w:val="auto"/>
                <w:sz w:val="24"/>
                <w:szCs w:val="20"/>
              </w:rPr>
              <w:t>可不进行生态环境质量现状分析。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00" w:hRule="atLeast"/>
          <w:jc w:val="center"/>
        </w:trPr>
        <w:tc>
          <w:tcPr>
            <w:tcW w:w="509" w:type="dxa"/>
            <w:tcMar>
              <w:left w:w="0" w:type="dxa"/>
              <w:right w:w="0" w:type="dxa"/>
            </w:tcMar>
            <w:vAlign w:val="center"/>
          </w:tcPr>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环境</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保护</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目标</w:t>
            </w:r>
          </w:p>
        </w:tc>
        <w:tc>
          <w:tcPr>
            <w:tcW w:w="8648" w:type="dxa"/>
          </w:tcPr>
          <w:p>
            <w:pPr>
              <w:widowControl w:val="0"/>
              <w:adjustRightInd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本项目</w:t>
            </w:r>
            <w:r>
              <w:rPr>
                <w:rFonts w:ascii="Times New Roman" w:hAnsi="Times New Roman"/>
                <w:color w:val="auto"/>
                <w:kern w:val="0"/>
                <w:sz w:val="24"/>
                <w:szCs w:val="24"/>
                <w:lang w:bidi="ar"/>
              </w:rPr>
              <w:t>在现有</w:t>
            </w:r>
            <w:r>
              <w:rPr>
                <w:rFonts w:hint="eastAsia" w:ascii="Times New Roman" w:hAnsi="Times New Roman"/>
                <w:color w:val="auto"/>
                <w:kern w:val="0"/>
                <w:sz w:val="24"/>
                <w:szCs w:val="24"/>
                <w:lang w:bidi="ar"/>
              </w:rPr>
              <w:t>厂区</w:t>
            </w:r>
            <w:r>
              <w:rPr>
                <w:rFonts w:ascii="Times New Roman" w:hAnsi="Times New Roman"/>
                <w:color w:val="auto"/>
                <w:kern w:val="0"/>
                <w:sz w:val="24"/>
                <w:szCs w:val="24"/>
                <w:lang w:bidi="ar"/>
              </w:rPr>
              <w:t>的预留空地上进行建设</w:t>
            </w:r>
            <w:r>
              <w:rPr>
                <w:rFonts w:hint="eastAsia" w:ascii="Times New Roman" w:hAnsi="Times New Roman"/>
                <w:color w:val="auto"/>
                <w:kern w:val="0"/>
                <w:sz w:val="24"/>
                <w:szCs w:val="24"/>
                <w:lang w:bidi="ar"/>
              </w:rPr>
              <w:t>，</w:t>
            </w:r>
            <w:r>
              <w:rPr>
                <w:rFonts w:ascii="Times New Roman" w:hAnsi="Times New Roman"/>
                <w:color w:val="auto"/>
                <w:kern w:val="0"/>
                <w:sz w:val="24"/>
                <w:szCs w:val="24"/>
                <w:lang w:bidi="ar"/>
              </w:rPr>
              <w:t>经现场勘查，</w:t>
            </w:r>
            <w:r>
              <w:rPr>
                <w:rFonts w:ascii="Times New Roman" w:hAnsi="Times New Roman"/>
                <w:color w:val="auto"/>
                <w:sz w:val="24"/>
                <w:szCs w:val="24"/>
              </w:rPr>
              <w:t>拟建项目所在地不属于自然保护区、生态脆弱区等，评价范围内无重点保护文物、古迹、植物、动物及人文景观等。本项目所在区域范围内环境保护目标见表</w:t>
            </w:r>
            <w:r>
              <w:rPr>
                <w:rFonts w:hint="eastAsia" w:ascii="Times New Roman" w:hAnsi="Times New Roman"/>
                <w:color w:val="auto"/>
                <w:sz w:val="24"/>
                <w:szCs w:val="24"/>
              </w:rPr>
              <w:t>23</w:t>
            </w:r>
            <w:r>
              <w:rPr>
                <w:rFonts w:ascii="Times New Roman" w:hAnsi="Times New Roman"/>
                <w:color w:val="auto"/>
                <w:sz w:val="24"/>
                <w:szCs w:val="24"/>
              </w:rPr>
              <w:t>和附图7。</w:t>
            </w:r>
          </w:p>
          <w:p>
            <w:pPr>
              <w:widowControl w:val="0"/>
              <w:numPr>
                <w:ilvl w:val="0"/>
                <w:numId w:val="13"/>
              </w:numPr>
              <w:jc w:val="center"/>
              <w:rPr>
                <w:rFonts w:ascii="Times New Roman" w:hAnsi="Times New Roman"/>
                <w:color w:val="auto"/>
              </w:rPr>
            </w:pPr>
            <w:r>
              <w:rPr>
                <w:rFonts w:ascii="Times New Roman" w:hAnsi="Times New Roman"/>
                <w:b/>
                <w:bCs/>
                <w:color w:val="auto"/>
                <w:sz w:val="24"/>
                <w:szCs w:val="24"/>
              </w:rPr>
              <w:t>环境保护目标表</w:t>
            </w:r>
          </w:p>
          <w:tbl>
            <w:tblPr>
              <w:tblStyle w:val="90"/>
              <w:tblpPr w:leftFromText="180" w:rightFromText="180" w:vertAnchor="text" w:horzAnchor="page" w:tblpXSpec="center" w:tblpY="152"/>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995"/>
              <w:gridCol w:w="852"/>
              <w:gridCol w:w="1846"/>
              <w:gridCol w:w="1134"/>
              <w:gridCol w:w="1277"/>
              <w:gridCol w:w="711"/>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16"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环境要素</w:t>
                  </w:r>
                </w:p>
              </w:tc>
              <w:tc>
                <w:tcPr>
                  <w:tcW w:w="1097" w:type="pct"/>
                  <w:gridSpan w:val="2"/>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坐标</w:t>
                  </w:r>
                </w:p>
              </w:tc>
              <w:tc>
                <w:tcPr>
                  <w:tcW w:w="1096"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保护对象</w:t>
                  </w:r>
                </w:p>
              </w:tc>
              <w:tc>
                <w:tcPr>
                  <w:tcW w:w="673"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保护内容</w:t>
                  </w:r>
                </w:p>
              </w:tc>
              <w:tc>
                <w:tcPr>
                  <w:tcW w:w="758"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环境功能区</w:t>
                  </w:r>
                </w:p>
              </w:tc>
              <w:tc>
                <w:tcPr>
                  <w:tcW w:w="422"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相对方位</w:t>
                  </w:r>
                </w:p>
              </w:tc>
              <w:tc>
                <w:tcPr>
                  <w:tcW w:w="538"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距厂界距离/m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6" w:type="pct"/>
                  <w:vMerge w:val="continue"/>
                  <w:vAlign w:val="center"/>
                </w:tcPr>
                <w:p>
                  <w:pPr>
                    <w:adjustRightInd w:val="0"/>
                    <w:snapToGrid w:val="0"/>
                    <w:jc w:val="center"/>
                    <w:rPr>
                      <w:rFonts w:ascii="Times New Roman" w:hAnsi="Times New Roman"/>
                      <w:color w:val="auto"/>
                      <w:szCs w:val="21"/>
                    </w:rPr>
                  </w:pPr>
                </w:p>
              </w:tc>
              <w:tc>
                <w:tcPr>
                  <w:tcW w:w="5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经度</w:t>
                  </w:r>
                </w:p>
              </w:tc>
              <w:tc>
                <w:tcPr>
                  <w:tcW w:w="50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纬度</w:t>
                  </w:r>
                </w:p>
              </w:tc>
              <w:tc>
                <w:tcPr>
                  <w:tcW w:w="1095" w:type="pct"/>
                  <w:vMerge w:val="continue"/>
                  <w:vAlign w:val="center"/>
                </w:tcPr>
                <w:p>
                  <w:pPr>
                    <w:adjustRightInd w:val="0"/>
                    <w:snapToGrid w:val="0"/>
                    <w:jc w:val="center"/>
                    <w:rPr>
                      <w:rFonts w:ascii="Times New Roman" w:hAnsi="Times New Roman"/>
                      <w:color w:val="auto"/>
                      <w:szCs w:val="21"/>
                    </w:rPr>
                  </w:pPr>
                </w:p>
              </w:tc>
              <w:tc>
                <w:tcPr>
                  <w:tcW w:w="673" w:type="pct"/>
                  <w:vMerge w:val="continue"/>
                  <w:vAlign w:val="center"/>
                </w:tcPr>
                <w:p>
                  <w:pPr>
                    <w:adjustRightInd w:val="0"/>
                    <w:snapToGrid w:val="0"/>
                    <w:jc w:val="center"/>
                    <w:rPr>
                      <w:rFonts w:ascii="Times New Roman" w:hAnsi="Times New Roman"/>
                      <w:color w:val="auto"/>
                      <w:szCs w:val="21"/>
                    </w:rPr>
                  </w:pPr>
                </w:p>
              </w:tc>
              <w:tc>
                <w:tcPr>
                  <w:tcW w:w="758" w:type="pct"/>
                  <w:vMerge w:val="continue"/>
                  <w:vAlign w:val="center"/>
                </w:tcPr>
                <w:p>
                  <w:pPr>
                    <w:adjustRightInd w:val="0"/>
                    <w:snapToGrid w:val="0"/>
                    <w:jc w:val="center"/>
                    <w:rPr>
                      <w:rFonts w:ascii="Times New Roman" w:hAnsi="Times New Roman"/>
                      <w:color w:val="auto"/>
                      <w:szCs w:val="21"/>
                    </w:rPr>
                  </w:pPr>
                </w:p>
              </w:tc>
              <w:tc>
                <w:tcPr>
                  <w:tcW w:w="422" w:type="pct"/>
                  <w:vMerge w:val="continue"/>
                  <w:vAlign w:val="center"/>
                </w:tcPr>
                <w:p>
                  <w:pPr>
                    <w:adjustRightInd w:val="0"/>
                    <w:snapToGrid w:val="0"/>
                    <w:jc w:val="center"/>
                    <w:rPr>
                      <w:rFonts w:ascii="Times New Roman" w:hAnsi="Times New Roman"/>
                      <w:color w:val="auto"/>
                      <w:szCs w:val="21"/>
                    </w:rPr>
                  </w:pPr>
                </w:p>
              </w:tc>
              <w:tc>
                <w:tcPr>
                  <w:tcW w:w="539" w:type="pct"/>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41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大气环境</w:t>
                  </w:r>
                </w:p>
              </w:tc>
              <w:tc>
                <w:tcPr>
                  <w:tcW w:w="4584" w:type="pct"/>
                  <w:gridSpan w:val="7"/>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项目所在地厂界外500米范围内无自然保护区、风景名胜区、居住区、文化区和农村地区中人群较集中的区域等环境空气保护目标。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1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声环境</w:t>
                  </w:r>
                </w:p>
              </w:tc>
              <w:tc>
                <w:tcPr>
                  <w:tcW w:w="4584" w:type="pct"/>
                  <w:gridSpan w:val="7"/>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本</w:t>
                  </w:r>
                  <w:r>
                    <w:rPr>
                      <w:rFonts w:hint="eastAsia" w:ascii="Times New Roman" w:hAnsi="Times New Roman"/>
                      <w:color w:val="auto"/>
                      <w:szCs w:val="21"/>
                    </w:rPr>
                    <w:t>技改项目所在地厂界外50米范围</w:t>
                  </w:r>
                  <w:r>
                    <w:rPr>
                      <w:rFonts w:hint="eastAsia" w:ascii="Times New Roman" w:hAnsi="Times New Roman"/>
                      <w:color w:val="auto"/>
                      <w:szCs w:val="21"/>
                      <w:lang w:eastAsia="zh-CN"/>
                    </w:rPr>
                    <w:t>内</w:t>
                  </w:r>
                  <w:r>
                    <w:rPr>
                      <w:rFonts w:hint="eastAsia" w:ascii="Times New Roman" w:hAnsi="Times New Roman"/>
                      <w:color w:val="auto"/>
                      <w:szCs w:val="21"/>
                    </w:rPr>
                    <w:t>无</w:t>
                  </w:r>
                  <w:r>
                    <w:rPr>
                      <w:rFonts w:ascii="Times New Roman" w:hAnsi="Times New Roman"/>
                      <w:color w:val="auto"/>
                      <w:szCs w:val="21"/>
                    </w:rPr>
                    <w:t>声环境保护目标。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416"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地下水</w:t>
                  </w:r>
                </w:p>
              </w:tc>
              <w:tc>
                <w:tcPr>
                  <w:tcW w:w="5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108°54′</w:t>
                  </w:r>
                </w:p>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505"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37°39′50.4″</w:t>
                  </w:r>
                </w:p>
              </w:tc>
              <w:tc>
                <w:tcPr>
                  <w:tcW w:w="1096"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项目所在地厂界外500m范围内分散式自备水井</w:t>
                  </w:r>
                </w:p>
              </w:tc>
              <w:tc>
                <w:tcPr>
                  <w:tcW w:w="67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1口，</w:t>
                  </w:r>
                </w:p>
                <w:p>
                  <w:pPr>
                    <w:adjustRightInd w:val="0"/>
                    <w:snapToGrid w:val="0"/>
                    <w:jc w:val="center"/>
                    <w:rPr>
                      <w:rFonts w:ascii="Times New Roman" w:hAnsi="Times New Roman"/>
                      <w:color w:val="auto"/>
                      <w:szCs w:val="21"/>
                    </w:rPr>
                  </w:pPr>
                  <w:r>
                    <w:rPr>
                      <w:rFonts w:ascii="Times New Roman" w:hAnsi="Times New Roman"/>
                      <w:color w:val="auto"/>
                      <w:szCs w:val="21"/>
                    </w:rPr>
                    <w:t>自备井</w:t>
                  </w:r>
                </w:p>
              </w:tc>
              <w:tc>
                <w:tcPr>
                  <w:tcW w:w="758"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地下水环境三类功能区</w:t>
                  </w:r>
                </w:p>
              </w:tc>
              <w:tc>
                <w:tcPr>
                  <w:tcW w:w="42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NE</w:t>
                  </w:r>
                </w:p>
              </w:tc>
              <w:tc>
                <w:tcPr>
                  <w:tcW w:w="539"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16" w:type="pct"/>
                  <w:vMerge w:val="continue"/>
                  <w:vAlign w:val="center"/>
                </w:tcPr>
                <w:p>
                  <w:pPr>
                    <w:adjustRightInd w:val="0"/>
                    <w:snapToGrid w:val="0"/>
                    <w:jc w:val="center"/>
                    <w:rPr>
                      <w:rFonts w:ascii="Times New Roman" w:hAnsi="Times New Roman"/>
                      <w:color w:val="auto"/>
                      <w:szCs w:val="21"/>
                    </w:rPr>
                  </w:pPr>
                </w:p>
              </w:tc>
              <w:tc>
                <w:tcPr>
                  <w:tcW w:w="59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108°53′</w:t>
                  </w:r>
                </w:p>
                <w:p>
                  <w:pPr>
                    <w:adjustRightInd w:val="0"/>
                    <w:snapToGrid w:val="0"/>
                    <w:jc w:val="center"/>
                    <w:rPr>
                      <w:rFonts w:ascii="Times New Roman" w:hAnsi="Times New Roman"/>
                      <w:color w:val="auto"/>
                      <w:szCs w:val="21"/>
                    </w:rPr>
                  </w:pPr>
                  <w:r>
                    <w:rPr>
                      <w:rFonts w:ascii="Times New Roman" w:hAnsi="Times New Roman"/>
                      <w:color w:val="auto"/>
                      <w:szCs w:val="21"/>
                    </w:rPr>
                    <w:t>56.4″</w:t>
                  </w:r>
                </w:p>
              </w:tc>
              <w:tc>
                <w:tcPr>
                  <w:tcW w:w="50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37°39′36″</w:t>
                  </w:r>
                </w:p>
              </w:tc>
              <w:tc>
                <w:tcPr>
                  <w:tcW w:w="1096" w:type="pct"/>
                  <w:vMerge w:val="continue"/>
                  <w:vAlign w:val="center"/>
                </w:tcPr>
                <w:p>
                  <w:pPr>
                    <w:adjustRightInd w:val="0"/>
                    <w:snapToGrid w:val="0"/>
                    <w:jc w:val="center"/>
                    <w:rPr>
                      <w:rFonts w:ascii="Times New Roman" w:hAnsi="Times New Roman"/>
                      <w:color w:val="auto"/>
                      <w:szCs w:val="21"/>
                    </w:rPr>
                  </w:pPr>
                </w:p>
              </w:tc>
              <w:tc>
                <w:tcPr>
                  <w:tcW w:w="67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1口，</w:t>
                  </w:r>
                </w:p>
                <w:p>
                  <w:pPr>
                    <w:adjustRightInd w:val="0"/>
                    <w:snapToGrid w:val="0"/>
                    <w:jc w:val="center"/>
                    <w:rPr>
                      <w:rFonts w:ascii="Times New Roman" w:hAnsi="Times New Roman"/>
                      <w:color w:val="auto"/>
                      <w:szCs w:val="21"/>
                    </w:rPr>
                  </w:pPr>
                  <w:r>
                    <w:rPr>
                      <w:rFonts w:ascii="Times New Roman" w:hAnsi="Times New Roman"/>
                      <w:color w:val="auto"/>
                      <w:szCs w:val="21"/>
                    </w:rPr>
                    <w:t>自备井</w:t>
                  </w:r>
                </w:p>
              </w:tc>
              <w:tc>
                <w:tcPr>
                  <w:tcW w:w="758" w:type="pct"/>
                  <w:vMerge w:val="continue"/>
                  <w:vAlign w:val="center"/>
                </w:tcPr>
                <w:p>
                  <w:pPr>
                    <w:adjustRightInd w:val="0"/>
                    <w:snapToGrid w:val="0"/>
                    <w:jc w:val="center"/>
                    <w:rPr>
                      <w:rFonts w:ascii="Times New Roman" w:hAnsi="Times New Roman"/>
                      <w:color w:val="auto"/>
                      <w:szCs w:val="21"/>
                    </w:rPr>
                  </w:pPr>
                </w:p>
              </w:tc>
              <w:tc>
                <w:tcPr>
                  <w:tcW w:w="42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S</w:t>
                  </w:r>
                </w:p>
              </w:tc>
              <w:tc>
                <w:tcPr>
                  <w:tcW w:w="53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416"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生态环境</w:t>
                  </w:r>
                </w:p>
              </w:tc>
              <w:tc>
                <w:tcPr>
                  <w:tcW w:w="4584" w:type="pct"/>
                  <w:gridSpan w:val="7"/>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用地范围内不含生态环境保护目标</w:t>
                  </w:r>
                  <w:r>
                    <w:rPr>
                      <w:rFonts w:hint="eastAsia" w:ascii="Times New Roman" w:hAnsi="Times New Roman"/>
                      <w:color w:val="auto"/>
                      <w:szCs w:val="21"/>
                    </w:rPr>
                    <w:t>，厂区内及周边存在人工绿化植被</w:t>
                  </w:r>
                  <w:r>
                    <w:rPr>
                      <w:rFonts w:ascii="Times New Roman" w:hAnsi="Times New Roman"/>
                      <w:color w:val="auto"/>
                      <w:szCs w:val="21"/>
                    </w:rPr>
                    <w:t>。</w:t>
                  </w:r>
                </w:p>
              </w:tc>
            </w:tr>
          </w:tbl>
          <w:p>
            <w:pPr>
              <w:widowControl w:val="0"/>
              <w:adjustRightInd w:val="0"/>
              <w:spacing w:line="360" w:lineRule="auto"/>
              <w:jc w:val="both"/>
              <w:rPr>
                <w:rFonts w:ascii="Times New Roman" w:hAnsi="Times New Roman"/>
                <w:color w:val="auto"/>
                <w:kern w:val="0"/>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73" w:hRule="atLeast"/>
          <w:jc w:val="center"/>
        </w:trPr>
        <w:tc>
          <w:tcPr>
            <w:tcW w:w="509" w:type="dxa"/>
            <w:tcMar>
              <w:left w:w="28" w:type="dxa"/>
              <w:right w:w="28" w:type="dxa"/>
            </w:tcMar>
            <w:vAlign w:val="center"/>
          </w:tcPr>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污染</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物排</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放控</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制标</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准</w:t>
            </w:r>
          </w:p>
        </w:tc>
        <w:tc>
          <w:tcPr>
            <w:tcW w:w="8648" w:type="dxa"/>
          </w:tcPr>
          <w:p>
            <w:pPr>
              <w:pStyle w:val="329"/>
              <w:widowControl w:val="0"/>
              <w:numPr>
                <w:ilvl w:val="0"/>
                <w:numId w:val="20"/>
              </w:numPr>
              <w:tabs>
                <w:tab w:val="left" w:pos="880"/>
              </w:tabs>
              <w:adjustRightInd w:val="0"/>
              <w:spacing w:line="360" w:lineRule="auto"/>
              <w:ind w:left="0" w:firstLine="482" w:firstLineChars="0"/>
              <w:jc w:val="both"/>
              <w:rPr>
                <w:rFonts w:ascii="Times New Roman" w:hAnsi="Times New Roman"/>
                <w:b/>
                <w:snapToGrid w:val="0"/>
                <w:color w:val="auto"/>
                <w:sz w:val="24"/>
                <w:szCs w:val="20"/>
              </w:rPr>
            </w:pPr>
            <w:r>
              <w:rPr>
                <w:rFonts w:ascii="Times New Roman" w:hAnsi="Times New Roman"/>
                <w:b/>
                <w:snapToGrid w:val="0"/>
                <w:color w:val="auto"/>
                <w:sz w:val="24"/>
                <w:szCs w:val="20"/>
              </w:rPr>
              <w:t>废气</w:t>
            </w:r>
          </w:p>
          <w:p>
            <w:pPr>
              <w:widowControl w:val="0"/>
              <w:adjustRightInd w:val="0"/>
              <w:spacing w:line="360" w:lineRule="auto"/>
              <w:ind w:firstLine="480" w:firstLineChars="200"/>
              <w:jc w:val="both"/>
              <w:rPr>
                <w:rFonts w:ascii="Times New Roman" w:hAnsi="Times New Roman"/>
                <w:snapToGrid w:val="0"/>
                <w:color w:val="auto"/>
                <w:sz w:val="24"/>
                <w:szCs w:val="24"/>
              </w:rPr>
            </w:pPr>
            <w:r>
              <w:rPr>
                <w:rFonts w:ascii="Times New Roman" w:hAnsi="Times New Roman"/>
                <w:snapToGrid w:val="0"/>
                <w:color w:val="auto"/>
                <w:sz w:val="24"/>
                <w:szCs w:val="24"/>
              </w:rPr>
              <w:t>施工期扬尘颗粒无组织排放执行《施工场界扬尘排放限值》（DB61/1078-2017）标准；产生的富甲烷解析气排入厂区现有燃料气管线充当燃料气使用，燃烧产生的颗粒物、二氧化硫、氮氧化物总量在现有工程中已经核算，本次环评不再重复计算，颗粒物、二氧化硫、氮氧化物排放执行《大气污染物综合排放标准》（GB16297-1996）。详见表</w:t>
            </w:r>
            <w:r>
              <w:rPr>
                <w:rFonts w:hint="eastAsia" w:ascii="Times New Roman" w:hAnsi="Times New Roman"/>
                <w:snapToGrid w:val="0"/>
                <w:color w:val="auto"/>
                <w:sz w:val="24"/>
                <w:szCs w:val="24"/>
              </w:rPr>
              <w:t>24</w:t>
            </w:r>
            <w:r>
              <w:rPr>
                <w:rFonts w:ascii="Times New Roman" w:hAnsi="Times New Roman"/>
                <w:snapToGrid w:val="0"/>
                <w:color w:val="auto"/>
                <w:sz w:val="24"/>
                <w:szCs w:val="24"/>
              </w:rPr>
              <w:t>：</w:t>
            </w:r>
          </w:p>
          <w:p>
            <w:pPr>
              <w:widowControl w:val="0"/>
              <w:numPr>
                <w:ilvl w:val="0"/>
                <w:numId w:val="13"/>
              </w:numPr>
              <w:jc w:val="center"/>
              <w:rPr>
                <w:rFonts w:ascii="Times New Roman" w:hAnsi="Times New Roman"/>
                <w:b/>
                <w:bCs/>
                <w:color w:val="auto"/>
                <w:sz w:val="24"/>
                <w:szCs w:val="24"/>
              </w:rPr>
            </w:pPr>
            <w:r>
              <w:rPr>
                <w:rFonts w:ascii="Times New Roman" w:hAnsi="Times New Roman"/>
                <w:b/>
                <w:bCs/>
                <w:color w:val="auto"/>
                <w:sz w:val="24"/>
                <w:szCs w:val="24"/>
              </w:rPr>
              <w:t>项目废气排放执行标准</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3383"/>
              <w:gridCol w:w="2876"/>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551" w:type="pct"/>
                  <w:tcBorders>
                    <w:tl2br w:val="nil"/>
                    <w:tr2bl w:val="nil"/>
                  </w:tcBorders>
                  <w:vAlign w:val="center"/>
                </w:tcPr>
                <w:p>
                  <w:pPr>
                    <w:jc w:val="center"/>
                    <w:rPr>
                      <w:rFonts w:ascii="Times New Roman" w:hAnsi="Times New Roman"/>
                      <w:bCs/>
                      <w:color w:val="auto"/>
                      <w:szCs w:val="21"/>
                    </w:rPr>
                  </w:pPr>
                  <w:r>
                    <w:rPr>
                      <w:rFonts w:ascii="Times New Roman" w:hAnsi="Times New Roman"/>
                      <w:bCs/>
                      <w:color w:val="auto"/>
                      <w:szCs w:val="21"/>
                    </w:rPr>
                    <w:t>时期</w:t>
                  </w:r>
                </w:p>
              </w:tc>
              <w:tc>
                <w:tcPr>
                  <w:tcW w:w="2009" w:type="pct"/>
                  <w:tcBorders>
                    <w:tl2br w:val="nil"/>
                    <w:tr2bl w:val="nil"/>
                  </w:tcBorders>
                  <w:vAlign w:val="center"/>
                </w:tcPr>
                <w:p>
                  <w:pPr>
                    <w:jc w:val="center"/>
                    <w:rPr>
                      <w:rFonts w:ascii="Times New Roman" w:hAnsi="Times New Roman"/>
                      <w:bCs/>
                      <w:color w:val="auto"/>
                      <w:szCs w:val="21"/>
                    </w:rPr>
                  </w:pPr>
                  <w:r>
                    <w:rPr>
                      <w:rFonts w:ascii="Times New Roman" w:hAnsi="Times New Roman"/>
                      <w:bCs/>
                      <w:color w:val="auto"/>
                      <w:szCs w:val="21"/>
                    </w:rPr>
                    <w:t>适用类别</w:t>
                  </w:r>
                </w:p>
              </w:tc>
              <w:tc>
                <w:tcPr>
                  <w:tcW w:w="1708" w:type="pct"/>
                  <w:tcBorders>
                    <w:tl2br w:val="nil"/>
                    <w:tr2bl w:val="nil"/>
                  </w:tcBorders>
                  <w:vAlign w:val="center"/>
                </w:tcPr>
                <w:p>
                  <w:pPr>
                    <w:jc w:val="center"/>
                    <w:rPr>
                      <w:rFonts w:ascii="Times New Roman" w:hAnsi="Times New Roman"/>
                      <w:bCs/>
                      <w:color w:val="auto"/>
                      <w:szCs w:val="21"/>
                    </w:rPr>
                  </w:pPr>
                  <w:r>
                    <w:rPr>
                      <w:rFonts w:ascii="Times New Roman" w:hAnsi="Times New Roman"/>
                      <w:bCs/>
                      <w:color w:val="auto"/>
                      <w:szCs w:val="21"/>
                    </w:rPr>
                    <w:t>标准名称</w:t>
                  </w:r>
                </w:p>
              </w:tc>
              <w:tc>
                <w:tcPr>
                  <w:tcW w:w="731" w:type="pct"/>
                  <w:tcBorders>
                    <w:tl2br w:val="nil"/>
                    <w:tr2bl w:val="nil"/>
                  </w:tcBorders>
                  <w:vAlign w:val="center"/>
                </w:tcPr>
                <w:p>
                  <w:pPr>
                    <w:jc w:val="center"/>
                    <w:rPr>
                      <w:rFonts w:ascii="Times New Roman" w:hAnsi="Times New Roman"/>
                      <w:bCs/>
                      <w:color w:val="auto"/>
                      <w:szCs w:val="21"/>
                    </w:rPr>
                  </w:pPr>
                  <w:r>
                    <w:rPr>
                      <w:rFonts w:ascii="Times New Roman" w:hAnsi="Times New Roman"/>
                      <w:bCs/>
                      <w:color w:val="auto"/>
                      <w:szCs w:val="21"/>
                    </w:rPr>
                    <w:t>标准值（mg/m</w:t>
                  </w:r>
                  <w:r>
                    <w:rPr>
                      <w:rFonts w:ascii="Times New Roman" w:hAnsi="Times New Roman"/>
                      <w:bCs/>
                      <w:color w:val="auto"/>
                      <w:szCs w:val="21"/>
                      <w:vertAlign w:val="superscript"/>
                    </w:rPr>
                    <w:t>3</w:t>
                  </w:r>
                  <w:r>
                    <w:rPr>
                      <w:rFonts w:ascii="Times New Roman" w:hAnsi="Times New Roman"/>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551"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施工期</w:t>
                  </w:r>
                </w:p>
              </w:tc>
              <w:tc>
                <w:tcPr>
                  <w:tcW w:w="2009"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TSP（拆除、土方及地基处理工程）</w:t>
                  </w:r>
                </w:p>
              </w:tc>
              <w:tc>
                <w:tcPr>
                  <w:tcW w:w="1708" w:type="pct"/>
                  <w:vMerge w:val="restar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《施工场界扬尘排放限值》</w:t>
                  </w:r>
                  <w:r>
                    <w:rPr>
                      <w:color w:val="auto"/>
                    </w:rPr>
                    <w:fldChar w:fldCharType="begin"/>
                  </w:r>
                  <w:r>
                    <w:rPr>
                      <w:color w:val="auto"/>
                    </w:rPr>
                    <w:instrText xml:space="preserve"> HYPERLINK "http://www.snepb.gov.cn/d/file/standard/dfbz/20170802/1501636090902806.pdf" \t "_blank" \o "施工场界扬尘排放限值(DB61/1078-2017)" </w:instrText>
                  </w:r>
                  <w:r>
                    <w:rPr>
                      <w:color w:val="auto"/>
                    </w:rPr>
                    <w:fldChar w:fldCharType="separate"/>
                  </w:r>
                  <w:r>
                    <w:rPr>
                      <w:rFonts w:ascii="Times New Roman" w:hAnsi="Times New Roman"/>
                      <w:color w:val="auto"/>
                      <w:szCs w:val="21"/>
                    </w:rPr>
                    <w:t>(DB61/1078-2017)</w:t>
                  </w:r>
                  <w:r>
                    <w:rPr>
                      <w:rFonts w:ascii="Times New Roman" w:hAnsi="Times New Roman"/>
                      <w:color w:val="auto"/>
                      <w:szCs w:val="21"/>
                    </w:rPr>
                    <w:fldChar w:fldCharType="end"/>
                  </w:r>
                </w:p>
              </w:tc>
              <w:tc>
                <w:tcPr>
                  <w:tcW w:w="73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pct"/>
                  <w:vMerge w:val="continue"/>
                  <w:tcBorders>
                    <w:tl2br w:val="nil"/>
                    <w:tr2bl w:val="nil"/>
                  </w:tcBorders>
                  <w:vAlign w:val="center"/>
                </w:tcPr>
                <w:p>
                  <w:pPr>
                    <w:jc w:val="center"/>
                    <w:rPr>
                      <w:rFonts w:ascii="Times New Roman" w:hAnsi="Times New Roman"/>
                      <w:color w:val="auto"/>
                      <w:szCs w:val="21"/>
                    </w:rPr>
                  </w:pPr>
                </w:p>
              </w:tc>
              <w:tc>
                <w:tcPr>
                  <w:tcW w:w="2009"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TSP（基础、主体结构及装饰工程）</w:t>
                  </w:r>
                </w:p>
              </w:tc>
              <w:tc>
                <w:tcPr>
                  <w:tcW w:w="1708" w:type="pct"/>
                  <w:vMerge w:val="continue"/>
                  <w:tcBorders>
                    <w:tl2br w:val="nil"/>
                    <w:tr2bl w:val="nil"/>
                  </w:tcBorders>
                  <w:vAlign w:val="center"/>
                </w:tcPr>
                <w:p>
                  <w:pPr>
                    <w:adjustRightInd w:val="0"/>
                    <w:snapToGrid w:val="0"/>
                    <w:jc w:val="center"/>
                    <w:rPr>
                      <w:rFonts w:ascii="Times New Roman" w:hAnsi="Times New Roman"/>
                      <w:color w:val="auto"/>
                      <w:szCs w:val="21"/>
                    </w:rPr>
                  </w:pPr>
                </w:p>
              </w:tc>
              <w:tc>
                <w:tcPr>
                  <w:tcW w:w="73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51" w:type="pct"/>
                  <w:vMerge w:val="restar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运营期</w:t>
                  </w:r>
                </w:p>
              </w:tc>
              <w:tc>
                <w:tcPr>
                  <w:tcW w:w="2009"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污氮气（正常排放和设备吹扫）</w:t>
                  </w:r>
                </w:p>
              </w:tc>
              <w:tc>
                <w:tcPr>
                  <w:tcW w:w="1708"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w:t>
                  </w:r>
                </w:p>
              </w:tc>
              <w:tc>
                <w:tcPr>
                  <w:tcW w:w="73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551" w:type="pct"/>
                  <w:vMerge w:val="continue"/>
                  <w:tcBorders>
                    <w:tl2br w:val="nil"/>
                    <w:tr2bl w:val="nil"/>
                  </w:tcBorders>
                  <w:vAlign w:val="center"/>
                </w:tcPr>
                <w:p>
                  <w:pPr>
                    <w:jc w:val="center"/>
                    <w:rPr>
                      <w:rFonts w:ascii="Times New Roman" w:hAnsi="Times New Roman"/>
                      <w:color w:val="auto"/>
                      <w:szCs w:val="21"/>
                    </w:rPr>
                  </w:pPr>
                </w:p>
              </w:tc>
              <w:tc>
                <w:tcPr>
                  <w:tcW w:w="2009"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富甲烷解析气充当燃料气使用燃烧产生的</w:t>
                  </w:r>
                  <w:r>
                    <w:rPr>
                      <w:rFonts w:hint="eastAsia" w:ascii="Times New Roman" w:hAnsi="Times New Roman"/>
                      <w:color w:val="auto"/>
                      <w:szCs w:val="21"/>
                    </w:rPr>
                    <w:t>颗粒物、二氧化硫、氮氧化物</w:t>
                  </w:r>
                </w:p>
              </w:tc>
              <w:tc>
                <w:tcPr>
                  <w:tcW w:w="1708" w:type="pct"/>
                  <w:tcBorders>
                    <w:tl2br w:val="nil"/>
                    <w:tr2bl w:val="nil"/>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《大气污染物综合排放标准》（GB16297-1996）</w:t>
                  </w:r>
                </w:p>
              </w:tc>
              <w:tc>
                <w:tcPr>
                  <w:tcW w:w="731" w:type="pct"/>
                  <w:tcBorders>
                    <w:tl2br w:val="nil"/>
                    <w:tr2bl w:val="nil"/>
                  </w:tcBorders>
                  <w:vAlign w:val="center"/>
                </w:tcPr>
                <w:p>
                  <w:pPr>
                    <w:jc w:val="center"/>
                    <w:rPr>
                      <w:rFonts w:ascii="Times New Roman" w:hAnsi="Times New Roman"/>
                      <w:color w:val="auto"/>
                      <w:szCs w:val="21"/>
                    </w:rPr>
                  </w:pPr>
                  <w:r>
                    <w:rPr>
                      <w:rFonts w:ascii="Times New Roman" w:hAnsi="Times New Roman"/>
                      <w:color w:val="auto"/>
                      <w:szCs w:val="21"/>
                    </w:rPr>
                    <w:t>5.0</w:t>
                  </w:r>
                </w:p>
              </w:tc>
            </w:tr>
          </w:tbl>
          <w:p>
            <w:pPr>
              <w:pStyle w:val="329"/>
              <w:widowControl w:val="0"/>
              <w:numPr>
                <w:ilvl w:val="0"/>
                <w:numId w:val="20"/>
              </w:numPr>
              <w:tabs>
                <w:tab w:val="left" w:pos="880"/>
              </w:tabs>
              <w:adjustRightInd w:val="0"/>
              <w:spacing w:line="360" w:lineRule="auto"/>
              <w:ind w:left="0" w:firstLine="482" w:firstLineChars="0"/>
              <w:jc w:val="both"/>
              <w:rPr>
                <w:rFonts w:ascii="Times New Roman" w:hAnsi="Times New Roman"/>
                <w:b/>
                <w:snapToGrid w:val="0"/>
                <w:color w:val="auto"/>
                <w:sz w:val="24"/>
                <w:szCs w:val="20"/>
              </w:rPr>
            </w:pPr>
            <w:r>
              <w:rPr>
                <w:rFonts w:ascii="Times New Roman" w:hAnsi="Times New Roman"/>
                <w:b/>
                <w:snapToGrid w:val="0"/>
                <w:color w:val="auto"/>
                <w:sz w:val="24"/>
                <w:szCs w:val="20"/>
              </w:rPr>
              <w:t>噪声</w:t>
            </w:r>
          </w:p>
          <w:p>
            <w:pPr>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施工期噪声排放执行《建筑施工场界环境噪声排放标准》（GB12523-2011）中的有关规定；运营期项目所在地厂界四周噪声执行《工业企业厂界环境噪声排放标准》（GB12348-2008）中的3类标准。</w:t>
            </w:r>
            <w:r>
              <w:rPr>
                <w:rFonts w:ascii="Times New Roman" w:hAnsi="Times New Roman"/>
                <w:snapToGrid w:val="0"/>
                <w:color w:val="auto"/>
                <w:sz w:val="24"/>
                <w:szCs w:val="24"/>
              </w:rPr>
              <w:t>详见表</w:t>
            </w:r>
            <w:r>
              <w:rPr>
                <w:rFonts w:hint="eastAsia" w:ascii="Times New Roman" w:hAnsi="Times New Roman"/>
                <w:snapToGrid w:val="0"/>
                <w:color w:val="auto"/>
                <w:sz w:val="24"/>
                <w:szCs w:val="24"/>
              </w:rPr>
              <w:t>25</w:t>
            </w:r>
            <w:r>
              <w:rPr>
                <w:rFonts w:ascii="Times New Roman" w:hAnsi="Times New Roman"/>
                <w:snapToGrid w:val="0"/>
                <w:color w:val="auto"/>
                <w:sz w:val="24"/>
                <w:szCs w:val="24"/>
              </w:rPr>
              <w:t>：</w:t>
            </w:r>
          </w:p>
          <w:p>
            <w:pPr>
              <w:widowControl w:val="0"/>
              <w:numPr>
                <w:ilvl w:val="0"/>
                <w:numId w:val="13"/>
              </w:numPr>
              <w:jc w:val="center"/>
              <w:rPr>
                <w:rFonts w:ascii="Times New Roman" w:hAnsi="Times New Roman"/>
                <w:b/>
                <w:snapToGrid w:val="0"/>
                <w:color w:val="auto"/>
                <w:sz w:val="24"/>
                <w:szCs w:val="24"/>
              </w:rPr>
            </w:pPr>
            <w:r>
              <w:rPr>
                <w:rFonts w:ascii="Times New Roman" w:hAnsi="Times New Roman"/>
                <w:b/>
                <w:snapToGrid w:val="0"/>
                <w:color w:val="auto"/>
                <w:sz w:val="24"/>
                <w:szCs w:val="24"/>
              </w:rPr>
              <w:t>项目噪声排放标准</w:t>
            </w:r>
          </w:p>
          <w:tbl>
            <w:tblPr>
              <w:tblStyle w:val="90"/>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4"/>
              <w:gridCol w:w="3896"/>
              <w:gridCol w:w="1719"/>
              <w:gridCol w:w="16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jc w:val="center"/>
              </w:trPr>
              <w:tc>
                <w:tcPr>
                  <w:tcW w:w="661" w:type="pct"/>
                  <w:vMerge w:val="restar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时期</w:t>
                  </w:r>
                </w:p>
              </w:tc>
              <w:tc>
                <w:tcPr>
                  <w:tcW w:w="2313" w:type="pct"/>
                  <w:vMerge w:val="restar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标准名称</w:t>
                  </w:r>
                </w:p>
              </w:tc>
              <w:tc>
                <w:tcPr>
                  <w:tcW w:w="2025" w:type="pct"/>
                  <w:gridSpan w:val="2"/>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排放限值dB（A）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jc w:val="center"/>
              </w:trPr>
              <w:tc>
                <w:tcPr>
                  <w:tcW w:w="661" w:type="pct"/>
                  <w:vMerge w:val="continue"/>
                  <w:shd w:val="clear" w:color="auto" w:fill="auto"/>
                  <w:vAlign w:val="center"/>
                </w:tcPr>
                <w:p>
                  <w:pPr>
                    <w:adjustRightInd w:val="0"/>
                    <w:snapToGrid w:val="0"/>
                    <w:jc w:val="center"/>
                    <w:rPr>
                      <w:rFonts w:ascii="Times New Roman" w:hAnsi="Times New Roman"/>
                      <w:color w:val="auto"/>
                      <w:szCs w:val="21"/>
                    </w:rPr>
                  </w:pPr>
                </w:p>
              </w:tc>
              <w:tc>
                <w:tcPr>
                  <w:tcW w:w="2313" w:type="pct"/>
                  <w:vMerge w:val="continue"/>
                  <w:shd w:val="clear" w:color="auto" w:fill="auto"/>
                  <w:vAlign w:val="center"/>
                </w:tcPr>
                <w:p>
                  <w:pPr>
                    <w:adjustRightInd w:val="0"/>
                    <w:snapToGrid w:val="0"/>
                    <w:jc w:val="center"/>
                    <w:rPr>
                      <w:rFonts w:ascii="Times New Roman" w:hAnsi="Times New Roman"/>
                      <w:color w:val="auto"/>
                      <w:szCs w:val="21"/>
                    </w:rPr>
                  </w:pPr>
                </w:p>
              </w:tc>
              <w:tc>
                <w:tcPr>
                  <w:tcW w:w="102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昼间</w:t>
                  </w:r>
                </w:p>
              </w:tc>
              <w:tc>
                <w:tcPr>
                  <w:tcW w:w="100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61"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施工期</w:t>
                  </w:r>
                </w:p>
              </w:tc>
              <w:tc>
                <w:tcPr>
                  <w:tcW w:w="2313"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《建筑施工场界环境噪声排放标准》</w:t>
                  </w:r>
                </w:p>
                <w:p>
                  <w:pPr>
                    <w:adjustRightInd w:val="0"/>
                    <w:snapToGrid w:val="0"/>
                    <w:jc w:val="center"/>
                    <w:rPr>
                      <w:rFonts w:ascii="Times New Roman" w:hAnsi="Times New Roman"/>
                      <w:color w:val="auto"/>
                      <w:szCs w:val="21"/>
                    </w:rPr>
                  </w:pPr>
                  <w:r>
                    <w:rPr>
                      <w:rFonts w:ascii="Times New Roman" w:hAnsi="Times New Roman"/>
                      <w:color w:val="auto"/>
                      <w:szCs w:val="21"/>
                    </w:rPr>
                    <w:t>（GB12523-2011）</w:t>
                  </w:r>
                </w:p>
              </w:tc>
              <w:tc>
                <w:tcPr>
                  <w:tcW w:w="102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70</w:t>
                  </w:r>
                </w:p>
              </w:tc>
              <w:tc>
                <w:tcPr>
                  <w:tcW w:w="100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1" w:hRule="atLeast"/>
                <w:jc w:val="center"/>
              </w:trPr>
              <w:tc>
                <w:tcPr>
                  <w:tcW w:w="661"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运营期</w:t>
                  </w:r>
                </w:p>
              </w:tc>
              <w:tc>
                <w:tcPr>
                  <w:tcW w:w="2313" w:type="pct"/>
                  <w:shd w:val="clear" w:color="auto" w:fill="auto"/>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《工业企业环境噪声排放标准》</w:t>
                  </w:r>
                </w:p>
                <w:p>
                  <w:pPr>
                    <w:adjustRightInd w:val="0"/>
                    <w:snapToGrid w:val="0"/>
                    <w:jc w:val="center"/>
                    <w:rPr>
                      <w:rFonts w:ascii="Times New Roman" w:hAnsi="Times New Roman"/>
                      <w:color w:val="auto"/>
                      <w:szCs w:val="21"/>
                    </w:rPr>
                  </w:pPr>
                  <w:r>
                    <w:rPr>
                      <w:rFonts w:ascii="Times New Roman" w:hAnsi="Times New Roman"/>
                      <w:color w:val="auto"/>
                      <w:szCs w:val="21"/>
                    </w:rPr>
                    <w:t>（GB12348-2008）3类标准</w:t>
                  </w:r>
                </w:p>
              </w:tc>
              <w:tc>
                <w:tcPr>
                  <w:tcW w:w="102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65</w:t>
                  </w:r>
                </w:p>
              </w:tc>
              <w:tc>
                <w:tcPr>
                  <w:tcW w:w="100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55</w:t>
                  </w:r>
                </w:p>
              </w:tc>
            </w:tr>
          </w:tbl>
          <w:p>
            <w:pPr>
              <w:pStyle w:val="329"/>
              <w:widowControl w:val="0"/>
              <w:numPr>
                <w:ilvl w:val="0"/>
                <w:numId w:val="20"/>
              </w:numPr>
              <w:tabs>
                <w:tab w:val="left" w:pos="880"/>
              </w:tabs>
              <w:adjustRightInd w:val="0"/>
              <w:spacing w:line="360" w:lineRule="auto"/>
              <w:ind w:left="0" w:firstLine="482" w:firstLineChars="0"/>
              <w:jc w:val="both"/>
              <w:rPr>
                <w:rFonts w:ascii="Times New Roman" w:hAnsi="Times New Roman"/>
                <w:b/>
                <w:snapToGrid w:val="0"/>
                <w:color w:val="auto"/>
                <w:sz w:val="24"/>
                <w:szCs w:val="20"/>
              </w:rPr>
            </w:pPr>
            <w:r>
              <w:rPr>
                <w:rFonts w:ascii="Times New Roman" w:hAnsi="Times New Roman"/>
                <w:b/>
                <w:snapToGrid w:val="0"/>
                <w:color w:val="auto"/>
                <w:sz w:val="24"/>
                <w:szCs w:val="20"/>
              </w:rPr>
              <w:t>废水</w:t>
            </w:r>
          </w:p>
          <w:p>
            <w:pPr>
              <w:adjustRightInd w:val="0"/>
              <w:spacing w:line="360" w:lineRule="auto"/>
              <w:ind w:firstLine="480" w:firstLineChars="200"/>
              <w:jc w:val="both"/>
              <w:rPr>
                <w:rFonts w:ascii="Times New Roman" w:hAnsi="Times New Roman"/>
                <w:color w:val="auto"/>
                <w:sz w:val="24"/>
              </w:rPr>
            </w:pPr>
            <w:r>
              <w:rPr>
                <w:rFonts w:ascii="Times New Roman" w:hAnsi="Times New Roman"/>
                <w:color w:val="auto"/>
                <w:sz w:val="24"/>
              </w:rPr>
              <w:t>施工期废水不外排。</w:t>
            </w:r>
            <w:r>
              <w:rPr>
                <w:rFonts w:hint="eastAsia" w:ascii="Times New Roman" w:hAnsi="Times New Roman"/>
                <w:color w:val="auto"/>
                <w:sz w:val="24"/>
              </w:rPr>
              <w:t>本项目不新增定员，因此不新增生活污水，现有工程生活污水</w:t>
            </w:r>
            <w:r>
              <w:rPr>
                <w:rFonts w:ascii="Times New Roman" w:hAnsi="Times New Roman"/>
                <w:bCs/>
                <w:color w:val="auto"/>
                <w:sz w:val="24"/>
                <w:szCs w:val="24"/>
              </w:rPr>
              <w:t>经化粪池和隔油池（食堂废水）处理后进入CASS处理系统进行二级处理，绿化灌溉季节用于</w:t>
            </w:r>
            <w:r>
              <w:rPr>
                <w:rFonts w:hint="eastAsia" w:ascii="Times New Roman" w:hAnsi="Times New Roman"/>
                <w:bCs/>
                <w:color w:val="auto"/>
                <w:sz w:val="24"/>
                <w:szCs w:val="24"/>
              </w:rPr>
              <w:t>厂</w:t>
            </w:r>
            <w:r>
              <w:rPr>
                <w:rFonts w:ascii="Times New Roman" w:hAnsi="Times New Roman"/>
                <w:bCs/>
                <w:color w:val="auto"/>
                <w:sz w:val="24"/>
                <w:szCs w:val="24"/>
              </w:rPr>
              <w:t>区绿化，非绿化季节运至靖边县污水处理厂统一处理；</w:t>
            </w:r>
            <w:r>
              <w:rPr>
                <w:rFonts w:hint="eastAsia" w:ascii="Times New Roman" w:hAnsi="Times New Roman"/>
                <w:bCs/>
                <w:color w:val="auto"/>
                <w:sz w:val="24"/>
                <w:szCs w:val="24"/>
              </w:rPr>
              <w:t>生活废水回用于绿化灌溉时，执行</w:t>
            </w:r>
            <w:r>
              <w:rPr>
                <w:rFonts w:ascii="Times New Roman" w:hAnsi="Times New Roman"/>
                <w:bCs/>
                <w:color w:val="auto"/>
                <w:sz w:val="24"/>
                <w:szCs w:val="24"/>
              </w:rPr>
              <w:t>《城市污水再生利用绿地灌溉水质》</w:t>
            </w:r>
            <w:r>
              <w:rPr>
                <w:rFonts w:hint="eastAsia" w:ascii="Times New Roman" w:hAnsi="Times New Roman"/>
                <w:bCs/>
                <w:color w:val="auto"/>
                <w:sz w:val="24"/>
                <w:szCs w:val="24"/>
              </w:rPr>
              <w:t>（</w:t>
            </w:r>
            <w:r>
              <w:rPr>
                <w:rFonts w:ascii="Times New Roman" w:hAnsi="Times New Roman"/>
                <w:bCs/>
                <w:color w:val="auto"/>
                <w:sz w:val="24"/>
                <w:szCs w:val="24"/>
              </w:rPr>
              <w:t>GB/T25499-2010</w:t>
            </w:r>
            <w:r>
              <w:rPr>
                <w:rFonts w:hint="eastAsia" w:ascii="Times New Roman" w:hAnsi="Times New Roman"/>
                <w:bCs/>
                <w:color w:val="auto"/>
                <w:sz w:val="24"/>
                <w:szCs w:val="24"/>
              </w:rPr>
              <w:t>）</w:t>
            </w:r>
            <w:r>
              <w:rPr>
                <w:rFonts w:ascii="Times New Roman" w:hAnsi="Times New Roman"/>
                <w:bCs/>
                <w:color w:val="auto"/>
                <w:sz w:val="24"/>
                <w:szCs w:val="24"/>
              </w:rPr>
              <w:t>》</w:t>
            </w:r>
            <w:r>
              <w:rPr>
                <w:rFonts w:hint="eastAsia" w:ascii="Times New Roman" w:hAnsi="Times New Roman"/>
                <w:bCs/>
                <w:color w:val="auto"/>
                <w:sz w:val="24"/>
                <w:szCs w:val="24"/>
              </w:rPr>
              <w:t>标准，详见表26。</w:t>
            </w:r>
            <w:r>
              <w:rPr>
                <w:rFonts w:hint="eastAsia" w:ascii="Times New Roman" w:hAnsi="Times New Roman"/>
                <w:bCs/>
                <w:color w:val="auto"/>
                <w:sz w:val="24"/>
                <w:szCs w:val="24"/>
                <w:lang w:eastAsia="zh-CN"/>
              </w:rPr>
              <w:t>非灌溉季节生活污水外运时，执行</w:t>
            </w:r>
            <w:r>
              <w:rPr>
                <w:rFonts w:ascii="Times New Roman" w:hAnsi="Times New Roman"/>
                <w:color w:val="auto"/>
                <w:sz w:val="24"/>
              </w:rPr>
              <w:t>《污水综合排放标准》（GB8978-1996）中表4三级标准限值</w:t>
            </w:r>
            <w:r>
              <w:rPr>
                <w:rFonts w:hint="eastAsia" w:ascii="Times New Roman" w:hAnsi="Times New Roman"/>
                <w:color w:val="auto"/>
                <w:sz w:val="24"/>
              </w:rPr>
              <w:t>，详见表27</w:t>
            </w:r>
            <w:r>
              <w:rPr>
                <w:rFonts w:ascii="Times New Roman" w:hAnsi="Times New Roman"/>
                <w:color w:val="auto"/>
                <w:sz w:val="24"/>
              </w:rPr>
              <w:t>。</w:t>
            </w:r>
            <w:r>
              <w:rPr>
                <w:rFonts w:hint="eastAsia" w:ascii="Times New Roman" w:hAnsi="Times New Roman"/>
                <w:color w:val="auto"/>
                <w:sz w:val="24"/>
              </w:rPr>
              <w:t>项目运营期产生的废水主要为催化脱氢单元产生的脱氢冷凝水，</w:t>
            </w:r>
            <w:r>
              <w:rPr>
                <w:rFonts w:hint="eastAsia" w:ascii="Times New Roman" w:hAnsi="Times New Roman"/>
                <w:color w:val="auto"/>
                <w:sz w:val="24"/>
                <w:lang w:eastAsia="zh-CN"/>
              </w:rPr>
              <w:t>用水桶盛装后回用于厂区绿化或洒扫，不外排。</w:t>
            </w:r>
          </w:p>
          <w:p>
            <w:pPr>
              <w:widowControl w:val="0"/>
              <w:numPr>
                <w:ilvl w:val="0"/>
                <w:numId w:val="13"/>
              </w:numPr>
              <w:jc w:val="center"/>
              <w:rPr>
                <w:rFonts w:ascii="Times New Roman" w:hAnsi="Times New Roman"/>
                <w:b/>
                <w:color w:val="auto"/>
                <w:sz w:val="24"/>
                <w:szCs w:val="20"/>
              </w:rPr>
            </w:pPr>
            <w:r>
              <w:rPr>
                <w:rFonts w:hint="eastAsia" w:ascii="Times New Roman" w:hAnsi="Times New Roman"/>
                <w:b/>
                <w:color w:val="auto"/>
                <w:sz w:val="24"/>
                <w:szCs w:val="20"/>
              </w:rPr>
              <w:t>生活污水回</w:t>
            </w:r>
            <w:r>
              <w:rPr>
                <w:rFonts w:ascii="Times New Roman" w:hAnsi="Times New Roman"/>
                <w:b/>
                <w:color w:val="auto"/>
                <w:sz w:val="24"/>
                <w:szCs w:val="20"/>
              </w:rPr>
              <w:t>用于绿地灌溉执行标准</w:t>
            </w:r>
          </w:p>
          <w:tbl>
            <w:tblPr>
              <w:tblStyle w:val="9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2"/>
              <w:gridCol w:w="3449"/>
              <w:gridCol w:w="1206"/>
              <w:gridCol w:w="1262"/>
              <w:gridCol w:w="13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1" w:hRule="atLeast"/>
                <w:jc w:val="center"/>
              </w:trPr>
              <w:tc>
                <w:tcPr>
                  <w:tcW w:w="697" w:type="pct"/>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类别</w:t>
                  </w:r>
                </w:p>
              </w:tc>
              <w:tc>
                <w:tcPr>
                  <w:tcW w:w="2052" w:type="pct"/>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标准名称及级(类)别</w:t>
                  </w:r>
                </w:p>
              </w:tc>
              <w:tc>
                <w:tcPr>
                  <w:tcW w:w="718" w:type="pct"/>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评价因子</w:t>
                  </w:r>
                </w:p>
              </w:tc>
              <w:tc>
                <w:tcPr>
                  <w:tcW w:w="1531" w:type="pct"/>
                  <w:gridSpan w:val="2"/>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91" w:hRule="atLeast"/>
                <w:jc w:val="center"/>
              </w:trPr>
              <w:tc>
                <w:tcPr>
                  <w:tcW w:w="697"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p>
              </w:tc>
              <w:tc>
                <w:tcPr>
                  <w:tcW w:w="2052"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p>
              </w:tc>
              <w:tc>
                <w:tcPr>
                  <w:tcW w:w="718"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p>
              </w:tc>
              <w:tc>
                <w:tcPr>
                  <w:tcW w:w="751"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单位</w:t>
                  </w:r>
                </w:p>
              </w:tc>
              <w:tc>
                <w:tcPr>
                  <w:tcW w:w="78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数值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 w:hRule="atLeast"/>
                <w:jc w:val="center"/>
              </w:trPr>
              <w:tc>
                <w:tcPr>
                  <w:tcW w:w="697" w:type="pct"/>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生活污水</w:t>
                  </w:r>
                </w:p>
              </w:tc>
              <w:tc>
                <w:tcPr>
                  <w:tcW w:w="2052" w:type="pct"/>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《城市污水再生利用绿地灌溉水质》</w:t>
                  </w:r>
                </w:p>
                <w:p>
                  <w:pPr>
                    <w:adjustRightInd w:val="0"/>
                    <w:snapToGrid w:val="0"/>
                    <w:jc w:val="center"/>
                    <w:rPr>
                      <w:rFonts w:ascii="Times New Roman" w:hAnsi="Times New Roman"/>
                      <w:color w:val="auto"/>
                      <w:szCs w:val="21"/>
                    </w:rPr>
                  </w:pPr>
                  <w:r>
                    <w:rPr>
                      <w:rFonts w:ascii="Times New Roman" w:hAnsi="Times New Roman"/>
                      <w:color w:val="auto"/>
                      <w:szCs w:val="21"/>
                    </w:rPr>
                    <w:t>(GB/T25499-2010)</w:t>
                  </w:r>
                </w:p>
              </w:tc>
              <w:tc>
                <w:tcPr>
                  <w:tcW w:w="718"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pH值</w:t>
                  </w:r>
                </w:p>
              </w:tc>
              <w:tc>
                <w:tcPr>
                  <w:tcW w:w="751"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无量纲</w:t>
                  </w:r>
                </w:p>
              </w:tc>
              <w:tc>
                <w:tcPr>
                  <w:tcW w:w="78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 w:hRule="atLeast"/>
                <w:jc w:val="center"/>
              </w:trPr>
              <w:tc>
                <w:tcPr>
                  <w:tcW w:w="697"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2052"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18"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石油类</w:t>
                  </w:r>
                </w:p>
              </w:tc>
              <w:tc>
                <w:tcPr>
                  <w:tcW w:w="751" w:type="pct"/>
                  <w:vMerge w:val="restar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mg/L</w:t>
                  </w:r>
                </w:p>
              </w:tc>
              <w:tc>
                <w:tcPr>
                  <w:tcW w:w="78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 w:hRule="atLeast"/>
                <w:jc w:val="center"/>
              </w:trPr>
              <w:tc>
                <w:tcPr>
                  <w:tcW w:w="697"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2052"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18"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COD</w:t>
                  </w:r>
                </w:p>
              </w:tc>
              <w:tc>
                <w:tcPr>
                  <w:tcW w:w="751"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8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 w:hRule="atLeast"/>
                <w:jc w:val="center"/>
              </w:trPr>
              <w:tc>
                <w:tcPr>
                  <w:tcW w:w="697"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2052"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18"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BDO</w:t>
                  </w:r>
                  <w:r>
                    <w:rPr>
                      <w:rFonts w:ascii="Times New Roman" w:hAnsi="Times New Roman"/>
                      <w:color w:val="auto"/>
                      <w:szCs w:val="21"/>
                      <w:vertAlign w:val="subscript"/>
                    </w:rPr>
                    <w:t>5</w:t>
                  </w:r>
                </w:p>
              </w:tc>
              <w:tc>
                <w:tcPr>
                  <w:tcW w:w="751"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8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7" w:hRule="atLeast"/>
                <w:jc w:val="center"/>
              </w:trPr>
              <w:tc>
                <w:tcPr>
                  <w:tcW w:w="697"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2052"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18"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氨氮</w:t>
                  </w:r>
                </w:p>
              </w:tc>
              <w:tc>
                <w:tcPr>
                  <w:tcW w:w="751" w:type="pct"/>
                  <w:vMerge w:val="continue"/>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p>
              </w:tc>
              <w:tc>
                <w:tcPr>
                  <w:tcW w:w="780" w:type="pct"/>
                  <w:tcBorders>
                    <w:top w:val="single" w:color="auto" w:sz="4" w:space="0"/>
                    <w:left w:val="single" w:color="auto" w:sz="4" w:space="0"/>
                    <w:bottom w:val="single" w:color="auto" w:sz="4" w:space="0"/>
                    <w:right w:val="single" w:color="auto" w:sz="4" w:space="0"/>
                  </w:tcBorders>
                  <w:tcMar>
                    <w:left w:w="11" w:type="dxa"/>
                    <w:right w:w="11" w:type="dxa"/>
                  </w:tcMar>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≤12</w:t>
                  </w:r>
                </w:p>
              </w:tc>
            </w:tr>
          </w:tbl>
          <w:p>
            <w:pPr>
              <w:widowControl w:val="0"/>
              <w:numPr>
                <w:ilvl w:val="0"/>
                <w:numId w:val="13"/>
              </w:numPr>
              <w:spacing w:before="171" w:beforeLines="50"/>
              <w:ind w:left="839" w:hanging="629"/>
              <w:jc w:val="right"/>
              <w:rPr>
                <w:rFonts w:ascii="Times New Roman" w:hAnsi="Times New Roman"/>
                <w:b/>
                <w:color w:val="auto"/>
                <w:sz w:val="24"/>
                <w:szCs w:val="20"/>
              </w:rPr>
            </w:pPr>
            <w:r>
              <w:rPr>
                <w:rFonts w:ascii="Times New Roman" w:hAnsi="Times New Roman"/>
                <w:b/>
                <w:snapToGrid w:val="0"/>
                <w:color w:val="auto"/>
                <w:sz w:val="24"/>
                <w:szCs w:val="24"/>
              </w:rPr>
              <w:t>污水外运执行</w:t>
            </w:r>
            <w:r>
              <w:rPr>
                <w:rFonts w:ascii="Times New Roman" w:hAnsi="Times New Roman"/>
                <w:b/>
                <w:color w:val="auto"/>
                <w:sz w:val="24"/>
                <w:szCs w:val="20"/>
              </w:rPr>
              <w:t xml:space="preserve">标准     </w:t>
            </w:r>
            <w:r>
              <w:rPr>
                <w:rFonts w:ascii="Times New Roman" w:hAnsi="Times New Roman"/>
                <w:bCs/>
                <w:color w:val="auto"/>
                <w:sz w:val="24"/>
                <w:szCs w:val="20"/>
              </w:rPr>
              <w:t>单位：mg/L（pH除外）</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546"/>
              <w:gridCol w:w="1263"/>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08"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序号</w:t>
                  </w:r>
                </w:p>
              </w:tc>
              <w:tc>
                <w:tcPr>
                  <w:tcW w:w="1512"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污染物</w:t>
                  </w:r>
                </w:p>
              </w:tc>
              <w:tc>
                <w:tcPr>
                  <w:tcW w:w="750"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水质指标</w:t>
                  </w:r>
                </w:p>
              </w:tc>
              <w:tc>
                <w:tcPr>
                  <w:tcW w:w="2129" w:type="pct"/>
                  <w:vAlign w:val="center"/>
                </w:tcPr>
                <w:p>
                  <w:pPr>
                    <w:adjustRightInd w:val="0"/>
                    <w:snapToGrid w:val="0"/>
                    <w:jc w:val="center"/>
                    <w:rPr>
                      <w:rFonts w:ascii="Times New Roman" w:hAnsi="Times New Roman"/>
                      <w:b/>
                      <w:bCs/>
                      <w:color w:val="auto"/>
                      <w:szCs w:val="21"/>
                    </w:rPr>
                  </w:pPr>
                  <w:r>
                    <w:rPr>
                      <w:rFonts w:ascii="Times New Roman" w:hAnsi="Times New Roman"/>
                      <w:b/>
                      <w:bCs/>
                      <w:color w:val="auto"/>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0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w:t>
                  </w:r>
                </w:p>
              </w:tc>
              <w:tc>
                <w:tcPr>
                  <w:tcW w:w="151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化学需氧量（COD）</w:t>
                  </w:r>
                </w:p>
              </w:tc>
              <w:tc>
                <w:tcPr>
                  <w:tcW w:w="750"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≤500</w:t>
                  </w:r>
                </w:p>
              </w:tc>
              <w:tc>
                <w:tcPr>
                  <w:tcW w:w="2129"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《污水综合排放标准》（GB8978-1996）表4三级标准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0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w:t>
                  </w:r>
                </w:p>
              </w:tc>
              <w:tc>
                <w:tcPr>
                  <w:tcW w:w="151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生化需氧量（BOD</w:t>
                  </w:r>
                  <w:r>
                    <w:rPr>
                      <w:rFonts w:ascii="Times New Roman" w:hAnsi="Times New Roman"/>
                      <w:color w:val="auto"/>
                      <w:szCs w:val="21"/>
                      <w:vertAlign w:val="subscript"/>
                    </w:rPr>
                    <w:t>5</w:t>
                  </w:r>
                  <w:r>
                    <w:rPr>
                      <w:rFonts w:ascii="Times New Roman" w:hAnsi="Times New Roman"/>
                      <w:color w:val="auto"/>
                      <w:szCs w:val="21"/>
                    </w:rPr>
                    <w:t>）</w:t>
                  </w:r>
                </w:p>
              </w:tc>
              <w:tc>
                <w:tcPr>
                  <w:tcW w:w="750"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≤250</w:t>
                  </w:r>
                </w:p>
              </w:tc>
              <w:tc>
                <w:tcPr>
                  <w:tcW w:w="2129" w:type="pct"/>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0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w:t>
                  </w:r>
                </w:p>
              </w:tc>
              <w:tc>
                <w:tcPr>
                  <w:tcW w:w="151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悬浮物（SS）</w:t>
                  </w:r>
                </w:p>
              </w:tc>
              <w:tc>
                <w:tcPr>
                  <w:tcW w:w="750"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≤300</w:t>
                  </w:r>
                </w:p>
              </w:tc>
              <w:tc>
                <w:tcPr>
                  <w:tcW w:w="2129" w:type="pct"/>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0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4</w:t>
                  </w:r>
                </w:p>
              </w:tc>
              <w:tc>
                <w:tcPr>
                  <w:tcW w:w="151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石油类</w:t>
                  </w:r>
                </w:p>
              </w:tc>
              <w:tc>
                <w:tcPr>
                  <w:tcW w:w="750"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≤20</w:t>
                  </w:r>
                </w:p>
              </w:tc>
              <w:tc>
                <w:tcPr>
                  <w:tcW w:w="2129" w:type="pct"/>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5</w:t>
                  </w:r>
                </w:p>
              </w:tc>
              <w:tc>
                <w:tcPr>
                  <w:tcW w:w="151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pH值</w:t>
                  </w:r>
                </w:p>
              </w:tc>
              <w:tc>
                <w:tcPr>
                  <w:tcW w:w="750"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6～9</w:t>
                  </w:r>
                </w:p>
              </w:tc>
              <w:tc>
                <w:tcPr>
                  <w:tcW w:w="2129" w:type="pct"/>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608"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6</w:t>
                  </w:r>
                </w:p>
              </w:tc>
              <w:tc>
                <w:tcPr>
                  <w:tcW w:w="1512"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硫化物</w:t>
                  </w:r>
                </w:p>
              </w:tc>
              <w:tc>
                <w:tcPr>
                  <w:tcW w:w="750"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＜1.0</w:t>
                  </w:r>
                </w:p>
              </w:tc>
              <w:tc>
                <w:tcPr>
                  <w:tcW w:w="2129" w:type="pct"/>
                  <w:vMerge w:val="continue"/>
                  <w:vAlign w:val="center"/>
                </w:tcPr>
                <w:p>
                  <w:pPr>
                    <w:adjustRightInd w:val="0"/>
                    <w:snapToGrid w:val="0"/>
                    <w:jc w:val="center"/>
                    <w:rPr>
                      <w:rFonts w:ascii="Times New Roman" w:hAnsi="Times New Roman"/>
                      <w:color w:val="auto"/>
                      <w:szCs w:val="21"/>
                    </w:rPr>
                  </w:pPr>
                </w:p>
              </w:tc>
            </w:tr>
          </w:tbl>
          <w:p>
            <w:pPr>
              <w:pStyle w:val="329"/>
              <w:widowControl w:val="0"/>
              <w:numPr>
                <w:ilvl w:val="0"/>
                <w:numId w:val="20"/>
              </w:numPr>
              <w:tabs>
                <w:tab w:val="left" w:pos="880"/>
              </w:tabs>
              <w:adjustRightInd w:val="0"/>
              <w:spacing w:line="360" w:lineRule="auto"/>
              <w:ind w:left="0" w:firstLine="482" w:firstLineChars="0"/>
              <w:jc w:val="both"/>
              <w:rPr>
                <w:rFonts w:ascii="Times New Roman" w:hAnsi="Times New Roman"/>
                <w:b/>
                <w:snapToGrid w:val="0"/>
                <w:color w:val="auto"/>
                <w:sz w:val="24"/>
                <w:szCs w:val="20"/>
              </w:rPr>
            </w:pPr>
            <w:r>
              <w:rPr>
                <w:rFonts w:ascii="Times New Roman" w:hAnsi="Times New Roman"/>
                <w:b/>
                <w:snapToGrid w:val="0"/>
                <w:color w:val="auto"/>
                <w:sz w:val="24"/>
                <w:szCs w:val="20"/>
              </w:rPr>
              <w:t>固废</w:t>
            </w:r>
          </w:p>
          <w:p>
            <w:pPr>
              <w:pStyle w:val="329"/>
              <w:widowControl w:val="0"/>
              <w:tabs>
                <w:tab w:val="left" w:pos="880"/>
              </w:tabs>
              <w:adjustRightInd w:val="0"/>
              <w:spacing w:line="360" w:lineRule="auto"/>
              <w:ind w:firstLine="480"/>
              <w:jc w:val="both"/>
              <w:rPr>
                <w:rFonts w:ascii="Times New Roman" w:hAnsi="Times New Roman"/>
                <w:color w:val="auto"/>
                <w:kern w:val="0"/>
                <w:sz w:val="24"/>
                <w:szCs w:val="24"/>
              </w:rPr>
            </w:pPr>
            <w:r>
              <w:rPr>
                <w:rFonts w:hint="eastAsia" w:ascii="Times New Roman" w:hAnsi="Times New Roman"/>
                <w:bCs/>
                <w:snapToGrid w:val="0"/>
                <w:color w:val="auto"/>
                <w:sz w:val="24"/>
                <w:szCs w:val="20"/>
                <w:lang w:eastAsia="zh-CN"/>
              </w:rPr>
              <w:t>本项目产生的固体废物有废分子筛、废催化剂、废活性炭及废润滑油等，均为危险废物，其中，废润滑油立即送往</w:t>
            </w:r>
            <w:r>
              <w:rPr>
                <w:rFonts w:ascii="Times New Roman" w:hAnsi="Times New Roman"/>
                <w:bCs/>
                <w:snapToGrid w:val="0"/>
                <w:color w:val="auto"/>
                <w:sz w:val="24"/>
                <w:szCs w:val="20"/>
              </w:rPr>
              <w:t>具有危险废物处理资质的单位进行处理与处置</w:t>
            </w:r>
            <w:r>
              <w:rPr>
                <w:rFonts w:hint="eastAsia" w:ascii="Times New Roman" w:hAnsi="Times New Roman"/>
                <w:bCs/>
                <w:snapToGrid w:val="0"/>
                <w:color w:val="auto"/>
                <w:sz w:val="24"/>
                <w:szCs w:val="20"/>
                <w:lang w:eastAsia="zh-CN"/>
              </w:rPr>
              <w:t>，除废润滑油外的危险废物均由厂家更换后直接回收，危险废物不在厂区内暂存。</w:t>
            </w:r>
            <w:r>
              <w:rPr>
                <w:rFonts w:ascii="Times New Roman" w:hAnsi="Times New Roman"/>
                <w:bCs/>
                <w:snapToGrid w:val="0"/>
                <w:color w:val="auto"/>
                <w:sz w:val="24"/>
                <w:szCs w:val="20"/>
              </w:rPr>
              <w:t>生活垃圾执行《生活垃圾填埋场污染控制标准》（GB1688-2008）中的有关规定。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9" w:type="dxa"/>
            <w:tcMar>
              <w:left w:w="0" w:type="dxa"/>
              <w:right w:w="0" w:type="dxa"/>
            </w:tcMar>
            <w:vAlign w:val="center"/>
          </w:tcPr>
          <w:p>
            <w:pPr>
              <w:widowControl w:val="0"/>
              <w:snapToGrid w:val="0"/>
              <w:jc w:val="center"/>
              <w:rPr>
                <w:rFonts w:ascii="Times New Roman" w:hAnsi="Times New Roman"/>
                <w:b/>
                <w:bCs/>
                <w:color w:val="auto"/>
                <w:kern w:val="0"/>
                <w:sz w:val="24"/>
                <w:szCs w:val="24"/>
              </w:rPr>
            </w:pPr>
            <w:r>
              <w:rPr>
                <w:rFonts w:ascii="Times New Roman" w:hAnsi="Times New Roman"/>
                <w:b/>
                <w:bCs/>
                <w:color w:val="auto"/>
                <w:kern w:val="0"/>
                <w:sz w:val="24"/>
                <w:szCs w:val="24"/>
              </w:rPr>
              <w:t>总量</w:t>
            </w:r>
          </w:p>
          <w:p>
            <w:pPr>
              <w:widowControl w:val="0"/>
              <w:spacing w:line="360" w:lineRule="auto"/>
              <w:jc w:val="center"/>
              <w:rPr>
                <w:rFonts w:ascii="Times New Roman" w:hAnsi="Times New Roman"/>
                <w:b/>
                <w:bCs/>
                <w:color w:val="auto"/>
                <w:kern w:val="0"/>
                <w:sz w:val="24"/>
                <w:szCs w:val="24"/>
              </w:rPr>
            </w:pPr>
            <w:r>
              <w:rPr>
                <w:rFonts w:ascii="Times New Roman" w:hAnsi="Times New Roman"/>
                <w:b/>
                <w:bCs/>
                <w:color w:val="auto"/>
                <w:kern w:val="0"/>
                <w:sz w:val="24"/>
                <w:szCs w:val="24"/>
              </w:rPr>
              <w:t>控制</w:t>
            </w:r>
          </w:p>
          <w:p>
            <w:pPr>
              <w:widowControl w:val="0"/>
              <w:snapToGrid w:val="0"/>
              <w:jc w:val="center"/>
              <w:rPr>
                <w:rFonts w:ascii="Times New Roman" w:hAnsi="Times New Roman"/>
                <w:b/>
                <w:bCs/>
                <w:color w:val="auto"/>
                <w:kern w:val="0"/>
                <w:sz w:val="24"/>
                <w:szCs w:val="24"/>
              </w:rPr>
            </w:pPr>
            <w:r>
              <w:rPr>
                <w:rFonts w:ascii="Times New Roman" w:hAnsi="Times New Roman"/>
                <w:b/>
                <w:bCs/>
                <w:color w:val="auto"/>
                <w:kern w:val="0"/>
                <w:sz w:val="24"/>
                <w:szCs w:val="24"/>
              </w:rPr>
              <w:t>指标</w:t>
            </w:r>
          </w:p>
        </w:tc>
        <w:tc>
          <w:tcPr>
            <w:tcW w:w="8648" w:type="dxa"/>
            <w:vAlign w:val="center"/>
          </w:tcPr>
          <w:p>
            <w:pPr>
              <w:widowControl w:val="0"/>
              <w:spacing w:line="360" w:lineRule="auto"/>
              <w:ind w:firstLine="480" w:firstLineChars="200"/>
              <w:jc w:val="both"/>
              <w:rPr>
                <w:rFonts w:ascii="Times New Roman" w:hAnsi="Times New Roman"/>
                <w:color w:val="auto"/>
                <w:kern w:val="0"/>
                <w:sz w:val="24"/>
                <w:szCs w:val="24"/>
              </w:rPr>
            </w:pPr>
            <w:r>
              <w:rPr>
                <w:rFonts w:ascii="Times New Roman" w:hAnsi="Times New Roman"/>
                <w:color w:val="auto"/>
                <w:sz w:val="24"/>
              </w:rPr>
              <w:t>本项目不涉及新增总量控制指标</w:t>
            </w:r>
            <w:r>
              <w:rPr>
                <w:rFonts w:ascii="Times New Roman" w:hAnsi="Times New Roman"/>
                <w:color w:val="auto"/>
                <w:kern w:val="0"/>
                <w:sz w:val="24"/>
                <w:szCs w:val="24"/>
              </w:rPr>
              <w:t>。</w:t>
            </w:r>
          </w:p>
        </w:tc>
      </w:tr>
    </w:tbl>
    <w:p>
      <w:pPr>
        <w:pStyle w:val="329"/>
        <w:keepNext/>
        <w:keepLines/>
        <w:pageBreakBefore/>
        <w:numPr>
          <w:ilvl w:val="0"/>
          <w:numId w:val="12"/>
        </w:numPr>
        <w:snapToGrid w:val="0"/>
        <w:ind w:firstLineChars="0"/>
        <w:jc w:val="center"/>
        <w:outlineLvl w:val="0"/>
        <w:rPr>
          <w:rFonts w:ascii="Times New Roman" w:hAnsi="Times New Roman"/>
          <w:b/>
          <w:bCs/>
          <w:color w:val="auto"/>
          <w:sz w:val="32"/>
          <w:szCs w:val="32"/>
        </w:rPr>
      </w:pPr>
      <w:r>
        <w:rPr>
          <w:rFonts w:ascii="Times New Roman" w:hAnsi="Times New Roman"/>
          <w:b/>
          <w:bCs/>
          <w:color w:val="auto"/>
          <w:sz w:val="32"/>
          <w:szCs w:val="32"/>
        </w:rPr>
        <w:t>主要环境影响和保护措施</w:t>
      </w:r>
    </w:p>
    <w:tbl>
      <w:tblPr>
        <w:tblStyle w:val="90"/>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46"/>
        <w:gridCol w:w="84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30" w:hRule="atLeast"/>
          <w:jc w:val="center"/>
        </w:trPr>
        <w:tc>
          <w:tcPr>
            <w:tcW w:w="694" w:type="dxa"/>
            <w:tcMar>
              <w:left w:w="28" w:type="dxa"/>
              <w:right w:w="28" w:type="dxa"/>
            </w:tcMar>
            <w:vAlign w:val="center"/>
          </w:tcPr>
          <w:p>
            <w:pPr>
              <w:adjustRightInd w:val="0"/>
              <w:jc w:val="center"/>
              <w:rPr>
                <w:rFonts w:ascii="Times New Roman" w:hAnsi="Times New Roman"/>
                <w:b/>
                <w:bCs/>
                <w:color w:val="auto"/>
                <w:sz w:val="24"/>
                <w:szCs w:val="24"/>
              </w:rPr>
            </w:pPr>
            <w:r>
              <w:rPr>
                <w:rFonts w:ascii="Times New Roman" w:hAnsi="Times New Roman"/>
                <w:b/>
                <w:bCs/>
                <w:color w:val="auto"/>
                <w:sz w:val="24"/>
                <w:szCs w:val="24"/>
              </w:rPr>
              <w:t>施工</w:t>
            </w:r>
          </w:p>
          <w:p>
            <w:pPr>
              <w:adjustRightInd w:val="0"/>
              <w:jc w:val="center"/>
              <w:rPr>
                <w:rFonts w:ascii="Times New Roman" w:hAnsi="Times New Roman"/>
                <w:b/>
                <w:bCs/>
                <w:color w:val="auto"/>
                <w:sz w:val="24"/>
                <w:szCs w:val="24"/>
              </w:rPr>
            </w:pPr>
            <w:r>
              <w:rPr>
                <w:rFonts w:ascii="Times New Roman" w:hAnsi="Times New Roman"/>
                <w:b/>
                <w:bCs/>
                <w:color w:val="auto"/>
                <w:sz w:val="24"/>
                <w:szCs w:val="24"/>
              </w:rPr>
              <w:t>期环</w:t>
            </w:r>
          </w:p>
          <w:p>
            <w:pPr>
              <w:adjustRightInd w:val="0"/>
              <w:jc w:val="center"/>
              <w:rPr>
                <w:rFonts w:ascii="Times New Roman" w:hAnsi="Times New Roman"/>
                <w:b/>
                <w:bCs/>
                <w:color w:val="auto"/>
                <w:sz w:val="24"/>
                <w:szCs w:val="24"/>
              </w:rPr>
            </w:pPr>
            <w:r>
              <w:rPr>
                <w:rFonts w:ascii="Times New Roman" w:hAnsi="Times New Roman"/>
                <w:b/>
                <w:bCs/>
                <w:color w:val="auto"/>
                <w:sz w:val="24"/>
                <w:szCs w:val="24"/>
              </w:rPr>
              <w:t>境保</w:t>
            </w:r>
          </w:p>
          <w:p>
            <w:pPr>
              <w:adjustRightInd w:val="0"/>
              <w:jc w:val="center"/>
              <w:rPr>
                <w:rFonts w:ascii="Times New Roman" w:hAnsi="Times New Roman"/>
                <w:b/>
                <w:bCs/>
                <w:color w:val="auto"/>
                <w:sz w:val="24"/>
                <w:szCs w:val="24"/>
              </w:rPr>
            </w:pPr>
            <w:r>
              <w:rPr>
                <w:rFonts w:ascii="Times New Roman" w:hAnsi="Times New Roman"/>
                <w:b/>
                <w:bCs/>
                <w:color w:val="auto"/>
                <w:sz w:val="24"/>
                <w:szCs w:val="24"/>
              </w:rPr>
              <w:t>护措</w:t>
            </w:r>
          </w:p>
          <w:p>
            <w:pPr>
              <w:adjustRightInd w:val="0"/>
              <w:jc w:val="center"/>
              <w:rPr>
                <w:rFonts w:ascii="Times New Roman" w:hAnsi="Times New Roman"/>
                <w:b/>
                <w:bCs/>
                <w:color w:val="auto"/>
                <w:sz w:val="24"/>
                <w:szCs w:val="24"/>
              </w:rPr>
            </w:pPr>
            <w:r>
              <w:rPr>
                <w:rFonts w:ascii="Times New Roman" w:hAnsi="Times New Roman"/>
                <w:b/>
                <w:bCs/>
                <w:color w:val="auto"/>
                <w:sz w:val="24"/>
                <w:szCs w:val="24"/>
              </w:rPr>
              <w:t>施</w:t>
            </w:r>
          </w:p>
        </w:tc>
        <w:tc>
          <w:tcPr>
            <w:tcW w:w="8346" w:type="dxa"/>
          </w:tcPr>
          <w:p>
            <w:pPr>
              <w:adjustRightInd w:val="0"/>
              <w:spacing w:line="360" w:lineRule="auto"/>
              <w:ind w:firstLine="480" w:firstLineChars="200"/>
              <w:rPr>
                <w:rFonts w:ascii="Times New Roman" w:hAnsi="Times New Roman"/>
                <w:color w:val="auto"/>
                <w:kern w:val="0"/>
                <w:sz w:val="24"/>
                <w:szCs w:val="20"/>
              </w:rPr>
            </w:pPr>
            <w:r>
              <w:rPr>
                <w:rFonts w:ascii="Times New Roman" w:hAnsi="Times New Roman"/>
                <w:color w:val="auto"/>
                <w:kern w:val="0"/>
                <w:sz w:val="24"/>
                <w:szCs w:val="20"/>
              </w:rPr>
              <w:t>拟建项目为技改工程，</w:t>
            </w:r>
            <w:r>
              <w:rPr>
                <w:rFonts w:ascii="Times New Roman" w:hAnsi="Times New Roman"/>
                <w:color w:val="auto"/>
                <w:sz w:val="24"/>
                <w:szCs w:val="24"/>
              </w:rPr>
              <w:t>项目在现有</w:t>
            </w:r>
            <w:r>
              <w:rPr>
                <w:rFonts w:hint="eastAsia" w:ascii="Times New Roman" w:hAnsi="Times New Roman"/>
                <w:color w:val="auto"/>
                <w:sz w:val="24"/>
                <w:szCs w:val="24"/>
              </w:rPr>
              <w:t>厂区</w:t>
            </w:r>
            <w:r>
              <w:rPr>
                <w:rFonts w:ascii="Times New Roman" w:hAnsi="Times New Roman"/>
                <w:color w:val="auto"/>
                <w:sz w:val="24"/>
                <w:szCs w:val="24"/>
              </w:rPr>
              <w:t>内预留空地上进行建设，不新增用地，</w:t>
            </w:r>
            <w:r>
              <w:rPr>
                <w:rFonts w:ascii="Times New Roman" w:hAnsi="Times New Roman"/>
                <w:color w:val="auto"/>
                <w:kern w:val="0"/>
                <w:sz w:val="24"/>
                <w:szCs w:val="20"/>
              </w:rPr>
              <w:t>施工内容为建设一套BOG提氦装置及其辅助配套设施，施工期环境影响主要包括施工扬尘、各种机械、车辆排放的废气和噪声影响、施工废水、生活污水影响和建筑垃圾、生活垃圾堆放影响，以上影响随施工期的结束而消失。</w:t>
            </w:r>
          </w:p>
          <w:p>
            <w:pPr>
              <w:adjustRightInd w:val="0"/>
              <w:spacing w:line="360" w:lineRule="auto"/>
              <w:ind w:firstLine="482" w:firstLineChars="200"/>
              <w:rPr>
                <w:rFonts w:ascii="Times New Roman" w:hAnsi="Times New Roman"/>
                <w:b/>
                <w:color w:val="auto"/>
                <w:kern w:val="0"/>
                <w:sz w:val="24"/>
                <w:szCs w:val="20"/>
              </w:rPr>
            </w:pPr>
            <w:r>
              <w:rPr>
                <w:rFonts w:ascii="Times New Roman" w:hAnsi="Times New Roman"/>
                <w:b/>
                <w:color w:val="auto"/>
                <w:kern w:val="0"/>
                <w:sz w:val="24"/>
                <w:szCs w:val="20"/>
              </w:rPr>
              <w:t>1、大气污染防治措施</w:t>
            </w:r>
          </w:p>
          <w:p>
            <w:pPr>
              <w:adjustRightInd w:val="0"/>
              <w:spacing w:line="343" w:lineRule="auto"/>
              <w:ind w:firstLine="480" w:firstLineChars="200"/>
              <w:rPr>
                <w:rFonts w:ascii="Times New Roman" w:hAnsi="Times New Roman"/>
                <w:bCs/>
                <w:color w:val="auto"/>
                <w:kern w:val="0"/>
                <w:sz w:val="24"/>
                <w:szCs w:val="20"/>
              </w:rPr>
            </w:pPr>
            <w:r>
              <w:rPr>
                <w:rFonts w:ascii="Times New Roman" w:hAnsi="Times New Roman"/>
                <w:bCs/>
                <w:color w:val="auto"/>
                <w:kern w:val="0"/>
                <w:sz w:val="24"/>
                <w:szCs w:val="20"/>
              </w:rPr>
              <w:t>项目建设期废气主要为施工扬尘和机械、运输车辆废气。</w:t>
            </w:r>
          </w:p>
          <w:p>
            <w:pPr>
              <w:adjustRightInd w:val="0"/>
              <w:spacing w:line="360" w:lineRule="auto"/>
              <w:ind w:firstLine="480" w:firstLineChars="200"/>
              <w:rPr>
                <w:rFonts w:ascii="Times New Roman" w:hAnsi="Times New Roman"/>
                <w:color w:val="auto"/>
                <w:kern w:val="0"/>
                <w:sz w:val="24"/>
                <w:szCs w:val="20"/>
              </w:rPr>
            </w:pPr>
            <w:r>
              <w:rPr>
                <w:rFonts w:ascii="Times New Roman" w:hAnsi="Times New Roman"/>
                <w:color w:val="auto"/>
                <w:kern w:val="0"/>
                <w:sz w:val="24"/>
                <w:szCs w:val="20"/>
              </w:rPr>
              <w:t>（1）施工扬尘</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项目施工期严格按照《榆林市扬尘污染防治条例》（榆林市人民代表大会常务委员会公告〔四届〕第十三号）中相关要求，严格管控施工扬尘，避免施工期扬尘对区域环境空气质量产生影响，制定如下污染防治措施：</w:t>
            </w:r>
          </w:p>
          <w:p>
            <w:pPr>
              <w:spacing w:line="360" w:lineRule="auto"/>
              <w:ind w:firstLine="480" w:firstLineChars="200"/>
              <w:jc w:val="both"/>
              <w:rPr>
                <w:rFonts w:ascii="Times New Roman" w:hAnsi="Times New Roman"/>
                <w:color w:val="auto"/>
                <w:sz w:val="24"/>
                <w:szCs w:val="24"/>
              </w:rPr>
            </w:pPr>
            <w:r>
              <w:rPr>
                <w:rFonts w:hint="eastAsia" w:ascii="宋体" w:hAnsi="宋体" w:cs="宋体"/>
                <w:color w:val="auto"/>
                <w:sz w:val="24"/>
                <w:szCs w:val="24"/>
              </w:rPr>
              <w:t>①</w:t>
            </w:r>
            <w:r>
              <w:rPr>
                <w:rFonts w:ascii="Times New Roman" w:hAnsi="Times New Roman"/>
                <w:color w:val="auto"/>
                <w:sz w:val="24"/>
                <w:szCs w:val="24"/>
              </w:rPr>
              <w:t>施工区主要道路及材料加工区地面应当进行硬化处理，并采取洒水、喷淋、冲洗地面等防尘措施；施工工地出入口应当设置车辆清洗设施及配套的排水、泥浆沉淀设施，车辆冲洗干净后方可驶出；</w:t>
            </w:r>
          </w:p>
          <w:p>
            <w:pPr>
              <w:spacing w:line="360" w:lineRule="auto"/>
              <w:ind w:firstLine="480" w:firstLineChars="200"/>
              <w:jc w:val="both"/>
              <w:rPr>
                <w:rFonts w:ascii="Times New Roman" w:hAnsi="Times New Roman"/>
                <w:color w:val="auto"/>
                <w:sz w:val="24"/>
                <w:szCs w:val="24"/>
              </w:rPr>
            </w:pPr>
            <w:r>
              <w:rPr>
                <w:rFonts w:hint="eastAsia" w:ascii="宋体" w:hAnsi="宋体" w:cs="宋体"/>
                <w:color w:val="auto"/>
                <w:sz w:val="24"/>
                <w:szCs w:val="24"/>
              </w:rPr>
              <w:t>②</w:t>
            </w:r>
            <w:r>
              <w:rPr>
                <w:rFonts w:ascii="Times New Roman" w:hAnsi="Times New Roman"/>
                <w:color w:val="auto"/>
                <w:sz w:val="24"/>
                <w:szCs w:val="24"/>
              </w:rPr>
              <w:t>施工工地内堆放水泥、灰土、砂石等易产生扬尘污染物料，应当遮盖或者在库房内存放；装卸物料应当采取密闭或者喷淋等方式防治扬尘污染。</w:t>
            </w:r>
          </w:p>
          <w:p>
            <w:pPr>
              <w:adjustRightInd w:val="0"/>
              <w:spacing w:line="343" w:lineRule="auto"/>
              <w:ind w:firstLine="480" w:firstLineChars="200"/>
              <w:rPr>
                <w:rFonts w:ascii="Times New Roman" w:hAnsi="Times New Roman"/>
                <w:bCs/>
                <w:color w:val="auto"/>
                <w:kern w:val="0"/>
                <w:sz w:val="24"/>
                <w:szCs w:val="20"/>
              </w:rPr>
            </w:pPr>
            <w:r>
              <w:rPr>
                <w:rFonts w:ascii="Times New Roman" w:hAnsi="Times New Roman"/>
                <w:color w:val="auto"/>
                <w:sz w:val="24"/>
                <w:szCs w:val="20"/>
              </w:rPr>
              <w:t>（</w:t>
            </w:r>
            <w:r>
              <w:rPr>
                <w:rFonts w:ascii="Times New Roman" w:hAnsi="Times New Roman"/>
                <w:bCs/>
                <w:color w:val="auto"/>
                <w:kern w:val="0"/>
                <w:sz w:val="24"/>
                <w:szCs w:val="20"/>
              </w:rPr>
              <w:t>2）机械、运输车辆废气</w:t>
            </w:r>
          </w:p>
          <w:p>
            <w:pPr>
              <w:adjustRightInd w:val="0"/>
              <w:spacing w:line="360" w:lineRule="auto"/>
              <w:ind w:firstLine="480" w:firstLineChars="200"/>
              <w:rPr>
                <w:rFonts w:ascii="Times New Roman" w:hAnsi="Times New Roman"/>
                <w:color w:val="auto"/>
                <w:sz w:val="24"/>
                <w:szCs w:val="20"/>
              </w:rPr>
            </w:pPr>
            <w:r>
              <w:rPr>
                <w:rFonts w:ascii="Times New Roman" w:hAnsi="Times New Roman"/>
                <w:color w:val="auto"/>
                <w:sz w:val="24"/>
                <w:szCs w:val="20"/>
              </w:rPr>
              <w:t>施工期的各类燃油动力机械的运输作业为间断性作业，使用数量不多，其排放的CO、碳氢化合物和NOx等废气仅对本项目区域大气环境质量产生暂时性、间歇性的不利影响，施工结束后，环境空气影响会随即消失。通过加强施工机械的使用管理和施工机械的维修和保养，提高机械使用效率，减少废气排放，以减轻其对环境的影响。</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施工单位在采取上述措施后，可减少施工期对环境空气的影响。</w:t>
            </w:r>
          </w:p>
          <w:p>
            <w:pPr>
              <w:adjustRightInd w:val="0"/>
              <w:spacing w:line="360" w:lineRule="auto"/>
              <w:ind w:firstLine="482" w:firstLineChars="200"/>
              <w:rPr>
                <w:rFonts w:ascii="Times New Roman" w:hAnsi="Times New Roman"/>
                <w:b/>
                <w:color w:val="auto"/>
                <w:sz w:val="24"/>
                <w:szCs w:val="20"/>
              </w:rPr>
            </w:pPr>
            <w:r>
              <w:rPr>
                <w:rFonts w:ascii="Times New Roman" w:hAnsi="Times New Roman"/>
                <w:b/>
                <w:color w:val="auto"/>
                <w:sz w:val="24"/>
                <w:szCs w:val="20"/>
              </w:rPr>
              <w:t>2、废水</w:t>
            </w:r>
            <w:r>
              <w:rPr>
                <w:rFonts w:ascii="Times New Roman" w:hAnsi="Times New Roman"/>
                <w:b/>
                <w:color w:val="auto"/>
                <w:kern w:val="0"/>
                <w:sz w:val="24"/>
                <w:szCs w:val="20"/>
              </w:rPr>
              <w:t>污染防治措施</w:t>
            </w:r>
          </w:p>
          <w:p>
            <w:pPr>
              <w:adjustRightInd w:val="0"/>
              <w:spacing w:line="360" w:lineRule="auto"/>
              <w:ind w:firstLine="480" w:firstLineChars="200"/>
              <w:rPr>
                <w:rFonts w:ascii="Times New Roman" w:hAnsi="Times New Roman"/>
                <w:color w:val="auto"/>
                <w:kern w:val="0"/>
                <w:sz w:val="24"/>
                <w:szCs w:val="20"/>
              </w:rPr>
            </w:pPr>
            <w:r>
              <w:rPr>
                <w:rFonts w:ascii="Times New Roman" w:hAnsi="Times New Roman"/>
                <w:color w:val="auto"/>
                <w:kern w:val="0"/>
                <w:sz w:val="24"/>
                <w:szCs w:val="20"/>
              </w:rPr>
              <w:t>施工期产生的废水主要包括施工废水和生活污水。施工废水主要为冲洗施工过程中产生的废水，除含有少量泥沙外，基本没有其他污染物，经沉砂池沉淀处理后回收利用，不外排。生活污水中的主要污染物为COD、SS、氨氮等，生活污水</w:t>
            </w:r>
            <w:r>
              <w:rPr>
                <w:rFonts w:hint="eastAsia" w:ascii="Times New Roman" w:hAnsi="Times New Roman"/>
                <w:color w:val="auto"/>
                <w:kern w:val="0"/>
                <w:sz w:val="24"/>
                <w:szCs w:val="20"/>
              </w:rPr>
              <w:t>进入现有厂区处理设施处理</w:t>
            </w:r>
            <w:r>
              <w:rPr>
                <w:rFonts w:ascii="Times New Roman" w:hAnsi="Times New Roman"/>
                <w:color w:val="auto"/>
                <w:kern w:val="0"/>
                <w:sz w:val="24"/>
                <w:szCs w:val="20"/>
              </w:rPr>
              <w:t>。</w:t>
            </w:r>
          </w:p>
          <w:p>
            <w:pPr>
              <w:adjustRightInd w:val="0"/>
              <w:spacing w:line="360" w:lineRule="auto"/>
              <w:ind w:firstLine="482" w:firstLineChars="200"/>
              <w:rPr>
                <w:rFonts w:ascii="Times New Roman" w:hAnsi="Times New Roman"/>
                <w:bCs/>
                <w:color w:val="auto"/>
                <w:kern w:val="0"/>
                <w:sz w:val="24"/>
                <w:szCs w:val="20"/>
              </w:rPr>
            </w:pPr>
            <w:bookmarkStart w:id="6" w:name="_Toc188065638"/>
            <w:bookmarkStart w:id="7" w:name="_Toc188068986"/>
            <w:bookmarkStart w:id="8" w:name="_Toc185152743"/>
            <w:bookmarkStart w:id="9" w:name="_Toc188495658"/>
            <w:bookmarkStart w:id="10" w:name="_Toc185153460"/>
            <w:bookmarkStart w:id="11" w:name="_Toc180488490"/>
            <w:bookmarkStart w:id="12" w:name="_Toc188978506"/>
            <w:bookmarkStart w:id="13" w:name="_Toc168902368"/>
            <w:bookmarkStart w:id="14" w:name="_Toc219780284"/>
            <w:bookmarkStart w:id="15" w:name="_Toc188978755"/>
            <w:bookmarkStart w:id="16" w:name="_Toc188084617"/>
            <w:bookmarkStart w:id="17" w:name="_Toc188372742"/>
            <w:bookmarkStart w:id="18" w:name="_Toc192065085"/>
            <w:bookmarkStart w:id="19" w:name="_Toc188981069"/>
            <w:bookmarkStart w:id="20" w:name="_Toc186508455"/>
            <w:bookmarkStart w:id="21" w:name="_Toc192521390"/>
            <w:bookmarkStart w:id="22" w:name="_Toc219780054"/>
            <w:bookmarkStart w:id="23" w:name="_Toc188981698"/>
            <w:bookmarkStart w:id="24" w:name="_Toc185135644"/>
            <w:bookmarkStart w:id="25" w:name="_Toc191696508"/>
            <w:bookmarkStart w:id="26" w:name="_Toc219775364"/>
            <w:bookmarkStart w:id="27" w:name="_Toc252263535"/>
            <w:bookmarkStart w:id="28" w:name="_Toc185061997"/>
            <w:bookmarkStart w:id="29" w:name="_Toc180489583"/>
            <w:bookmarkStart w:id="30" w:name="_Toc185391810"/>
            <w:r>
              <w:rPr>
                <w:rFonts w:ascii="Times New Roman" w:hAnsi="Times New Roman"/>
                <w:b/>
                <w:color w:val="auto"/>
                <w:sz w:val="24"/>
                <w:szCs w:val="20"/>
              </w:rPr>
              <w:t>3、噪声</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Times New Roman" w:hAnsi="Times New Roman"/>
                <w:b/>
                <w:color w:val="auto"/>
                <w:kern w:val="0"/>
                <w:sz w:val="24"/>
                <w:szCs w:val="20"/>
              </w:rPr>
              <w:t>污染防治措施</w:t>
            </w:r>
          </w:p>
          <w:p>
            <w:pPr>
              <w:adjustRightInd w:val="0"/>
              <w:spacing w:line="360" w:lineRule="auto"/>
              <w:ind w:firstLine="480" w:firstLineChars="200"/>
              <w:rPr>
                <w:rFonts w:ascii="Times New Roman" w:hAnsi="Times New Roman"/>
                <w:color w:val="auto"/>
                <w:kern w:val="0"/>
                <w:sz w:val="24"/>
                <w:szCs w:val="20"/>
              </w:rPr>
            </w:pPr>
            <w:r>
              <w:rPr>
                <w:rFonts w:ascii="Times New Roman" w:hAnsi="Times New Roman"/>
                <w:color w:val="auto"/>
                <w:kern w:val="0"/>
                <w:sz w:val="24"/>
                <w:szCs w:val="20"/>
              </w:rPr>
              <w:t>施工期噪声对环境的影响主要表现为交通噪声和施工设备作业噪声。交通噪声有间歇性这一特点，其对施工区域及周边的声环境质量影响较小；由于本项目施工场地位于工业园区范围内，施工工地周边1km范围内不涉及声环境敏感目标，施工噪声对区域声环境影响较小。为进一步减缓本项目施工噪声影响，应合理布局施工场地，在满足施工需要的前提下，选择低噪声先进设备，控制使用强噪声设备，并加强施工机械的维护保养，避免由于设备性能差使机械噪声增大的现象发生。并将噪声级大的施工作业尽量安排在白天进行，并严格执行建筑工程夜间施工临时许可制度。施工噪声对区域声环境质量的不利影响将随施工的结束而消失。</w:t>
            </w:r>
          </w:p>
          <w:p>
            <w:pPr>
              <w:adjustRightInd w:val="0"/>
              <w:spacing w:line="360" w:lineRule="auto"/>
              <w:ind w:firstLine="482" w:firstLineChars="200"/>
              <w:rPr>
                <w:rFonts w:ascii="Times New Roman" w:hAnsi="Times New Roman"/>
                <w:b/>
                <w:color w:val="auto"/>
                <w:sz w:val="24"/>
                <w:szCs w:val="20"/>
              </w:rPr>
            </w:pPr>
            <w:r>
              <w:rPr>
                <w:rFonts w:ascii="Times New Roman" w:hAnsi="Times New Roman"/>
                <w:b/>
                <w:color w:val="auto"/>
                <w:sz w:val="24"/>
                <w:szCs w:val="20"/>
              </w:rPr>
              <w:t>4、固体废物处置</w:t>
            </w:r>
            <w:r>
              <w:rPr>
                <w:rFonts w:ascii="Times New Roman" w:hAnsi="Times New Roman"/>
                <w:b/>
                <w:color w:val="auto"/>
                <w:kern w:val="0"/>
                <w:sz w:val="24"/>
                <w:szCs w:val="20"/>
              </w:rPr>
              <w:t>措施</w:t>
            </w:r>
          </w:p>
          <w:p>
            <w:pPr>
              <w:tabs>
                <w:tab w:val="left" w:pos="425"/>
              </w:tabs>
              <w:adjustRightInd w:val="0"/>
              <w:spacing w:line="360" w:lineRule="auto"/>
              <w:ind w:firstLine="480" w:firstLineChars="200"/>
              <w:jc w:val="both"/>
              <w:rPr>
                <w:rFonts w:ascii="Times New Roman" w:hAnsi="Times New Roman"/>
                <w:color w:val="auto"/>
                <w:sz w:val="24"/>
              </w:rPr>
            </w:pPr>
            <w:r>
              <w:rPr>
                <w:rFonts w:ascii="Times New Roman" w:hAnsi="Times New Roman"/>
                <w:color w:val="auto"/>
                <w:sz w:val="24"/>
              </w:rPr>
              <w:t>施工期间产生的固体废物主要有建筑垃圾和生活垃圾。建筑垃圾一般是废弃安装材料，这部分废弃物在施工过程中应充分回收利用，不能利用依托当地处理系统处理。施工人员产生的生活垃圾分类收集后交由环卫部门统一处置。</w:t>
            </w:r>
          </w:p>
          <w:p>
            <w:pPr>
              <w:tabs>
                <w:tab w:val="left" w:pos="425"/>
              </w:tabs>
              <w:adjustRightInd w:val="0"/>
              <w:spacing w:line="360" w:lineRule="auto"/>
              <w:ind w:firstLine="480" w:firstLineChars="200"/>
              <w:jc w:val="both"/>
              <w:rPr>
                <w:rFonts w:ascii="Times New Roman" w:hAnsi="Times New Roman"/>
                <w:color w:val="auto"/>
                <w:sz w:val="24"/>
              </w:rPr>
            </w:pPr>
            <w:r>
              <w:rPr>
                <w:rFonts w:ascii="Times New Roman" w:hAnsi="Times New Roman"/>
                <w:color w:val="auto"/>
                <w:sz w:val="24"/>
              </w:rPr>
              <w:t>采取以上措施后，施工期固体废物对环境的影响较小。</w:t>
            </w:r>
          </w:p>
          <w:p>
            <w:pPr>
              <w:adjustRightInd w:val="0"/>
              <w:spacing w:line="360" w:lineRule="auto"/>
              <w:ind w:firstLine="482" w:firstLineChars="200"/>
              <w:rPr>
                <w:rFonts w:ascii="Times New Roman" w:hAnsi="Times New Roman"/>
                <w:b/>
                <w:color w:val="auto"/>
                <w:sz w:val="24"/>
                <w:szCs w:val="20"/>
              </w:rPr>
            </w:pPr>
            <w:r>
              <w:rPr>
                <w:rFonts w:ascii="Times New Roman" w:hAnsi="Times New Roman"/>
                <w:b/>
                <w:color w:val="auto"/>
                <w:sz w:val="24"/>
                <w:szCs w:val="20"/>
              </w:rPr>
              <w:t>5、生态环境保护和恢复</w:t>
            </w:r>
            <w:r>
              <w:rPr>
                <w:rFonts w:ascii="Times New Roman" w:hAnsi="Times New Roman"/>
                <w:b/>
                <w:color w:val="auto"/>
                <w:kern w:val="0"/>
                <w:sz w:val="24"/>
                <w:szCs w:val="20"/>
              </w:rPr>
              <w:t>措施</w:t>
            </w:r>
          </w:p>
          <w:p>
            <w:pPr>
              <w:spacing w:line="360" w:lineRule="auto"/>
              <w:ind w:firstLine="480" w:firstLineChars="200"/>
              <w:rPr>
                <w:rFonts w:ascii="Times New Roman" w:hAnsi="Times New Roman"/>
                <w:bCs/>
                <w:color w:val="auto"/>
                <w:spacing w:val="-10"/>
                <w:sz w:val="24"/>
                <w:szCs w:val="24"/>
              </w:rPr>
            </w:pPr>
            <w:r>
              <w:rPr>
                <w:rFonts w:ascii="Times New Roman" w:hAnsi="Times New Roman"/>
                <w:color w:val="auto"/>
                <w:kern w:val="0"/>
                <w:sz w:val="24"/>
                <w:szCs w:val="20"/>
              </w:rPr>
              <w:t>本项目</w:t>
            </w:r>
            <w:r>
              <w:rPr>
                <w:rFonts w:ascii="Times New Roman" w:hAnsi="Times New Roman"/>
                <w:color w:val="auto"/>
                <w:sz w:val="24"/>
                <w:szCs w:val="24"/>
              </w:rPr>
              <w:t>在现有场地内预留空地上进行建设。现有空地本来就为荒地，</w:t>
            </w:r>
            <w:r>
              <w:rPr>
                <w:rFonts w:ascii="Times New Roman" w:hAnsi="Times New Roman"/>
                <w:color w:val="auto"/>
                <w:kern w:val="0"/>
                <w:sz w:val="24"/>
                <w:szCs w:val="20"/>
              </w:rPr>
              <w:t>不存在对植被的破坏，另外项目所在区域生态结构简单，评价范围内无珍稀野生动植物分布，项目施工内容较少，施工对区域生态环境影响较小。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810" w:hRule="atLeast"/>
          <w:jc w:val="center"/>
        </w:trPr>
        <w:tc>
          <w:tcPr>
            <w:tcW w:w="694" w:type="dxa"/>
            <w:tcMar>
              <w:left w:w="28" w:type="dxa"/>
              <w:right w:w="28" w:type="dxa"/>
            </w:tcMar>
            <w:vAlign w:val="center"/>
          </w:tcPr>
          <w:p>
            <w:pPr>
              <w:widowControl w:val="0"/>
              <w:adjustRightInd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运营</w:t>
            </w:r>
          </w:p>
          <w:p>
            <w:pPr>
              <w:widowControl w:val="0"/>
              <w:adjustRightInd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期环</w:t>
            </w:r>
          </w:p>
          <w:p>
            <w:pPr>
              <w:widowControl w:val="0"/>
              <w:adjustRightInd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境影</w:t>
            </w:r>
          </w:p>
          <w:p>
            <w:pPr>
              <w:widowControl w:val="0"/>
              <w:adjustRightInd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响和</w:t>
            </w:r>
          </w:p>
          <w:p>
            <w:pPr>
              <w:widowControl w:val="0"/>
              <w:adjustRightInd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保护</w:t>
            </w:r>
          </w:p>
          <w:p>
            <w:pPr>
              <w:widowControl w:val="0"/>
              <w:adjustRightInd w:val="0"/>
              <w:spacing w:line="360" w:lineRule="auto"/>
              <w:jc w:val="center"/>
              <w:rPr>
                <w:rFonts w:ascii="Times New Roman" w:hAnsi="Times New Roman"/>
                <w:b/>
                <w:bCs/>
                <w:color w:val="auto"/>
                <w:sz w:val="24"/>
                <w:szCs w:val="24"/>
              </w:rPr>
            </w:pPr>
            <w:r>
              <w:rPr>
                <w:rFonts w:ascii="Times New Roman" w:hAnsi="Times New Roman"/>
                <w:b/>
                <w:bCs/>
                <w:color w:val="auto"/>
                <w:sz w:val="24"/>
                <w:szCs w:val="24"/>
              </w:rPr>
              <w:t>措施</w:t>
            </w:r>
          </w:p>
        </w:tc>
        <w:tc>
          <w:tcPr>
            <w:tcW w:w="8346" w:type="dxa"/>
          </w:tcPr>
          <w:p>
            <w:pPr>
              <w:widowControl w:val="0"/>
              <w:numPr>
                <w:ilvl w:val="3"/>
                <w:numId w:val="21"/>
              </w:numPr>
              <w:tabs>
                <w:tab w:val="left" w:pos="735"/>
              </w:tabs>
              <w:spacing w:line="360" w:lineRule="auto"/>
              <w:ind w:left="0" w:firstLine="482" w:firstLineChars="200"/>
              <w:jc w:val="both"/>
              <w:rPr>
                <w:rFonts w:ascii="Times New Roman" w:hAnsi="Times New Roman"/>
                <w:b/>
                <w:bCs/>
                <w:color w:val="auto"/>
                <w:sz w:val="24"/>
                <w:szCs w:val="24"/>
              </w:rPr>
            </w:pPr>
            <w:bookmarkStart w:id="31" w:name="_Hlk77146034"/>
            <w:r>
              <w:rPr>
                <w:rFonts w:ascii="Times New Roman" w:hAnsi="Times New Roman"/>
                <w:b/>
                <w:bCs/>
                <w:color w:val="auto"/>
                <w:sz w:val="24"/>
                <w:szCs w:val="24"/>
              </w:rPr>
              <w:t>废气</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（1）废气污染源</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本项目产生的废气主要为氮气</w:t>
            </w:r>
            <w:r>
              <w:rPr>
                <w:rFonts w:hint="eastAsia" w:ascii="Times New Roman" w:hAnsi="Times New Roman"/>
                <w:color w:val="auto"/>
                <w:sz w:val="24"/>
                <w:szCs w:val="24"/>
              </w:rPr>
              <w:t>、</w:t>
            </w:r>
            <w:r>
              <w:rPr>
                <w:rFonts w:ascii="Times New Roman" w:hAnsi="Times New Roman"/>
                <w:color w:val="auto"/>
                <w:sz w:val="24"/>
                <w:szCs w:val="24"/>
              </w:rPr>
              <w:t>富甲烷解析气</w:t>
            </w:r>
            <w:r>
              <w:rPr>
                <w:rFonts w:hint="eastAsia" w:ascii="Times New Roman" w:hAnsi="Times New Roman"/>
                <w:color w:val="auto"/>
                <w:sz w:val="24"/>
                <w:szCs w:val="24"/>
              </w:rPr>
              <w:t>和微量杂质气体</w:t>
            </w:r>
            <w:r>
              <w:rPr>
                <w:rFonts w:ascii="Times New Roman" w:hAnsi="Times New Roman"/>
                <w:color w:val="auto"/>
                <w:sz w:val="24"/>
                <w:szCs w:val="24"/>
              </w:rPr>
              <w:t>。项目产排污环节、污染物种类、排放方式及污染治理设施见表</w:t>
            </w:r>
            <w:r>
              <w:rPr>
                <w:rFonts w:hint="eastAsia" w:ascii="Times New Roman" w:hAnsi="Times New Roman"/>
                <w:color w:val="auto"/>
                <w:sz w:val="24"/>
                <w:szCs w:val="24"/>
              </w:rPr>
              <w:t>28</w:t>
            </w:r>
            <w:r>
              <w:rPr>
                <w:rFonts w:ascii="Times New Roman" w:hAnsi="Times New Roman"/>
                <w:color w:val="auto"/>
                <w:sz w:val="24"/>
                <w:szCs w:val="24"/>
              </w:rPr>
              <w:t>：</w:t>
            </w:r>
          </w:p>
          <w:p>
            <w:pPr>
              <w:widowControl w:val="0"/>
              <w:numPr>
                <w:ilvl w:val="0"/>
                <w:numId w:val="13"/>
              </w:numPr>
              <w:jc w:val="center"/>
              <w:rPr>
                <w:rFonts w:ascii="Times New Roman" w:hAnsi="Times New Roman"/>
                <w:b/>
                <w:bCs/>
                <w:snapToGrid w:val="0"/>
                <w:color w:val="auto"/>
                <w:kern w:val="0"/>
                <w:sz w:val="24"/>
                <w:szCs w:val="24"/>
              </w:rPr>
            </w:pPr>
            <w:r>
              <w:rPr>
                <w:rFonts w:ascii="Times New Roman" w:hAnsi="Times New Roman"/>
                <w:b/>
                <w:bCs/>
                <w:snapToGrid w:val="0"/>
                <w:color w:val="auto"/>
                <w:kern w:val="0"/>
                <w:sz w:val="24"/>
                <w:szCs w:val="24"/>
              </w:rPr>
              <w:t>项目废气产排情况及污染治理设施一览表</w:t>
            </w:r>
          </w:p>
          <w:tbl>
            <w:tblPr>
              <w:tblStyle w:val="90"/>
              <w:tblW w:w="494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5"/>
              <w:gridCol w:w="1600"/>
              <w:gridCol w:w="1707"/>
              <w:gridCol w:w="1196"/>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26" w:type="pct"/>
                  <w:vMerge w:val="restart"/>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主要生产单元</w:t>
                  </w:r>
                </w:p>
              </w:tc>
              <w:tc>
                <w:tcPr>
                  <w:tcW w:w="978" w:type="pct"/>
                  <w:vMerge w:val="restart"/>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生产设施</w:t>
                  </w:r>
                </w:p>
              </w:tc>
              <w:tc>
                <w:tcPr>
                  <w:tcW w:w="1043" w:type="pct"/>
                  <w:vMerge w:val="restart"/>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污染物</w:t>
                  </w:r>
                  <w:r>
                    <w:rPr>
                      <w:rFonts w:hint="eastAsia" w:ascii="Times New Roman" w:hAnsi="Times New Roman"/>
                      <w:color w:val="auto"/>
                      <w:szCs w:val="21"/>
                    </w:rPr>
                    <w:t>组分</w:t>
                  </w:r>
                </w:p>
              </w:tc>
              <w:tc>
                <w:tcPr>
                  <w:tcW w:w="731" w:type="pct"/>
                  <w:vMerge w:val="restart"/>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排放形式</w:t>
                  </w:r>
                </w:p>
              </w:tc>
              <w:tc>
                <w:tcPr>
                  <w:tcW w:w="1320" w:type="pct"/>
                  <w:vMerge w:val="restart"/>
                  <w:vAlign w:val="center"/>
                </w:tcPr>
                <w:p>
                  <w:pPr>
                    <w:adjustRightInd w:val="0"/>
                    <w:snapToGrid w:val="0"/>
                    <w:spacing w:line="360" w:lineRule="exact"/>
                    <w:jc w:val="center"/>
                    <w:rPr>
                      <w:rFonts w:ascii="Times New Roman" w:hAnsi="Times New Roman"/>
                      <w:color w:val="auto"/>
                      <w:szCs w:val="21"/>
                    </w:rPr>
                  </w:pPr>
                  <w:r>
                    <w:rPr>
                      <w:rFonts w:ascii="Times New Roman" w:hAnsi="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vMerge w:val="continue"/>
                  <w:vAlign w:val="center"/>
                </w:tcPr>
                <w:p>
                  <w:pPr>
                    <w:adjustRightInd w:val="0"/>
                    <w:snapToGrid w:val="0"/>
                    <w:jc w:val="center"/>
                    <w:rPr>
                      <w:rFonts w:ascii="Times New Roman" w:hAnsi="Times New Roman"/>
                      <w:color w:val="auto"/>
                      <w:szCs w:val="21"/>
                    </w:rPr>
                  </w:pPr>
                </w:p>
              </w:tc>
              <w:tc>
                <w:tcPr>
                  <w:tcW w:w="978" w:type="pct"/>
                  <w:vMerge w:val="continue"/>
                  <w:vAlign w:val="center"/>
                </w:tcPr>
                <w:p>
                  <w:pPr>
                    <w:adjustRightInd w:val="0"/>
                    <w:snapToGrid w:val="0"/>
                    <w:jc w:val="center"/>
                    <w:rPr>
                      <w:rFonts w:ascii="Times New Roman" w:hAnsi="Times New Roman"/>
                      <w:color w:val="auto"/>
                      <w:szCs w:val="21"/>
                    </w:rPr>
                  </w:pPr>
                </w:p>
              </w:tc>
              <w:tc>
                <w:tcPr>
                  <w:tcW w:w="1043" w:type="pct"/>
                  <w:vMerge w:val="continue"/>
                  <w:vAlign w:val="center"/>
                </w:tcPr>
                <w:p>
                  <w:pPr>
                    <w:adjustRightInd w:val="0"/>
                    <w:snapToGrid w:val="0"/>
                    <w:jc w:val="center"/>
                    <w:rPr>
                      <w:rFonts w:ascii="Times New Roman" w:hAnsi="Times New Roman"/>
                      <w:color w:val="auto"/>
                      <w:szCs w:val="21"/>
                    </w:rPr>
                  </w:pPr>
                </w:p>
              </w:tc>
              <w:tc>
                <w:tcPr>
                  <w:tcW w:w="731" w:type="pct"/>
                  <w:vMerge w:val="continue"/>
                  <w:vAlign w:val="center"/>
                </w:tcPr>
                <w:p>
                  <w:pPr>
                    <w:adjustRightInd w:val="0"/>
                    <w:snapToGrid w:val="0"/>
                    <w:jc w:val="center"/>
                    <w:rPr>
                      <w:rFonts w:ascii="Times New Roman" w:hAnsi="Times New Roman"/>
                      <w:color w:val="auto"/>
                      <w:szCs w:val="21"/>
                    </w:rPr>
                  </w:pPr>
                </w:p>
              </w:tc>
              <w:tc>
                <w:tcPr>
                  <w:tcW w:w="1320" w:type="pct"/>
                  <w:vMerge w:val="continue"/>
                  <w:vAlign w:val="center"/>
                </w:tcPr>
                <w:p>
                  <w:pPr>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vMerge w:val="restart"/>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粗氦提取</w:t>
                  </w:r>
                  <w:r>
                    <w:rPr>
                      <w:rFonts w:ascii="Times New Roman" w:hAnsi="Times New Roman"/>
                      <w:color w:val="auto"/>
                      <w:szCs w:val="21"/>
                    </w:rPr>
                    <w:t>单元</w:t>
                  </w:r>
                </w:p>
              </w:tc>
              <w:tc>
                <w:tcPr>
                  <w:tcW w:w="978" w:type="pct"/>
                  <w:vMerge w:val="restart"/>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变压吸附装置</w:t>
                  </w:r>
                </w:p>
              </w:tc>
              <w:tc>
                <w:tcPr>
                  <w:tcW w:w="104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富甲烷解析气</w:t>
                  </w:r>
                </w:p>
              </w:tc>
              <w:tc>
                <w:tcPr>
                  <w:tcW w:w="731" w:type="pct"/>
                  <w:vAlign w:val="center"/>
                </w:tcPr>
                <w:p>
                  <w:pPr>
                    <w:adjustRightInd w:val="0"/>
                    <w:snapToGrid w:val="0"/>
                    <w:jc w:val="center"/>
                    <w:rPr>
                      <w:rFonts w:ascii="Times New Roman" w:hAnsi="Times New Roman"/>
                      <w:color w:val="auto"/>
                      <w:szCs w:val="21"/>
                    </w:rPr>
                  </w:pPr>
                  <w:r>
                    <w:rPr>
                      <w:rFonts w:hint="eastAsia" w:ascii="Times New Roman" w:hAnsi="Times New Roman"/>
                      <w:color w:val="auto"/>
                      <w:szCs w:val="21"/>
                    </w:rPr>
                    <w:t>/</w:t>
                  </w:r>
                </w:p>
              </w:tc>
              <w:tc>
                <w:tcPr>
                  <w:tcW w:w="1320" w:type="pct"/>
                  <w:vAlign w:val="center"/>
                </w:tcPr>
                <w:p>
                  <w:pPr>
                    <w:adjustRightInd w:val="0"/>
                    <w:snapToGrid w:val="0"/>
                    <w:jc w:val="center"/>
                    <w:rPr>
                      <w:rFonts w:hint="eastAsia" w:ascii="Times New Roman" w:hAnsi="Times New Roman" w:eastAsia="宋体"/>
                      <w:color w:val="auto"/>
                      <w:szCs w:val="21"/>
                      <w:lang w:val="en-US" w:eastAsia="zh-CN"/>
                    </w:rPr>
                  </w:pPr>
                  <w:r>
                    <w:rPr>
                      <w:rFonts w:hint="eastAsia" w:ascii="Times New Roman" w:hAnsi="Times New Roman"/>
                      <w:color w:val="auto"/>
                      <w:szCs w:val="21"/>
                    </w:rPr>
                    <w:t>排入厂区现有燃料气</w:t>
                  </w:r>
                  <w:r>
                    <w:rPr>
                      <w:rFonts w:hint="eastAsia" w:ascii="Times New Roman" w:hAnsi="Times New Roman"/>
                      <w:color w:val="auto"/>
                      <w:szCs w:val="21"/>
                      <w:lang w:eastAsia="zh-CN"/>
                    </w:rPr>
                    <w:t>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vMerge w:val="continue"/>
                  <w:vAlign w:val="center"/>
                </w:tcPr>
                <w:p>
                  <w:pPr>
                    <w:adjustRightInd w:val="0"/>
                    <w:snapToGrid w:val="0"/>
                    <w:jc w:val="center"/>
                    <w:rPr>
                      <w:rFonts w:ascii="Times New Roman" w:hAnsi="Times New Roman"/>
                      <w:color w:val="auto"/>
                      <w:szCs w:val="21"/>
                    </w:rPr>
                  </w:pPr>
                </w:p>
              </w:tc>
              <w:tc>
                <w:tcPr>
                  <w:tcW w:w="978" w:type="pct"/>
                  <w:vMerge w:val="continue"/>
                  <w:vAlign w:val="center"/>
                </w:tcPr>
                <w:p>
                  <w:pPr>
                    <w:adjustRightInd w:val="0"/>
                    <w:snapToGrid w:val="0"/>
                    <w:jc w:val="center"/>
                    <w:rPr>
                      <w:rFonts w:ascii="Times New Roman" w:hAnsi="Times New Roman"/>
                      <w:color w:val="auto"/>
                      <w:szCs w:val="21"/>
                    </w:rPr>
                  </w:pPr>
                </w:p>
              </w:tc>
              <w:tc>
                <w:tcPr>
                  <w:tcW w:w="1043"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氮气</w:t>
                  </w:r>
                </w:p>
              </w:tc>
              <w:tc>
                <w:tcPr>
                  <w:tcW w:w="731" w:type="pc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有组织</w:t>
                  </w:r>
                </w:p>
              </w:tc>
              <w:tc>
                <w:tcPr>
                  <w:tcW w:w="1320" w:type="pct"/>
                  <w:shd w:val="clear" w:color="auto" w:fill="auto"/>
                  <w:vAlign w:val="center"/>
                </w:tcPr>
                <w:p>
                  <w:pPr>
                    <w:adjustRightInd w:val="0"/>
                    <w:snapToGrid w:val="0"/>
                    <w:jc w:val="center"/>
                    <w:rPr>
                      <w:rFonts w:hint="eastAsia" w:ascii="Times New Roman" w:hAnsi="Times New Roman" w:eastAsia="宋体"/>
                      <w:color w:val="auto"/>
                      <w:szCs w:val="21"/>
                      <w:highlight w:val="yellow"/>
                      <w:lang w:eastAsia="zh-CN"/>
                    </w:rPr>
                  </w:pPr>
                  <w:r>
                    <w:rPr>
                      <w:rFonts w:hint="eastAsia" w:ascii="Times New Roman" w:hAnsi="Times New Roman"/>
                      <w:color w:val="auto"/>
                      <w:szCs w:val="21"/>
                      <w:highlight w:val="none"/>
                    </w:rPr>
                    <w:t>排入</w:t>
                  </w:r>
                  <w:r>
                    <w:rPr>
                      <w:rFonts w:hint="eastAsia" w:ascii="Times New Roman" w:hAnsi="Times New Roman"/>
                      <w:color w:val="auto"/>
                      <w:szCs w:val="21"/>
                      <w:highlight w:val="none"/>
                      <w:lang w:eastAsia="zh-CN"/>
                    </w:rPr>
                    <w:t>就地</w:t>
                  </w:r>
                  <w:r>
                    <w:rPr>
                      <w:rFonts w:hint="eastAsia" w:ascii="Times New Roman" w:hAnsi="Times New Roman"/>
                      <w:color w:val="auto"/>
                      <w:szCs w:val="21"/>
                      <w:highlight w:val="none"/>
                    </w:rPr>
                    <w:t>高位放空管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氦气精制单元</w:t>
                  </w:r>
                </w:p>
              </w:tc>
              <w:tc>
                <w:tcPr>
                  <w:tcW w:w="978" w:type="pct"/>
                  <w:vMerge w:val="restart"/>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氦气纯化器</w:t>
                  </w:r>
                </w:p>
              </w:tc>
              <w:tc>
                <w:tcPr>
                  <w:tcW w:w="1043" w:type="pct"/>
                  <w:vAlign w:val="center"/>
                </w:tcPr>
                <w:p>
                  <w:pPr>
                    <w:pStyle w:val="1904"/>
                    <w:adjustRightInd w:val="0"/>
                    <w:snapToGrid w:val="0"/>
                    <w:rPr>
                      <w:color w:val="auto"/>
                    </w:rPr>
                  </w:pPr>
                  <w:r>
                    <w:rPr>
                      <w:rFonts w:hint="eastAsia"/>
                      <w:color w:val="auto"/>
                    </w:rPr>
                    <w:t>吹扫</w:t>
                  </w:r>
                  <w:r>
                    <w:rPr>
                      <w:color w:val="auto"/>
                    </w:rPr>
                    <w:t>氮气</w:t>
                  </w:r>
                </w:p>
              </w:tc>
              <w:tc>
                <w:tcPr>
                  <w:tcW w:w="731" w:type="pct"/>
                  <w:vAlign w:val="center"/>
                </w:tcPr>
                <w:p>
                  <w:pPr>
                    <w:pStyle w:val="1904"/>
                    <w:adjustRightInd w:val="0"/>
                    <w:snapToGrid w:val="0"/>
                    <w:rPr>
                      <w:color w:val="auto"/>
                    </w:rPr>
                  </w:pPr>
                  <w:r>
                    <w:rPr>
                      <w:color w:val="auto"/>
                    </w:rPr>
                    <w:t>有组织</w:t>
                  </w:r>
                </w:p>
              </w:tc>
              <w:tc>
                <w:tcPr>
                  <w:tcW w:w="1320" w:type="pct"/>
                  <w:shd w:val="clear" w:color="auto" w:fill="auto"/>
                  <w:vAlign w:val="center"/>
                </w:tcPr>
                <w:p>
                  <w:pPr>
                    <w:adjustRightInd w:val="0"/>
                    <w:snapToGrid w:val="0"/>
                    <w:jc w:val="center"/>
                    <w:rPr>
                      <w:rFonts w:ascii="Times New Roman" w:hAnsi="Times New Roman"/>
                      <w:color w:val="auto"/>
                      <w:szCs w:val="21"/>
                      <w:highlight w:val="yellow"/>
                    </w:rPr>
                  </w:pPr>
                  <w:r>
                    <w:rPr>
                      <w:rFonts w:hint="eastAsia" w:ascii="Times New Roman" w:hAnsi="Times New Roman"/>
                      <w:color w:val="auto"/>
                      <w:szCs w:val="21"/>
                      <w:highlight w:val="none"/>
                    </w:rPr>
                    <w:t>排入</w:t>
                  </w:r>
                  <w:r>
                    <w:rPr>
                      <w:rFonts w:hint="eastAsia" w:ascii="Times New Roman" w:hAnsi="Times New Roman"/>
                      <w:color w:val="auto"/>
                      <w:szCs w:val="21"/>
                      <w:highlight w:val="none"/>
                      <w:lang w:eastAsia="zh-CN"/>
                    </w:rPr>
                    <w:t>就地</w:t>
                  </w:r>
                  <w:r>
                    <w:rPr>
                      <w:rFonts w:hint="eastAsia" w:ascii="Times New Roman" w:hAnsi="Times New Roman"/>
                      <w:color w:val="auto"/>
                      <w:szCs w:val="21"/>
                      <w:highlight w:val="none"/>
                    </w:rPr>
                    <w:t>高位放空管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6" w:type="pct"/>
                  <w:vMerge w:val="continue"/>
                  <w:vAlign w:val="center"/>
                </w:tcPr>
                <w:p>
                  <w:pPr>
                    <w:adjustRightInd w:val="0"/>
                    <w:snapToGrid w:val="0"/>
                    <w:jc w:val="center"/>
                    <w:rPr>
                      <w:rFonts w:ascii="Times New Roman" w:hAnsi="Times New Roman"/>
                      <w:color w:val="auto"/>
                      <w:szCs w:val="21"/>
                    </w:rPr>
                  </w:pPr>
                </w:p>
              </w:tc>
              <w:tc>
                <w:tcPr>
                  <w:tcW w:w="978" w:type="pct"/>
                  <w:vMerge w:val="continue"/>
                  <w:vAlign w:val="center"/>
                </w:tcPr>
                <w:p>
                  <w:pPr>
                    <w:adjustRightInd w:val="0"/>
                    <w:snapToGrid w:val="0"/>
                    <w:jc w:val="center"/>
                    <w:rPr>
                      <w:rFonts w:ascii="Times New Roman" w:hAnsi="Times New Roman"/>
                      <w:color w:val="auto"/>
                      <w:szCs w:val="21"/>
                    </w:rPr>
                  </w:pPr>
                </w:p>
              </w:tc>
              <w:tc>
                <w:tcPr>
                  <w:tcW w:w="1043" w:type="pct"/>
                  <w:vAlign w:val="center"/>
                </w:tcPr>
                <w:p>
                  <w:pPr>
                    <w:pStyle w:val="1904"/>
                    <w:adjustRightInd w:val="0"/>
                    <w:snapToGrid w:val="0"/>
                    <w:rPr>
                      <w:color w:val="auto"/>
                    </w:rPr>
                  </w:pPr>
                  <w:r>
                    <w:rPr>
                      <w:rFonts w:hint="eastAsia"/>
                      <w:color w:val="auto"/>
                    </w:rPr>
                    <w:t>微量杂质气体</w:t>
                  </w:r>
                </w:p>
              </w:tc>
              <w:tc>
                <w:tcPr>
                  <w:tcW w:w="731" w:type="pct"/>
                  <w:vAlign w:val="center"/>
                </w:tcPr>
                <w:p>
                  <w:pPr>
                    <w:pStyle w:val="1904"/>
                    <w:adjustRightInd w:val="0"/>
                    <w:snapToGrid w:val="0"/>
                    <w:rPr>
                      <w:color w:val="auto"/>
                    </w:rPr>
                  </w:pPr>
                  <w:r>
                    <w:rPr>
                      <w:rFonts w:hint="eastAsia"/>
                      <w:color w:val="auto"/>
                    </w:rPr>
                    <w:t>有组织</w:t>
                  </w:r>
                </w:p>
              </w:tc>
              <w:tc>
                <w:tcPr>
                  <w:tcW w:w="1320" w:type="pct"/>
                  <w:shd w:val="clear" w:color="auto" w:fill="auto"/>
                  <w:vAlign w:val="center"/>
                </w:tcPr>
                <w:p>
                  <w:pPr>
                    <w:adjustRightInd w:val="0"/>
                    <w:snapToGrid w:val="0"/>
                    <w:jc w:val="center"/>
                    <w:rPr>
                      <w:rFonts w:ascii="Times New Roman" w:hAnsi="Times New Roman"/>
                      <w:color w:val="auto"/>
                      <w:szCs w:val="21"/>
                      <w:highlight w:val="yellow"/>
                    </w:rPr>
                  </w:pPr>
                  <w:r>
                    <w:rPr>
                      <w:rFonts w:hint="eastAsia" w:ascii="Times New Roman" w:hAnsi="Times New Roman"/>
                      <w:color w:val="auto"/>
                      <w:szCs w:val="21"/>
                      <w:highlight w:val="none"/>
                    </w:rPr>
                    <w:t>排入</w:t>
                  </w:r>
                  <w:r>
                    <w:rPr>
                      <w:rFonts w:hint="eastAsia" w:ascii="Times New Roman" w:hAnsi="Times New Roman"/>
                      <w:color w:val="auto"/>
                      <w:szCs w:val="21"/>
                      <w:highlight w:val="none"/>
                      <w:lang w:eastAsia="zh-CN"/>
                    </w:rPr>
                    <w:t>就地</w:t>
                  </w:r>
                  <w:r>
                    <w:rPr>
                      <w:rFonts w:hint="eastAsia" w:ascii="Times New Roman" w:hAnsi="Times New Roman"/>
                      <w:color w:val="auto"/>
                      <w:szCs w:val="21"/>
                      <w:highlight w:val="none"/>
                    </w:rPr>
                    <w:t>高位放空管</w:t>
                  </w:r>
                </w:p>
              </w:tc>
            </w:tr>
          </w:tbl>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（2）源强核算</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本技改项目大气污染物根据物料衡</w:t>
            </w:r>
            <w:r>
              <w:rPr>
                <w:rFonts w:hint="eastAsia" w:ascii="Times New Roman" w:hAnsi="Times New Roman"/>
                <w:color w:val="auto"/>
                <w:sz w:val="24"/>
                <w:szCs w:val="24"/>
              </w:rPr>
              <w:t>算法</w:t>
            </w:r>
            <w:r>
              <w:rPr>
                <w:rFonts w:ascii="Times New Roman" w:hAnsi="Times New Roman"/>
                <w:color w:val="auto"/>
                <w:sz w:val="24"/>
                <w:szCs w:val="24"/>
              </w:rPr>
              <w:t>计算，</w:t>
            </w:r>
            <w:r>
              <w:rPr>
                <w:rFonts w:hint="eastAsia" w:ascii="Times New Roman" w:hAnsi="Times New Roman"/>
                <w:color w:val="auto"/>
                <w:sz w:val="24"/>
                <w:szCs w:val="24"/>
              </w:rPr>
              <w:t>粗氦提取</w:t>
            </w:r>
            <w:r>
              <w:rPr>
                <w:rFonts w:ascii="Times New Roman" w:hAnsi="Times New Roman"/>
                <w:color w:val="auto"/>
                <w:sz w:val="24"/>
                <w:szCs w:val="24"/>
              </w:rPr>
              <w:t>单元</w:t>
            </w:r>
            <w:r>
              <w:rPr>
                <w:rFonts w:hint="eastAsia" w:ascii="Times New Roman" w:hAnsi="Times New Roman"/>
                <w:color w:val="auto"/>
                <w:sz w:val="24"/>
                <w:szCs w:val="24"/>
              </w:rPr>
              <w:t>析出的</w:t>
            </w:r>
            <w:r>
              <w:rPr>
                <w:rFonts w:ascii="Times New Roman" w:hAnsi="Times New Roman"/>
                <w:color w:val="auto"/>
                <w:sz w:val="24"/>
                <w:szCs w:val="24"/>
              </w:rPr>
              <w:t>富甲烷解析气产生</w:t>
            </w:r>
            <w:r>
              <w:rPr>
                <w:rFonts w:hint="eastAsia" w:ascii="Times New Roman" w:hAnsi="Times New Roman"/>
                <w:color w:val="auto"/>
                <w:sz w:val="24"/>
                <w:szCs w:val="24"/>
              </w:rPr>
              <w:t>量为302.83</w:t>
            </w:r>
            <w:r>
              <w:rPr>
                <w:rFonts w:ascii="Times New Roman" w:hAnsi="Times New Roman"/>
                <w:color w:val="auto"/>
                <w:sz w:val="24"/>
                <w:szCs w:val="24"/>
              </w:rPr>
              <w:t>kg/h（</w:t>
            </w:r>
            <w:r>
              <w:rPr>
                <w:rFonts w:hint="eastAsia" w:ascii="Times New Roman" w:hAnsi="Times New Roman"/>
                <w:color w:val="auto"/>
                <w:sz w:val="24"/>
                <w:szCs w:val="24"/>
              </w:rPr>
              <w:t>2422.6</w:t>
            </w:r>
            <w:r>
              <w:rPr>
                <w:rFonts w:ascii="Times New Roman" w:hAnsi="Times New Roman"/>
                <w:color w:val="auto"/>
                <w:sz w:val="24"/>
                <w:szCs w:val="24"/>
              </w:rPr>
              <w:t>4</w:t>
            </w:r>
            <w:r>
              <w:rPr>
                <w:rFonts w:hint="eastAsia" w:ascii="Times New Roman" w:hAnsi="Times New Roman"/>
                <w:color w:val="auto"/>
                <w:sz w:val="24"/>
                <w:szCs w:val="24"/>
              </w:rPr>
              <w:t>0</w:t>
            </w:r>
            <w:r>
              <w:rPr>
                <w:rFonts w:ascii="Times New Roman" w:hAnsi="Times New Roman"/>
                <w:color w:val="auto"/>
                <w:sz w:val="24"/>
                <w:szCs w:val="24"/>
              </w:rPr>
              <w:t>t/a），排放至</w:t>
            </w:r>
            <w:r>
              <w:rPr>
                <w:rFonts w:hint="eastAsia" w:ascii="Times New Roman" w:hAnsi="Times New Roman"/>
                <w:color w:val="auto"/>
                <w:sz w:val="24"/>
                <w:szCs w:val="24"/>
              </w:rPr>
              <w:t>厂区</w:t>
            </w:r>
            <w:r>
              <w:rPr>
                <w:rFonts w:ascii="Times New Roman" w:hAnsi="Times New Roman"/>
                <w:color w:val="auto"/>
                <w:sz w:val="24"/>
                <w:szCs w:val="24"/>
              </w:rPr>
              <w:t>现有</w:t>
            </w:r>
            <w:r>
              <w:rPr>
                <w:rFonts w:hint="eastAsia" w:ascii="Times New Roman" w:hAnsi="Times New Roman"/>
                <w:color w:val="auto"/>
                <w:sz w:val="24"/>
                <w:szCs w:val="24"/>
              </w:rPr>
              <w:t>燃料气</w:t>
            </w:r>
            <w:r>
              <w:rPr>
                <w:rFonts w:hint="eastAsia" w:ascii="Times New Roman" w:hAnsi="Times New Roman"/>
                <w:color w:val="auto"/>
                <w:sz w:val="24"/>
                <w:szCs w:val="24"/>
                <w:lang w:eastAsia="zh-CN"/>
              </w:rPr>
              <w:t>系统</w:t>
            </w:r>
            <w:r>
              <w:rPr>
                <w:rFonts w:hint="eastAsia" w:ascii="Times New Roman" w:hAnsi="Times New Roman"/>
                <w:color w:val="auto"/>
                <w:sz w:val="24"/>
                <w:szCs w:val="24"/>
              </w:rPr>
              <w:t>充当燃料气使用</w:t>
            </w:r>
            <w:r>
              <w:rPr>
                <w:rFonts w:ascii="Times New Roman" w:hAnsi="Times New Roman"/>
                <w:color w:val="auto"/>
                <w:sz w:val="24"/>
                <w:szCs w:val="24"/>
              </w:rPr>
              <w:t>；</w:t>
            </w:r>
            <w:r>
              <w:rPr>
                <w:rFonts w:hint="eastAsia" w:ascii="Times New Roman" w:hAnsi="Times New Roman"/>
                <w:color w:val="auto"/>
                <w:sz w:val="24"/>
                <w:szCs w:val="24"/>
              </w:rPr>
              <w:t>粗氦提取单元析出的氮气产生量为92.406</w:t>
            </w:r>
            <w:r>
              <w:rPr>
                <w:rFonts w:ascii="Times New Roman" w:hAnsi="Times New Roman"/>
                <w:color w:val="auto"/>
                <w:sz w:val="24"/>
                <w:szCs w:val="24"/>
              </w:rPr>
              <w:t>kg/h（</w:t>
            </w:r>
            <w:r>
              <w:rPr>
                <w:rFonts w:hint="eastAsia" w:ascii="Times New Roman" w:hAnsi="Times New Roman"/>
                <w:color w:val="auto"/>
                <w:sz w:val="24"/>
                <w:szCs w:val="24"/>
              </w:rPr>
              <w:t>739.248</w:t>
            </w:r>
            <w:r>
              <w:rPr>
                <w:rFonts w:ascii="Times New Roman" w:hAnsi="Times New Roman"/>
                <w:color w:val="auto"/>
                <w:sz w:val="24"/>
                <w:szCs w:val="24"/>
              </w:rPr>
              <w:t>t/a），</w:t>
            </w:r>
            <w:r>
              <w:rPr>
                <w:rFonts w:hint="eastAsia" w:ascii="Times New Roman" w:hAnsi="Times New Roman"/>
                <w:color w:val="auto"/>
                <w:sz w:val="24"/>
                <w:szCs w:val="24"/>
              </w:rPr>
              <w:t>排入</w:t>
            </w:r>
            <w:r>
              <w:rPr>
                <w:rFonts w:hint="eastAsia" w:ascii="Times New Roman" w:hAnsi="Times New Roman"/>
                <w:color w:val="auto"/>
                <w:sz w:val="24"/>
                <w:szCs w:val="24"/>
                <w:lang w:eastAsia="zh-CN"/>
              </w:rPr>
              <w:t>就地</w:t>
            </w:r>
            <w:r>
              <w:rPr>
                <w:rFonts w:hint="eastAsia" w:ascii="Times New Roman" w:hAnsi="Times New Roman"/>
                <w:color w:val="auto"/>
                <w:sz w:val="24"/>
                <w:szCs w:val="24"/>
              </w:rPr>
              <w:t>高位放空管直接放空</w:t>
            </w:r>
            <w:r>
              <w:rPr>
                <w:rFonts w:hint="eastAsia" w:ascii="Times New Roman" w:hAnsi="Times New Roman"/>
                <w:color w:val="auto"/>
                <w:sz w:val="24"/>
                <w:szCs w:val="24"/>
                <w:lang w:eastAsia="zh-CN"/>
              </w:rPr>
              <w:t>，就地高位放空管高</w:t>
            </w:r>
            <w:r>
              <w:rPr>
                <w:rFonts w:hint="eastAsia" w:ascii="Times New Roman" w:hAnsi="Times New Roman"/>
                <w:color w:val="auto"/>
                <w:sz w:val="24"/>
                <w:szCs w:val="24"/>
                <w:lang w:val="en-US" w:eastAsia="zh-CN"/>
              </w:rPr>
              <w:t>3.5m</w:t>
            </w:r>
            <w:r>
              <w:rPr>
                <w:rFonts w:hint="eastAsia" w:ascii="Times New Roman" w:hAnsi="Times New Roman"/>
                <w:color w:val="auto"/>
                <w:sz w:val="24"/>
                <w:szCs w:val="24"/>
              </w:rPr>
              <w:t>；</w:t>
            </w:r>
            <w:r>
              <w:rPr>
                <w:rFonts w:ascii="Times New Roman" w:hAnsi="Times New Roman"/>
                <w:color w:val="auto"/>
                <w:sz w:val="24"/>
                <w:szCs w:val="24"/>
              </w:rPr>
              <w:t>氦气精制单元</w:t>
            </w:r>
            <w:r>
              <w:rPr>
                <w:rFonts w:hint="eastAsia" w:ascii="Times New Roman" w:hAnsi="Times New Roman"/>
                <w:color w:val="auto"/>
                <w:sz w:val="24"/>
                <w:szCs w:val="24"/>
              </w:rPr>
              <w:t>纯化器活化再生时利用氮气进行吹扫，吹扫氮气</w:t>
            </w:r>
            <w:r>
              <w:rPr>
                <w:rFonts w:ascii="Times New Roman" w:hAnsi="Times New Roman"/>
                <w:color w:val="auto"/>
                <w:sz w:val="24"/>
                <w:szCs w:val="24"/>
              </w:rPr>
              <w:t>的产生</w:t>
            </w:r>
            <w:r>
              <w:rPr>
                <w:rFonts w:hint="eastAsia" w:ascii="Times New Roman" w:hAnsi="Times New Roman"/>
                <w:color w:val="auto"/>
                <w:sz w:val="24"/>
                <w:szCs w:val="24"/>
              </w:rPr>
              <w:t>量为124.923</w:t>
            </w:r>
            <w:r>
              <w:rPr>
                <w:rFonts w:ascii="Times New Roman" w:hAnsi="Times New Roman"/>
                <w:color w:val="auto"/>
                <w:sz w:val="24"/>
                <w:szCs w:val="24"/>
              </w:rPr>
              <w:t>kg/h（</w:t>
            </w:r>
            <w:r>
              <w:rPr>
                <w:rFonts w:hint="eastAsia" w:ascii="Times New Roman" w:hAnsi="Times New Roman"/>
                <w:color w:val="auto"/>
                <w:sz w:val="24"/>
                <w:szCs w:val="24"/>
              </w:rPr>
              <w:t>999.384</w:t>
            </w:r>
            <w:r>
              <w:rPr>
                <w:rFonts w:ascii="Times New Roman" w:hAnsi="Times New Roman"/>
                <w:color w:val="auto"/>
                <w:sz w:val="24"/>
                <w:szCs w:val="24"/>
              </w:rPr>
              <w:t>t/a）</w:t>
            </w:r>
            <w:r>
              <w:rPr>
                <w:rFonts w:hint="eastAsia" w:ascii="Times New Roman" w:hAnsi="Times New Roman"/>
                <w:color w:val="auto"/>
                <w:sz w:val="24"/>
                <w:szCs w:val="24"/>
              </w:rPr>
              <w:t>，排入</w:t>
            </w:r>
            <w:r>
              <w:rPr>
                <w:rFonts w:hint="eastAsia" w:ascii="Times New Roman" w:hAnsi="Times New Roman"/>
                <w:color w:val="auto"/>
                <w:sz w:val="24"/>
                <w:szCs w:val="24"/>
                <w:lang w:eastAsia="zh-CN"/>
              </w:rPr>
              <w:t>就地</w:t>
            </w:r>
            <w:r>
              <w:rPr>
                <w:rFonts w:hint="eastAsia" w:ascii="Times New Roman" w:hAnsi="Times New Roman"/>
                <w:color w:val="auto"/>
                <w:sz w:val="24"/>
                <w:szCs w:val="24"/>
              </w:rPr>
              <w:t>高位放空管直接放空；氦气精制单元析出的微量杂质气体产生量为0.009</w:t>
            </w:r>
            <w:r>
              <w:rPr>
                <w:rFonts w:ascii="Times New Roman" w:hAnsi="Times New Roman"/>
                <w:color w:val="auto"/>
                <w:sz w:val="24"/>
                <w:szCs w:val="24"/>
              </w:rPr>
              <w:t>kg/h（</w:t>
            </w:r>
            <w:r>
              <w:rPr>
                <w:rFonts w:hint="eastAsia" w:ascii="Times New Roman" w:hAnsi="Times New Roman"/>
                <w:color w:val="auto"/>
                <w:sz w:val="24"/>
                <w:szCs w:val="24"/>
              </w:rPr>
              <w:t>0.072</w:t>
            </w:r>
            <w:r>
              <w:rPr>
                <w:rFonts w:ascii="Times New Roman" w:hAnsi="Times New Roman"/>
                <w:color w:val="auto"/>
                <w:sz w:val="24"/>
                <w:szCs w:val="24"/>
              </w:rPr>
              <w:t>t/a）</w:t>
            </w:r>
            <w:r>
              <w:rPr>
                <w:rFonts w:hint="eastAsia" w:ascii="Times New Roman" w:hAnsi="Times New Roman"/>
                <w:color w:val="auto"/>
                <w:sz w:val="24"/>
                <w:szCs w:val="24"/>
                <w:lang w:eastAsia="zh-CN"/>
              </w:rPr>
              <w:t>，</w:t>
            </w:r>
            <w:r>
              <w:rPr>
                <w:rFonts w:hint="eastAsia" w:ascii="Times New Roman" w:hAnsi="Times New Roman"/>
                <w:color w:val="auto"/>
                <w:sz w:val="24"/>
                <w:szCs w:val="24"/>
              </w:rPr>
              <w:t>排入</w:t>
            </w:r>
            <w:r>
              <w:rPr>
                <w:rFonts w:hint="eastAsia" w:ascii="Times New Roman" w:hAnsi="Times New Roman"/>
                <w:color w:val="auto"/>
                <w:sz w:val="24"/>
                <w:szCs w:val="24"/>
                <w:lang w:eastAsia="zh-CN"/>
              </w:rPr>
              <w:t>就地</w:t>
            </w:r>
            <w:r>
              <w:rPr>
                <w:rFonts w:hint="eastAsia" w:ascii="Times New Roman" w:hAnsi="Times New Roman"/>
                <w:color w:val="auto"/>
                <w:sz w:val="24"/>
                <w:szCs w:val="24"/>
              </w:rPr>
              <w:t>高位放空管直接放空。</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本项目废气源强核算详见表</w:t>
            </w:r>
            <w:r>
              <w:rPr>
                <w:rFonts w:hint="eastAsia" w:ascii="Times New Roman" w:hAnsi="Times New Roman"/>
                <w:color w:val="auto"/>
                <w:sz w:val="24"/>
                <w:szCs w:val="24"/>
              </w:rPr>
              <w:t>29</w:t>
            </w:r>
            <w:r>
              <w:rPr>
                <w:rFonts w:ascii="Times New Roman" w:hAnsi="Times New Roman"/>
                <w:color w:val="auto"/>
                <w:sz w:val="24"/>
                <w:szCs w:val="24"/>
              </w:rPr>
              <w:t>。</w:t>
            </w:r>
          </w:p>
          <w:p>
            <w:pPr>
              <w:widowControl w:val="0"/>
              <w:numPr>
                <w:ilvl w:val="0"/>
                <w:numId w:val="13"/>
              </w:numPr>
              <w:jc w:val="center"/>
              <w:rPr>
                <w:rFonts w:ascii="Times New Roman" w:hAnsi="Times New Roman"/>
                <w:b/>
                <w:snapToGrid w:val="0"/>
                <w:color w:val="auto"/>
                <w:kern w:val="0"/>
                <w:sz w:val="24"/>
                <w:szCs w:val="20"/>
              </w:rPr>
            </w:pPr>
            <w:r>
              <w:rPr>
                <w:rFonts w:ascii="Times New Roman" w:hAnsi="Times New Roman"/>
                <w:b/>
                <w:snapToGrid w:val="0"/>
                <w:color w:val="auto"/>
                <w:kern w:val="0"/>
                <w:sz w:val="24"/>
                <w:szCs w:val="20"/>
              </w:rPr>
              <w:t>废气源强核算情况表</w:t>
            </w:r>
          </w:p>
          <w:tbl>
            <w:tblPr>
              <w:tblStyle w:val="91"/>
              <w:tblW w:w="8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988"/>
              <w:gridCol w:w="1500"/>
              <w:gridCol w:w="1067"/>
              <w:gridCol w:w="1110"/>
              <w:gridCol w:w="101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restart"/>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污染物</w:t>
                  </w:r>
                </w:p>
              </w:tc>
              <w:tc>
                <w:tcPr>
                  <w:tcW w:w="988" w:type="dxa"/>
                  <w:vMerge w:val="restart"/>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污染源</w:t>
                  </w:r>
                </w:p>
              </w:tc>
              <w:tc>
                <w:tcPr>
                  <w:tcW w:w="1500" w:type="dxa"/>
                  <w:vMerge w:val="restart"/>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核算方法</w:t>
                  </w:r>
                </w:p>
              </w:tc>
              <w:tc>
                <w:tcPr>
                  <w:tcW w:w="2177" w:type="dxa"/>
                  <w:gridSpan w:val="2"/>
                  <w:vAlign w:val="center"/>
                </w:tcPr>
                <w:p>
                  <w:pPr>
                    <w:widowControl/>
                    <w:adjustRightInd/>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排放量</w:t>
                  </w:r>
                </w:p>
              </w:tc>
              <w:tc>
                <w:tcPr>
                  <w:tcW w:w="1010" w:type="dxa"/>
                  <w:vMerge w:val="restart"/>
                  <w:vAlign w:val="center"/>
                </w:tcPr>
                <w:p>
                  <w:pPr>
                    <w:widowControl/>
                    <w:adjustRightInd/>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年排放时间h/a</w:t>
                  </w:r>
                </w:p>
              </w:tc>
              <w:tc>
                <w:tcPr>
                  <w:tcW w:w="1320" w:type="dxa"/>
                  <w:vMerge w:val="restart"/>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排放去向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Merge w:val="continue"/>
                  <w:vAlign w:val="center"/>
                </w:tcPr>
                <w:p>
                  <w:pPr>
                    <w:widowControl/>
                    <w:adjustRightInd w:val="0"/>
                    <w:snapToGrid w:val="0"/>
                    <w:spacing w:line="240" w:lineRule="auto"/>
                    <w:ind w:firstLine="0"/>
                    <w:jc w:val="center"/>
                    <w:textAlignment w:val="auto"/>
                    <w:rPr>
                      <w:rFonts w:ascii="Times New Roman" w:hAnsi="Times New Roman"/>
                      <w:color w:val="auto"/>
                      <w:szCs w:val="21"/>
                    </w:rPr>
                  </w:pPr>
                </w:p>
              </w:tc>
              <w:tc>
                <w:tcPr>
                  <w:tcW w:w="988" w:type="dxa"/>
                  <w:vMerge w:val="continue"/>
                  <w:vAlign w:val="center"/>
                </w:tcPr>
                <w:p>
                  <w:pPr>
                    <w:widowControl/>
                    <w:adjustRightInd w:val="0"/>
                    <w:snapToGrid w:val="0"/>
                    <w:spacing w:line="240" w:lineRule="auto"/>
                    <w:ind w:firstLine="0"/>
                    <w:jc w:val="center"/>
                    <w:textAlignment w:val="auto"/>
                    <w:rPr>
                      <w:rFonts w:ascii="Times New Roman" w:hAnsi="Times New Roman"/>
                      <w:color w:val="auto"/>
                      <w:szCs w:val="21"/>
                    </w:rPr>
                  </w:pPr>
                </w:p>
              </w:tc>
              <w:tc>
                <w:tcPr>
                  <w:tcW w:w="1500" w:type="dxa"/>
                  <w:vMerge w:val="continue"/>
                  <w:vAlign w:val="center"/>
                </w:tcPr>
                <w:p>
                  <w:pPr>
                    <w:widowControl/>
                    <w:adjustRightInd w:val="0"/>
                    <w:snapToGrid w:val="0"/>
                    <w:spacing w:line="240" w:lineRule="auto"/>
                    <w:ind w:firstLine="0"/>
                    <w:jc w:val="center"/>
                    <w:textAlignment w:val="auto"/>
                    <w:rPr>
                      <w:rFonts w:ascii="Times New Roman" w:hAnsi="Times New Roman"/>
                      <w:color w:val="auto"/>
                      <w:szCs w:val="21"/>
                    </w:rPr>
                  </w:pPr>
                </w:p>
              </w:tc>
              <w:tc>
                <w:tcPr>
                  <w:tcW w:w="1067"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kg/h</w:t>
                  </w:r>
                </w:p>
              </w:tc>
              <w:tc>
                <w:tcPr>
                  <w:tcW w:w="11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t/a</w:t>
                  </w:r>
                </w:p>
              </w:tc>
              <w:tc>
                <w:tcPr>
                  <w:tcW w:w="1010" w:type="dxa"/>
                  <w:vMerge w:val="continue"/>
                  <w:vAlign w:val="center"/>
                </w:tcPr>
                <w:p>
                  <w:pPr>
                    <w:widowControl/>
                    <w:adjustRightInd w:val="0"/>
                    <w:snapToGrid w:val="0"/>
                    <w:spacing w:line="240" w:lineRule="auto"/>
                    <w:ind w:firstLine="0"/>
                    <w:jc w:val="center"/>
                    <w:textAlignment w:val="auto"/>
                    <w:rPr>
                      <w:rFonts w:ascii="Times New Roman" w:hAnsi="Times New Roman"/>
                      <w:color w:val="auto"/>
                      <w:szCs w:val="21"/>
                    </w:rPr>
                  </w:pPr>
                </w:p>
              </w:tc>
              <w:tc>
                <w:tcPr>
                  <w:tcW w:w="1320" w:type="dxa"/>
                  <w:vMerge w:val="continue"/>
                  <w:vAlign w:val="center"/>
                </w:tcPr>
                <w:p>
                  <w:pPr>
                    <w:widowControl w:val="0"/>
                    <w:adjustRightInd w:val="0"/>
                    <w:snapToGrid w:val="0"/>
                    <w:spacing w:line="460" w:lineRule="exact"/>
                    <w:ind w:firstLine="510"/>
                    <w:jc w:val="center"/>
                    <w:textAlignment w:val="baseline"/>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氮气</w:t>
                  </w:r>
                </w:p>
              </w:tc>
              <w:tc>
                <w:tcPr>
                  <w:tcW w:w="988"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粗氦提取单元</w:t>
                  </w:r>
                </w:p>
              </w:tc>
              <w:tc>
                <w:tcPr>
                  <w:tcW w:w="150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物料衡</w:t>
                  </w:r>
                  <w:r>
                    <w:rPr>
                      <w:rFonts w:hint="eastAsia" w:ascii="Times New Roman" w:hAnsi="Times New Roman"/>
                      <w:color w:val="auto"/>
                      <w:szCs w:val="21"/>
                    </w:rPr>
                    <w:t>算</w:t>
                  </w:r>
                  <w:r>
                    <w:rPr>
                      <w:rFonts w:ascii="Times New Roman" w:hAnsi="Times New Roman"/>
                      <w:color w:val="auto"/>
                      <w:szCs w:val="21"/>
                    </w:rPr>
                    <w:t>法</w:t>
                  </w:r>
                </w:p>
              </w:tc>
              <w:tc>
                <w:tcPr>
                  <w:tcW w:w="1067"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92.406</w:t>
                  </w:r>
                </w:p>
              </w:tc>
              <w:tc>
                <w:tcPr>
                  <w:tcW w:w="11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739.248</w:t>
                  </w:r>
                </w:p>
              </w:tc>
              <w:tc>
                <w:tcPr>
                  <w:tcW w:w="10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8000</w:t>
                  </w:r>
                </w:p>
              </w:tc>
              <w:tc>
                <w:tcPr>
                  <w:tcW w:w="1320" w:type="dxa"/>
                  <w:vAlign w:val="center"/>
                </w:tcPr>
                <w:p>
                  <w:pPr>
                    <w:widowControl w:val="0"/>
                    <w:adjustRightInd w:val="0"/>
                    <w:snapToGrid w:val="0"/>
                    <w:spacing w:line="240" w:lineRule="auto"/>
                    <w:ind w:firstLine="0"/>
                    <w:jc w:val="both"/>
                    <w:textAlignment w:val="baseline"/>
                    <w:rPr>
                      <w:rFonts w:ascii="Times New Roman" w:hAnsi="Times New Roman"/>
                      <w:color w:val="auto"/>
                      <w:szCs w:val="21"/>
                    </w:rPr>
                  </w:pPr>
                  <w:r>
                    <w:rPr>
                      <w:rFonts w:hint="eastAsia" w:ascii="Times New Roman" w:hAnsi="Times New Roman"/>
                      <w:color w:val="auto"/>
                      <w:szCs w:val="21"/>
                      <w:highlight w:val="none"/>
                    </w:rPr>
                    <w:t>排入</w:t>
                  </w:r>
                  <w:r>
                    <w:rPr>
                      <w:rFonts w:hint="eastAsia" w:ascii="Times New Roman" w:hAnsi="Times New Roman"/>
                      <w:color w:val="auto"/>
                      <w:szCs w:val="21"/>
                      <w:highlight w:val="none"/>
                      <w:lang w:eastAsia="zh-CN"/>
                    </w:rPr>
                    <w:t>就地</w:t>
                  </w:r>
                  <w:r>
                    <w:rPr>
                      <w:rFonts w:hint="eastAsia" w:ascii="Times New Roman" w:hAnsi="Times New Roman"/>
                      <w:color w:val="auto"/>
                      <w:szCs w:val="21"/>
                      <w:highlight w:val="none"/>
                    </w:rPr>
                    <w:t>高位放空管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微量杂质气体</w:t>
                  </w:r>
                </w:p>
              </w:tc>
              <w:tc>
                <w:tcPr>
                  <w:tcW w:w="988" w:type="dxa"/>
                  <w:vMerge w:val="restart"/>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氦气精制单元</w:t>
                  </w:r>
                </w:p>
              </w:tc>
              <w:tc>
                <w:tcPr>
                  <w:tcW w:w="150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物料衡</w:t>
                  </w:r>
                  <w:r>
                    <w:rPr>
                      <w:rFonts w:hint="eastAsia" w:ascii="Times New Roman" w:hAnsi="Times New Roman"/>
                      <w:color w:val="auto"/>
                      <w:szCs w:val="21"/>
                    </w:rPr>
                    <w:t>算</w:t>
                  </w:r>
                  <w:r>
                    <w:rPr>
                      <w:rFonts w:ascii="Times New Roman" w:hAnsi="Times New Roman"/>
                      <w:color w:val="auto"/>
                      <w:szCs w:val="21"/>
                    </w:rPr>
                    <w:t>法</w:t>
                  </w:r>
                </w:p>
              </w:tc>
              <w:tc>
                <w:tcPr>
                  <w:tcW w:w="1067"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0.009</w:t>
                  </w:r>
                </w:p>
              </w:tc>
              <w:tc>
                <w:tcPr>
                  <w:tcW w:w="11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0.072</w:t>
                  </w:r>
                </w:p>
              </w:tc>
              <w:tc>
                <w:tcPr>
                  <w:tcW w:w="10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8000</w:t>
                  </w:r>
                </w:p>
              </w:tc>
              <w:tc>
                <w:tcPr>
                  <w:tcW w:w="1320" w:type="dxa"/>
                  <w:vAlign w:val="center"/>
                </w:tcPr>
                <w:p>
                  <w:pPr>
                    <w:widowControl w:val="0"/>
                    <w:adjustRightInd w:val="0"/>
                    <w:snapToGrid w:val="0"/>
                    <w:spacing w:line="240" w:lineRule="auto"/>
                    <w:ind w:firstLine="0"/>
                    <w:jc w:val="both"/>
                    <w:textAlignment w:val="baseline"/>
                    <w:rPr>
                      <w:rFonts w:ascii="Times New Roman" w:hAnsi="Times New Roman"/>
                      <w:color w:val="auto"/>
                      <w:szCs w:val="21"/>
                    </w:rPr>
                  </w:pPr>
                  <w:r>
                    <w:rPr>
                      <w:rFonts w:hint="eastAsia" w:ascii="Times New Roman" w:hAnsi="Times New Roman"/>
                      <w:color w:val="auto"/>
                      <w:szCs w:val="21"/>
                      <w:highlight w:val="none"/>
                    </w:rPr>
                    <w:t>排入</w:t>
                  </w:r>
                  <w:r>
                    <w:rPr>
                      <w:rFonts w:hint="eastAsia" w:ascii="Times New Roman" w:hAnsi="Times New Roman"/>
                      <w:color w:val="auto"/>
                      <w:szCs w:val="21"/>
                      <w:highlight w:val="none"/>
                      <w:lang w:eastAsia="zh-CN"/>
                    </w:rPr>
                    <w:t>就地</w:t>
                  </w:r>
                  <w:r>
                    <w:rPr>
                      <w:rFonts w:hint="eastAsia" w:ascii="Times New Roman" w:hAnsi="Times New Roman"/>
                      <w:color w:val="auto"/>
                      <w:szCs w:val="21"/>
                      <w:highlight w:val="none"/>
                    </w:rPr>
                    <w:t>高位放空管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6"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吹扫氮气</w:t>
                  </w:r>
                </w:p>
              </w:tc>
              <w:tc>
                <w:tcPr>
                  <w:tcW w:w="988" w:type="dxa"/>
                  <w:vMerge w:val="continue"/>
                  <w:vAlign w:val="center"/>
                </w:tcPr>
                <w:p>
                  <w:pPr>
                    <w:widowControl/>
                    <w:adjustRightInd w:val="0"/>
                    <w:snapToGrid w:val="0"/>
                    <w:spacing w:line="240" w:lineRule="auto"/>
                    <w:ind w:firstLine="0"/>
                    <w:jc w:val="center"/>
                    <w:textAlignment w:val="auto"/>
                    <w:rPr>
                      <w:rFonts w:ascii="Times New Roman" w:hAnsi="Times New Roman"/>
                      <w:color w:val="auto"/>
                      <w:szCs w:val="21"/>
                    </w:rPr>
                  </w:pPr>
                </w:p>
              </w:tc>
              <w:tc>
                <w:tcPr>
                  <w:tcW w:w="150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项目设计资料</w:t>
                  </w:r>
                </w:p>
              </w:tc>
              <w:tc>
                <w:tcPr>
                  <w:tcW w:w="1067"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124.923</w:t>
                  </w:r>
                </w:p>
              </w:tc>
              <w:tc>
                <w:tcPr>
                  <w:tcW w:w="11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hint="eastAsia" w:ascii="Times New Roman" w:hAnsi="Times New Roman"/>
                      <w:color w:val="auto"/>
                      <w:szCs w:val="21"/>
                    </w:rPr>
                    <w:t>999.384</w:t>
                  </w:r>
                </w:p>
              </w:tc>
              <w:tc>
                <w:tcPr>
                  <w:tcW w:w="1010" w:type="dxa"/>
                  <w:vAlign w:val="center"/>
                </w:tcPr>
                <w:p>
                  <w:pPr>
                    <w:widowControl/>
                    <w:adjustRightInd w:val="0"/>
                    <w:snapToGrid w:val="0"/>
                    <w:spacing w:line="240" w:lineRule="auto"/>
                    <w:ind w:firstLine="0"/>
                    <w:jc w:val="center"/>
                    <w:textAlignment w:val="auto"/>
                    <w:rPr>
                      <w:rFonts w:ascii="Times New Roman" w:hAnsi="Times New Roman"/>
                      <w:color w:val="auto"/>
                      <w:szCs w:val="21"/>
                    </w:rPr>
                  </w:pPr>
                  <w:r>
                    <w:rPr>
                      <w:rFonts w:ascii="Times New Roman" w:hAnsi="Times New Roman"/>
                      <w:color w:val="auto"/>
                      <w:szCs w:val="21"/>
                    </w:rPr>
                    <w:t>8000</w:t>
                  </w:r>
                </w:p>
              </w:tc>
              <w:tc>
                <w:tcPr>
                  <w:tcW w:w="1320" w:type="dxa"/>
                  <w:vAlign w:val="center"/>
                </w:tcPr>
                <w:p>
                  <w:pPr>
                    <w:widowControl w:val="0"/>
                    <w:adjustRightInd w:val="0"/>
                    <w:snapToGrid w:val="0"/>
                    <w:spacing w:line="240" w:lineRule="auto"/>
                    <w:ind w:firstLine="0"/>
                    <w:jc w:val="both"/>
                    <w:textAlignment w:val="baseline"/>
                    <w:rPr>
                      <w:rFonts w:ascii="Times New Roman" w:hAnsi="Times New Roman"/>
                      <w:color w:val="auto"/>
                      <w:szCs w:val="21"/>
                    </w:rPr>
                  </w:pPr>
                  <w:r>
                    <w:rPr>
                      <w:rFonts w:hint="eastAsia" w:ascii="Times New Roman" w:hAnsi="Times New Roman"/>
                      <w:color w:val="auto"/>
                      <w:szCs w:val="21"/>
                      <w:highlight w:val="none"/>
                    </w:rPr>
                    <w:t>排入</w:t>
                  </w:r>
                  <w:r>
                    <w:rPr>
                      <w:rFonts w:hint="eastAsia" w:ascii="Times New Roman" w:hAnsi="Times New Roman"/>
                      <w:color w:val="auto"/>
                      <w:szCs w:val="21"/>
                      <w:highlight w:val="none"/>
                      <w:lang w:eastAsia="zh-CN"/>
                    </w:rPr>
                    <w:t>就地</w:t>
                  </w:r>
                  <w:r>
                    <w:rPr>
                      <w:rFonts w:hint="eastAsia" w:ascii="Times New Roman" w:hAnsi="Times New Roman"/>
                      <w:color w:val="auto"/>
                      <w:szCs w:val="21"/>
                      <w:highlight w:val="none"/>
                    </w:rPr>
                    <w:t>高位放空管</w:t>
                  </w:r>
                </w:p>
              </w:tc>
            </w:tr>
          </w:tbl>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（3）环境影响分析</w:t>
            </w:r>
          </w:p>
          <w:p>
            <w:pPr>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根据上述分析，本技改项目运营期生产废气排放去向合理，且项目所在地区域环境空气质量达标，项目所在地周边无大气环境保护目标，因此，建设项目对环境空气影响较小。</w:t>
            </w:r>
          </w:p>
          <w:p>
            <w:pPr>
              <w:widowControl w:val="0"/>
              <w:numPr>
                <w:ilvl w:val="3"/>
                <w:numId w:val="21"/>
              </w:numPr>
              <w:tabs>
                <w:tab w:val="left" w:pos="735"/>
              </w:tabs>
              <w:spacing w:line="360" w:lineRule="auto"/>
              <w:ind w:left="0" w:firstLine="482" w:firstLineChars="200"/>
              <w:jc w:val="both"/>
              <w:rPr>
                <w:rFonts w:ascii="Times New Roman" w:hAnsi="Times New Roman"/>
                <w:b/>
                <w:bCs/>
                <w:color w:val="auto"/>
                <w:sz w:val="24"/>
                <w:szCs w:val="24"/>
              </w:rPr>
            </w:pPr>
            <w:r>
              <w:rPr>
                <w:rFonts w:ascii="Times New Roman" w:hAnsi="Times New Roman"/>
                <w:b/>
                <w:bCs/>
                <w:color w:val="auto"/>
                <w:sz w:val="24"/>
                <w:szCs w:val="24"/>
              </w:rPr>
              <w:t>废水</w:t>
            </w:r>
          </w:p>
          <w:bookmarkEnd w:id="31"/>
          <w:p>
            <w:pPr>
              <w:widowControl w:val="0"/>
              <w:spacing w:line="360" w:lineRule="auto"/>
              <w:ind w:firstLine="480" w:firstLineChars="200"/>
              <w:jc w:val="both"/>
              <w:rPr>
                <w:rFonts w:ascii="Times New Roman" w:hAnsi="Times New Roman"/>
                <w:bCs/>
                <w:color w:val="auto"/>
                <w:sz w:val="24"/>
                <w:szCs w:val="24"/>
              </w:rPr>
            </w:pPr>
            <w:r>
              <w:rPr>
                <w:rFonts w:hint="eastAsia" w:ascii="Times New Roman" w:hAnsi="Times New Roman"/>
                <w:bCs/>
                <w:color w:val="auto"/>
                <w:sz w:val="24"/>
                <w:szCs w:val="24"/>
              </w:rPr>
              <w:t>（1）</w:t>
            </w:r>
            <w:r>
              <w:rPr>
                <w:rFonts w:ascii="Times New Roman" w:hAnsi="Times New Roman"/>
                <w:bCs/>
                <w:color w:val="auto"/>
                <w:sz w:val="24"/>
                <w:szCs w:val="24"/>
              </w:rPr>
              <w:t>废水污染源</w:t>
            </w:r>
          </w:p>
          <w:p>
            <w:pPr>
              <w:widowControl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本项目</w:t>
            </w:r>
            <w:r>
              <w:rPr>
                <w:rFonts w:hint="eastAsia" w:ascii="Times New Roman" w:hAnsi="Times New Roman"/>
                <w:bCs/>
                <w:color w:val="auto"/>
                <w:sz w:val="24"/>
                <w:szCs w:val="24"/>
              </w:rPr>
              <w:t>人员不新增，不新增生活污水。项目运行过程中提氦装置全过程均为气相物料，仅在催化脱氢单元产生一定量的脱氢冷凝水，生产废水产生量为8.135</w:t>
            </w:r>
            <w:r>
              <w:rPr>
                <w:rFonts w:ascii="Times New Roman" w:hAnsi="Times New Roman"/>
                <w:color w:val="auto"/>
                <w:sz w:val="24"/>
                <w:szCs w:val="24"/>
              </w:rPr>
              <w:t>kg/h（</w:t>
            </w:r>
            <w:r>
              <w:rPr>
                <w:rFonts w:hint="eastAsia" w:ascii="Times New Roman" w:hAnsi="Times New Roman"/>
                <w:color w:val="auto"/>
                <w:sz w:val="24"/>
                <w:szCs w:val="24"/>
              </w:rPr>
              <w:t>65.080</w:t>
            </w:r>
            <w:r>
              <w:rPr>
                <w:rFonts w:ascii="Times New Roman" w:hAnsi="Times New Roman"/>
                <w:color w:val="auto"/>
                <w:sz w:val="24"/>
                <w:szCs w:val="24"/>
              </w:rPr>
              <w:t>t/a）</w:t>
            </w:r>
            <w:r>
              <w:rPr>
                <w:rFonts w:hint="eastAsia" w:ascii="Times New Roman" w:hAnsi="Times New Roman"/>
                <w:color w:val="auto"/>
                <w:sz w:val="24"/>
                <w:szCs w:val="24"/>
              </w:rPr>
              <w:t>。该部分生产废水水质简单，</w:t>
            </w:r>
            <w:r>
              <w:rPr>
                <w:rFonts w:hint="eastAsia" w:ascii="Times New Roman" w:hAnsi="Times New Roman"/>
                <w:color w:val="auto"/>
                <w:sz w:val="24"/>
                <w:szCs w:val="24"/>
                <w:lang w:eastAsia="zh-CN"/>
              </w:rPr>
              <w:t>用水桶盛装后用于厂区绿化或洒扫，不外排</w:t>
            </w:r>
            <w:r>
              <w:rPr>
                <w:rFonts w:hint="eastAsia" w:ascii="Times New Roman" w:hAnsi="Times New Roman"/>
                <w:color w:val="auto"/>
                <w:sz w:val="24"/>
                <w:szCs w:val="24"/>
              </w:rPr>
              <w:t>。</w:t>
            </w:r>
          </w:p>
          <w:p>
            <w:pPr>
              <w:widowControl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highlight w:val="none"/>
              </w:rPr>
              <w:t>（2）</w:t>
            </w:r>
            <w:r>
              <w:rPr>
                <w:rFonts w:ascii="Times New Roman" w:hAnsi="Times New Roman"/>
                <w:bCs/>
                <w:color w:val="auto"/>
                <w:sz w:val="24"/>
                <w:szCs w:val="24"/>
              </w:rPr>
              <w:t>环境影响分析</w:t>
            </w:r>
          </w:p>
          <w:p>
            <w:pPr>
              <w:widowControl w:val="0"/>
              <w:spacing w:line="360" w:lineRule="auto"/>
              <w:ind w:firstLine="480" w:firstLineChars="200"/>
              <w:jc w:val="both"/>
              <w:rPr>
                <w:rFonts w:ascii="Times New Roman" w:hAnsi="Times New Roman"/>
                <w:color w:val="auto"/>
                <w:sz w:val="24"/>
              </w:rPr>
            </w:pPr>
            <w:r>
              <w:rPr>
                <w:rFonts w:ascii="Times New Roman" w:hAnsi="Times New Roman"/>
                <w:bCs/>
                <w:color w:val="auto"/>
                <w:sz w:val="24"/>
                <w:szCs w:val="24"/>
              </w:rPr>
              <w:t>综上所述，本技改项目在保证污水处理措施正常运行的前提下，项目所产生的废水均能够</w:t>
            </w:r>
            <w:r>
              <w:rPr>
                <w:rFonts w:hint="eastAsia" w:ascii="Times New Roman" w:hAnsi="Times New Roman"/>
                <w:bCs/>
                <w:color w:val="auto"/>
                <w:sz w:val="24"/>
                <w:szCs w:val="24"/>
                <w:lang w:eastAsia="zh-CN"/>
              </w:rPr>
              <w:t>合理处置</w:t>
            </w:r>
            <w:r>
              <w:rPr>
                <w:rFonts w:ascii="Times New Roman" w:hAnsi="Times New Roman"/>
                <w:bCs/>
                <w:color w:val="auto"/>
                <w:sz w:val="24"/>
                <w:szCs w:val="24"/>
              </w:rPr>
              <w:t>，因此对项目所在地的水环境影响较小。</w:t>
            </w:r>
          </w:p>
          <w:p>
            <w:pPr>
              <w:widowControl w:val="0"/>
              <w:numPr>
                <w:ilvl w:val="3"/>
                <w:numId w:val="21"/>
              </w:numPr>
              <w:tabs>
                <w:tab w:val="left" w:pos="735"/>
              </w:tabs>
              <w:spacing w:line="360" w:lineRule="auto"/>
              <w:ind w:left="0" w:firstLine="482" w:firstLineChars="200"/>
              <w:jc w:val="both"/>
              <w:rPr>
                <w:rFonts w:ascii="Times New Roman" w:hAnsi="Times New Roman"/>
                <w:b/>
                <w:bCs/>
                <w:color w:val="auto"/>
                <w:sz w:val="24"/>
                <w:szCs w:val="24"/>
                <w:highlight w:val="yellow"/>
              </w:rPr>
            </w:pPr>
            <w:r>
              <w:rPr>
                <w:rFonts w:ascii="Times New Roman" w:hAnsi="Times New Roman"/>
                <w:b/>
                <w:bCs/>
                <w:color w:val="auto"/>
                <w:sz w:val="24"/>
                <w:szCs w:val="24"/>
              </w:rPr>
              <w:t>噪声</w:t>
            </w:r>
          </w:p>
          <w:p>
            <w:pPr>
              <w:widowControl w:val="0"/>
              <w:spacing w:line="360" w:lineRule="auto"/>
              <w:ind w:firstLine="480" w:firstLineChars="200"/>
              <w:jc w:val="both"/>
              <w:rPr>
                <w:rFonts w:ascii="Times New Roman" w:hAnsi="Times New Roman"/>
                <w:bCs/>
                <w:color w:val="auto"/>
                <w:sz w:val="24"/>
                <w:szCs w:val="24"/>
                <w:lang w:bidi="ar"/>
              </w:rPr>
            </w:pPr>
            <w:r>
              <w:rPr>
                <w:rFonts w:ascii="Times New Roman" w:hAnsi="Times New Roman"/>
                <w:bCs/>
                <w:color w:val="auto"/>
                <w:sz w:val="24"/>
                <w:szCs w:val="24"/>
                <w:lang w:bidi="ar"/>
              </w:rPr>
              <w:t>（1）噪声源强分析</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sz w:val="24"/>
              </w:rPr>
              <w:t>本技改项目液化天然气提氦装置建成后主要噪声源为压缩机和泵类等设备运行时产生的噪声，类比项目所在厂区现有工程各设备噪声源强，噪声源声</w:t>
            </w:r>
            <w:r>
              <w:rPr>
                <w:rFonts w:hint="eastAsia" w:ascii="Times New Roman" w:hAnsi="Times New Roman"/>
                <w:color w:val="auto"/>
                <w:sz w:val="24"/>
              </w:rPr>
              <w:t>压</w:t>
            </w:r>
            <w:r>
              <w:rPr>
                <w:rFonts w:ascii="Times New Roman" w:hAnsi="Times New Roman"/>
                <w:color w:val="auto"/>
                <w:sz w:val="24"/>
              </w:rPr>
              <w:t>级在75～95dB（A）之间，</w:t>
            </w:r>
            <w:r>
              <w:rPr>
                <w:rFonts w:hint="eastAsia" w:ascii="Times New Roman" w:hAnsi="Times New Roman"/>
                <w:color w:val="auto"/>
                <w:sz w:val="24"/>
              </w:rPr>
              <w:t>提氦装置区各单元设备源强见表30。</w:t>
            </w:r>
          </w:p>
          <w:p>
            <w:pPr>
              <w:widowControl w:val="0"/>
              <w:numPr>
                <w:ilvl w:val="0"/>
                <w:numId w:val="13"/>
              </w:numPr>
              <w:spacing w:before="171" w:beforeLines="50"/>
              <w:ind w:left="629"/>
              <w:jc w:val="center"/>
              <w:rPr>
                <w:rFonts w:ascii="Times New Roman" w:hAnsi="Times New Roman"/>
                <w:b/>
                <w:bCs/>
                <w:color w:val="auto"/>
                <w:sz w:val="24"/>
                <w:szCs w:val="24"/>
              </w:rPr>
            </w:pPr>
            <w:r>
              <w:rPr>
                <w:rFonts w:hint="eastAsia" w:ascii="Times New Roman" w:hAnsi="Times New Roman"/>
                <w:b/>
                <w:bCs/>
                <w:color w:val="auto"/>
                <w:kern w:val="24"/>
                <w:sz w:val="24"/>
                <w:szCs w:val="24"/>
              </w:rPr>
              <w:t>项目噪声污染源及污染防治措施一览表</w:t>
            </w:r>
          </w:p>
          <w:tbl>
            <w:tblPr>
              <w:tblStyle w:val="91"/>
              <w:tblW w:w="81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658"/>
              <w:gridCol w:w="846"/>
              <w:gridCol w:w="879"/>
              <w:gridCol w:w="1031"/>
              <w:gridCol w:w="879"/>
              <w:gridCol w:w="636"/>
              <w:gridCol w:w="595"/>
              <w:gridCol w:w="608"/>
              <w:gridCol w:w="608"/>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声源位置</w:t>
                  </w:r>
                </w:p>
              </w:tc>
              <w:tc>
                <w:tcPr>
                  <w:tcW w:w="660"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声源名称</w:t>
                  </w:r>
                </w:p>
              </w:tc>
              <w:tc>
                <w:tcPr>
                  <w:tcW w:w="810"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数量（台）</w:t>
                  </w:r>
                </w:p>
              </w:tc>
              <w:tc>
                <w:tcPr>
                  <w:tcW w:w="885"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单台声压级/dB(A)</w:t>
                  </w:r>
                </w:p>
              </w:tc>
              <w:tc>
                <w:tcPr>
                  <w:tcW w:w="1065"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治理措施</w:t>
                  </w:r>
                </w:p>
              </w:tc>
              <w:tc>
                <w:tcPr>
                  <w:tcW w:w="885"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降噪后/dB(A)</w:t>
                  </w:r>
                </w:p>
              </w:tc>
              <w:tc>
                <w:tcPr>
                  <w:tcW w:w="2475" w:type="dxa"/>
                  <w:gridSpan w:val="4"/>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距厂界的相对位置（m）</w:t>
                  </w:r>
                </w:p>
              </w:tc>
              <w:tc>
                <w:tcPr>
                  <w:tcW w:w="682"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660"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810"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885"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1065"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885"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64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东</w:t>
                  </w:r>
                </w:p>
              </w:tc>
              <w:tc>
                <w:tcPr>
                  <w:tcW w:w="60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南</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西</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北</w:t>
                  </w:r>
                </w:p>
              </w:tc>
              <w:tc>
                <w:tcPr>
                  <w:tcW w:w="682"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粗氦提取单元</w:t>
                  </w:r>
                </w:p>
              </w:tc>
              <w:tc>
                <w:tcPr>
                  <w:tcW w:w="66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压缩机、泵类</w:t>
                  </w:r>
                </w:p>
              </w:tc>
              <w:tc>
                <w:tcPr>
                  <w:tcW w:w="81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6</w:t>
                  </w: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85</w:t>
                  </w:r>
                </w:p>
              </w:tc>
              <w:tc>
                <w:tcPr>
                  <w:tcW w:w="1065" w:type="dxa"/>
                  <w:vMerge w:val="restart"/>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选用低噪音设备、采用基础减震</w:t>
                  </w: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68</w:t>
                  </w:r>
                </w:p>
              </w:tc>
              <w:tc>
                <w:tcPr>
                  <w:tcW w:w="64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263</w:t>
                  </w:r>
                </w:p>
              </w:tc>
              <w:tc>
                <w:tcPr>
                  <w:tcW w:w="60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153</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263</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482</w:t>
                  </w:r>
                </w:p>
              </w:tc>
              <w:tc>
                <w:tcPr>
                  <w:tcW w:w="682"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催化脱氢单元</w:t>
                  </w:r>
                </w:p>
              </w:tc>
              <w:tc>
                <w:tcPr>
                  <w:tcW w:w="66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压缩机</w:t>
                  </w:r>
                </w:p>
              </w:tc>
              <w:tc>
                <w:tcPr>
                  <w:tcW w:w="81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w:t>
                  </w: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85</w:t>
                  </w:r>
                </w:p>
              </w:tc>
              <w:tc>
                <w:tcPr>
                  <w:tcW w:w="1065"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75</w:t>
                  </w:r>
                </w:p>
              </w:tc>
              <w:tc>
                <w:tcPr>
                  <w:tcW w:w="64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260</w:t>
                  </w:r>
                </w:p>
              </w:tc>
              <w:tc>
                <w:tcPr>
                  <w:tcW w:w="60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136</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266</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486</w:t>
                  </w:r>
                </w:p>
              </w:tc>
              <w:tc>
                <w:tcPr>
                  <w:tcW w:w="682"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氦气精制单元</w:t>
                  </w:r>
                </w:p>
              </w:tc>
              <w:tc>
                <w:tcPr>
                  <w:tcW w:w="66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压缩机、泵类</w:t>
                  </w:r>
                </w:p>
              </w:tc>
              <w:tc>
                <w:tcPr>
                  <w:tcW w:w="81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7</w:t>
                  </w: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80</w:t>
                  </w:r>
                </w:p>
              </w:tc>
              <w:tc>
                <w:tcPr>
                  <w:tcW w:w="1065"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63</w:t>
                  </w:r>
                </w:p>
              </w:tc>
              <w:tc>
                <w:tcPr>
                  <w:tcW w:w="64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227</w:t>
                  </w:r>
                </w:p>
              </w:tc>
              <w:tc>
                <w:tcPr>
                  <w:tcW w:w="60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168</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289</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451</w:t>
                  </w:r>
                </w:p>
              </w:tc>
              <w:tc>
                <w:tcPr>
                  <w:tcW w:w="682"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充装单元</w:t>
                  </w:r>
                </w:p>
              </w:tc>
              <w:tc>
                <w:tcPr>
                  <w:tcW w:w="66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泵类</w:t>
                  </w:r>
                </w:p>
              </w:tc>
              <w:tc>
                <w:tcPr>
                  <w:tcW w:w="81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2</w:t>
                  </w: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80</w:t>
                  </w:r>
                </w:p>
              </w:tc>
              <w:tc>
                <w:tcPr>
                  <w:tcW w:w="1065" w:type="dxa"/>
                  <w:vMerge w:val="continue"/>
                  <w:vAlign w:val="center"/>
                </w:tcPr>
                <w:p>
                  <w:pPr>
                    <w:widowControl w:val="0"/>
                    <w:adjustRightInd w:val="0"/>
                    <w:spacing w:line="240" w:lineRule="auto"/>
                    <w:ind w:firstLine="0"/>
                    <w:jc w:val="center"/>
                    <w:textAlignment w:val="baseline"/>
                    <w:rPr>
                      <w:rFonts w:ascii="Times New Roman" w:hAnsi="Times New Roman"/>
                      <w:color w:val="auto"/>
                      <w:kern w:val="0"/>
                      <w:szCs w:val="21"/>
                    </w:rPr>
                  </w:pPr>
                </w:p>
              </w:tc>
              <w:tc>
                <w:tcPr>
                  <w:tcW w:w="88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73</w:t>
                  </w:r>
                </w:p>
              </w:tc>
              <w:tc>
                <w:tcPr>
                  <w:tcW w:w="64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183</w:t>
                  </w:r>
                </w:p>
              </w:tc>
              <w:tc>
                <w:tcPr>
                  <w:tcW w:w="600"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143</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346</w:t>
                  </w:r>
                </w:p>
              </w:tc>
              <w:tc>
                <w:tcPr>
                  <w:tcW w:w="615"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478</w:t>
                  </w:r>
                </w:p>
              </w:tc>
              <w:tc>
                <w:tcPr>
                  <w:tcW w:w="682" w:type="dxa"/>
                  <w:vAlign w:val="center"/>
                </w:tcPr>
                <w:p>
                  <w:pPr>
                    <w:widowControl w:val="0"/>
                    <w:adjustRightInd w:val="0"/>
                    <w:spacing w:line="240" w:lineRule="auto"/>
                    <w:ind w:firstLine="0"/>
                    <w:jc w:val="center"/>
                    <w:textAlignment w:val="baseline"/>
                    <w:rPr>
                      <w:rFonts w:ascii="Times New Roman" w:hAnsi="Times New Roman"/>
                      <w:color w:val="auto"/>
                      <w:kern w:val="0"/>
                      <w:szCs w:val="21"/>
                    </w:rPr>
                  </w:pPr>
                  <w:r>
                    <w:rPr>
                      <w:rFonts w:hint="eastAsia" w:ascii="Times New Roman" w:hAnsi="Times New Roman"/>
                      <w:color w:val="auto"/>
                      <w:kern w:val="0"/>
                      <w:szCs w:val="21"/>
                    </w:rPr>
                    <w:t>8000</w:t>
                  </w:r>
                </w:p>
              </w:tc>
            </w:tr>
          </w:tbl>
          <w:p>
            <w:pPr>
              <w:widowControl w:val="0"/>
              <w:adjustRightInd w:val="0"/>
              <w:spacing w:line="360" w:lineRule="auto"/>
              <w:ind w:firstLine="480" w:firstLineChars="200"/>
              <w:jc w:val="both"/>
              <w:rPr>
                <w:rFonts w:ascii="Times New Roman" w:hAnsi="Times New Roman"/>
                <w:bCs/>
                <w:color w:val="auto"/>
                <w:sz w:val="24"/>
                <w:szCs w:val="24"/>
                <w:lang w:bidi="ar"/>
              </w:rPr>
            </w:pPr>
            <w:r>
              <w:rPr>
                <w:rFonts w:ascii="Times New Roman" w:hAnsi="Times New Roman"/>
                <w:bCs/>
                <w:color w:val="auto"/>
                <w:sz w:val="24"/>
                <w:szCs w:val="24"/>
                <w:lang w:bidi="ar"/>
              </w:rPr>
              <w:t>（2）噪声影响预测分析</w:t>
            </w:r>
          </w:p>
          <w:p>
            <w:pPr>
              <w:widowControl w:val="0"/>
              <w:adjustRightInd w:val="0"/>
              <w:spacing w:line="360" w:lineRule="auto"/>
              <w:ind w:firstLine="480" w:firstLineChars="200"/>
              <w:jc w:val="both"/>
              <w:rPr>
                <w:rFonts w:ascii="Times New Roman" w:hAnsi="Times New Roman"/>
                <w:color w:val="auto"/>
                <w:sz w:val="24"/>
                <w:szCs w:val="24"/>
              </w:rPr>
            </w:pPr>
            <w:r>
              <w:rPr>
                <w:rFonts w:ascii="Times New Roman" w:hAnsi="Times New Roman"/>
                <w:bCs/>
                <w:color w:val="auto"/>
                <w:sz w:val="24"/>
                <w:szCs w:val="24"/>
                <w:lang w:bidi="ar"/>
              </w:rPr>
              <w:t>按照《环境影响评价技术导则-声环境》（HJ2.4-202</w:t>
            </w:r>
            <w:r>
              <w:rPr>
                <w:rFonts w:hint="eastAsia" w:ascii="Times New Roman" w:hAnsi="Times New Roman"/>
                <w:bCs/>
                <w:color w:val="auto"/>
                <w:sz w:val="24"/>
                <w:szCs w:val="24"/>
                <w:lang w:bidi="ar"/>
              </w:rPr>
              <w:t>1</w:t>
            </w:r>
            <w:r>
              <w:rPr>
                <w:rFonts w:ascii="Times New Roman" w:hAnsi="Times New Roman"/>
                <w:bCs/>
                <w:color w:val="auto"/>
                <w:sz w:val="24"/>
                <w:szCs w:val="24"/>
                <w:lang w:bidi="ar"/>
              </w:rPr>
              <w:t>）中推荐模式进行预测。</w:t>
            </w:r>
          </w:p>
          <w:p>
            <w:pPr>
              <w:adjustRightInd w:val="0"/>
              <w:snapToGrid w:val="0"/>
              <w:spacing w:line="360" w:lineRule="auto"/>
              <w:ind w:firstLine="480" w:firstLineChars="200"/>
              <w:rPr>
                <w:rFonts w:ascii="Times New Roman" w:hAnsi="Times New Roman"/>
                <w:color w:val="auto"/>
                <w:sz w:val="24"/>
                <w:szCs w:val="24"/>
              </w:rPr>
            </w:pPr>
            <w:r>
              <w:rPr>
                <w:rFonts w:hint="eastAsia" w:ascii="宋体" w:hAnsi="宋体" w:cs="宋体"/>
                <w:color w:val="auto"/>
                <w:sz w:val="24"/>
                <w:szCs w:val="24"/>
              </w:rPr>
              <w:t>①</w:t>
            </w:r>
            <w:r>
              <w:rPr>
                <w:rFonts w:ascii="Times New Roman" w:hAnsi="Times New Roman"/>
                <w:color w:val="auto"/>
                <w:sz w:val="24"/>
                <w:szCs w:val="24"/>
              </w:rPr>
              <w:t>室外声源</w:t>
            </w:r>
          </w:p>
          <w:p>
            <w:pPr>
              <w:widowControl w:val="0"/>
              <w:adjustRightInd w:val="0"/>
              <w:snapToGrid w:val="0"/>
              <w:spacing w:line="360" w:lineRule="auto"/>
              <w:jc w:val="center"/>
              <w:rPr>
                <w:rFonts w:ascii="Times New Roman" w:hAnsi="Times New Roman"/>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p</m:t>
                    </m:r>
                    <m:ctrlPr>
                      <w:rPr>
                        <w:rFonts w:ascii="Cambria Math" w:hAnsi="Cambria Math"/>
                        <w:i/>
                        <w:color w:val="auto"/>
                        <w:sz w:val="24"/>
                        <w:szCs w:val="24"/>
                      </w:rPr>
                    </m:ctrlPr>
                  </m:sub>
                </m:sSub>
                <m:d>
                  <m:dPr>
                    <m:ctrlPr>
                      <w:rPr>
                        <w:rFonts w:ascii="Cambria Math" w:hAnsi="Cambria Math"/>
                        <w:i/>
                        <w:color w:val="auto"/>
                        <w:sz w:val="24"/>
                        <w:szCs w:val="24"/>
                      </w:rPr>
                    </m:ctrlPr>
                  </m:dPr>
                  <m:e>
                    <m:r>
                      <m:rPr/>
                      <w:rPr>
                        <w:rFonts w:ascii="Cambria Math" w:hAnsi="Cambria Math"/>
                        <w:color w:val="auto"/>
                        <w:sz w:val="24"/>
                        <w:szCs w:val="24"/>
                      </w:rPr>
                      <m:t>r</m:t>
                    </m:r>
                    <m:ctrlPr>
                      <w:rPr>
                        <w:rFonts w:ascii="Cambria Math" w:hAnsi="Cambria Math"/>
                        <w:i/>
                        <w:color w:val="auto"/>
                        <w:sz w:val="24"/>
                        <w:szCs w:val="24"/>
                      </w:rPr>
                    </m:ctrlPr>
                  </m:e>
                </m:d>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p</m:t>
                    </m:r>
                    <m:ctrlPr>
                      <w:rPr>
                        <w:rFonts w:ascii="Cambria Math" w:hAnsi="Cambria Math"/>
                        <w:i/>
                        <w:color w:val="auto"/>
                        <w:sz w:val="24"/>
                        <w:szCs w:val="24"/>
                      </w:rPr>
                    </m:ctrlPr>
                  </m:sub>
                </m:sSub>
                <m:d>
                  <m:dPr>
                    <m:ctrlPr>
                      <w:rPr>
                        <w:rFonts w:ascii="Cambria Math" w:hAnsi="Cambria Math"/>
                        <w:i/>
                        <w:color w:val="auto"/>
                        <w:sz w:val="24"/>
                        <w:szCs w:val="24"/>
                      </w:rPr>
                    </m:ctrlPr>
                  </m:dPr>
                  <m:e>
                    <m:sSub>
                      <m:sSubPr>
                        <m:ctrlPr>
                          <w:rPr>
                            <w:rFonts w:ascii="Cambria Math" w:hAnsi="Cambria Math"/>
                            <w:i/>
                            <w:color w:val="auto"/>
                            <w:sz w:val="24"/>
                            <w:szCs w:val="24"/>
                          </w:rPr>
                        </m:ctrlPr>
                      </m:sSubPr>
                      <m:e>
                        <m:r>
                          <m:rPr/>
                          <w:rPr>
                            <w:rFonts w:ascii="Cambria Math" w:hAnsi="Cambria Math"/>
                            <w:color w:val="auto"/>
                            <w:sz w:val="24"/>
                            <w:szCs w:val="24"/>
                          </w:rPr>
                          <m:t>r</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ctrlPr>
                      <w:rPr>
                        <w:rFonts w:ascii="Cambria Math" w:hAnsi="Cambria Math"/>
                        <w:i/>
                        <w:color w:val="auto"/>
                        <w:sz w:val="24"/>
                        <w:szCs w:val="24"/>
                      </w:rPr>
                    </m:ctrlPr>
                  </m:e>
                </m:d>
                <m:r>
                  <m:rPr/>
                  <w:rPr>
                    <w:rFonts w:ascii="Cambria Math" w:hAnsi="Cambria Math"/>
                    <w:color w:val="auto"/>
                    <w:sz w:val="24"/>
                    <w:szCs w:val="24"/>
                  </w:rPr>
                  <m:t>−∆L−20</m:t>
                </m:r>
                <m:func>
                  <m:funcPr>
                    <m:ctrlPr>
                      <w:rPr>
                        <w:rFonts w:ascii="Cambria Math" w:hAnsi="Cambria Math"/>
                        <w:color w:val="auto"/>
                        <w:sz w:val="24"/>
                        <w:szCs w:val="24"/>
                      </w:rPr>
                    </m:ctrlPr>
                  </m:funcPr>
                  <m:fName>
                    <m:r>
                      <m:rPr>
                        <m:sty m:val="p"/>
                      </m:rPr>
                      <w:rPr>
                        <w:rFonts w:ascii="Cambria Math" w:hAnsi="Cambria Math"/>
                        <w:color w:val="auto"/>
                        <w:sz w:val="24"/>
                        <w:szCs w:val="24"/>
                      </w:rPr>
                      <m:t>lg</m:t>
                    </m:r>
                    <m:ctrlPr>
                      <w:rPr>
                        <w:rFonts w:ascii="Cambria Math" w:hAnsi="Cambria Math"/>
                        <w:i/>
                        <w:color w:val="auto"/>
                        <w:sz w:val="24"/>
                        <w:szCs w:val="24"/>
                      </w:rPr>
                    </m:ctrlPr>
                  </m:fName>
                  <m:e>
                    <m:f>
                      <m:fPr>
                        <m:ctrlPr>
                          <w:rPr>
                            <w:rFonts w:ascii="Cambria Math" w:hAnsi="Cambria Math"/>
                            <w:i/>
                            <w:color w:val="auto"/>
                            <w:sz w:val="24"/>
                            <w:szCs w:val="24"/>
                          </w:rPr>
                        </m:ctrlPr>
                      </m:fPr>
                      <m:num>
                        <m:r>
                          <m:rPr/>
                          <w:rPr>
                            <w:rFonts w:ascii="Cambria Math" w:hAnsi="Cambria Math"/>
                            <w:color w:val="auto"/>
                            <w:sz w:val="24"/>
                            <w:szCs w:val="24"/>
                          </w:rPr>
                          <m:t>r</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r</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func>
              </m:oMath>
            </m:oMathPara>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color w:val="auto"/>
                <w:position w:val="-14"/>
                <w:sz w:val="24"/>
                <w:szCs w:val="24"/>
              </w:rPr>
              <w:object>
                <v:shape id="_x0000_i1025" o:spt="75" type="#_x0000_t75" style="height:18.75pt;width:30.75pt;" o:ole="t" filled="f" o:preferrelative="t" stroked="f" coordsize="21600,21600">
                  <v:path/>
                  <v:fill on="f" focussize="0,0"/>
                  <v:stroke on="f" joinstyle="miter"/>
                  <v:imagedata r:id="rId21" o:title=""/>
                  <o:lock v:ext="edit" aspectratio="t"/>
                  <w10:wrap type="none"/>
                  <w10:anchorlock/>
                </v:shape>
                <o:OLEObject Type="Embed" ProgID="Equation.3" ShapeID="_x0000_i1025" DrawAspect="Content" ObjectID="_1468075725" r:id="rId20">
                  <o:LockedField>false</o:LockedField>
                </o:OLEObject>
              </w:object>
            </w:r>
            <w:r>
              <w:rPr>
                <w:rFonts w:ascii="Times New Roman" w:hAnsi="Times New Roman"/>
                <w:color w:val="auto"/>
                <w:sz w:val="24"/>
                <w:szCs w:val="24"/>
              </w:rPr>
              <w:t>——噪声源在预测点的声压级，dB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napToGrid w:val="0"/>
              <w:spacing w:line="360" w:lineRule="auto"/>
              <w:ind w:firstLine="1155" w:firstLineChars="550"/>
              <w:rPr>
                <w:rFonts w:ascii="Times New Roman" w:hAnsi="Times New Roman"/>
                <w:color w:val="auto"/>
                <w:sz w:val="24"/>
                <w:szCs w:val="24"/>
              </w:rPr>
            </w:pPr>
            <w:r>
              <w:rPr>
                <w:rFonts w:ascii="Times New Roman" w:hAnsi="Times New Roman"/>
                <w:color w:val="auto"/>
                <w:position w:val="-14"/>
              </w:rPr>
              <w:drawing>
                <wp:inline distT="0" distB="0" distL="0" distR="0">
                  <wp:extent cx="416560" cy="233680"/>
                  <wp:effectExtent l="0" t="0" r="2540" b="14605"/>
                  <wp:docPr id="1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7"/>
                          <pic:cNvPicPr>
                            <a:picLocks noChangeAspect="1" noChangeArrowheads="1"/>
                          </pic:cNvPicPr>
                        </pic:nvPicPr>
                        <pic:blipFill>
                          <a:blip r:embed="rId22" cstate="print"/>
                          <a:srcRect/>
                          <a:stretch>
                            <a:fillRect/>
                          </a:stretch>
                        </pic:blipFill>
                        <pic:spPr>
                          <a:xfrm>
                            <a:off x="0" y="0"/>
                            <a:ext cx="416560" cy="233680"/>
                          </a:xfrm>
                          <a:prstGeom prst="rect">
                            <a:avLst/>
                          </a:prstGeom>
                          <a:noFill/>
                          <a:ln w="9525">
                            <a:noFill/>
                            <a:miter lim="800000"/>
                            <a:headEnd/>
                            <a:tailEnd/>
                          </a:ln>
                        </pic:spPr>
                      </pic:pic>
                    </a:graphicData>
                  </a:graphic>
                </wp:inline>
              </w:drawing>
            </w:r>
            <w:r>
              <w:rPr>
                <w:rFonts w:ascii="Times New Roman" w:hAnsi="Times New Roman"/>
                <w:color w:val="auto"/>
                <w:sz w:val="24"/>
                <w:szCs w:val="24"/>
              </w:rPr>
              <w:t>——参考位置处的声压级，dB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napToGrid w:val="0"/>
              <w:spacing w:line="360" w:lineRule="auto"/>
              <w:ind w:firstLine="1155" w:firstLineChars="550"/>
              <w:rPr>
                <w:rFonts w:ascii="Times New Roman" w:hAnsi="Times New Roman"/>
                <w:color w:val="auto"/>
                <w:sz w:val="24"/>
                <w:szCs w:val="24"/>
              </w:rPr>
            </w:pPr>
            <w:r>
              <w:rPr>
                <w:rFonts w:ascii="Times New Roman" w:hAnsi="Times New Roman"/>
                <w:color w:val="auto"/>
                <w:position w:val="-4"/>
              </w:rPr>
              <w:drawing>
                <wp:inline distT="0" distB="0" distL="0" distR="0">
                  <wp:extent cx="233680" cy="162560"/>
                  <wp:effectExtent l="0" t="0" r="13970" b="698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noChangeArrowheads="1"/>
                          </pic:cNvPicPr>
                        </pic:nvPicPr>
                        <pic:blipFill>
                          <a:blip r:embed="rId23" cstate="print"/>
                          <a:srcRect/>
                          <a:stretch>
                            <a:fillRect/>
                          </a:stretch>
                        </pic:blipFill>
                        <pic:spPr>
                          <a:xfrm>
                            <a:off x="0" y="0"/>
                            <a:ext cx="233680" cy="162560"/>
                          </a:xfrm>
                          <a:prstGeom prst="rect">
                            <a:avLst/>
                          </a:prstGeom>
                          <a:noFill/>
                          <a:ln w="9525">
                            <a:noFill/>
                            <a:miter lim="800000"/>
                            <a:headEnd/>
                            <a:tailEnd/>
                          </a:ln>
                        </pic:spPr>
                      </pic:pic>
                    </a:graphicData>
                  </a:graphic>
                </wp:inline>
              </w:drawing>
            </w:r>
            <w:r>
              <w:rPr>
                <w:rFonts w:ascii="Times New Roman" w:hAnsi="Times New Roman"/>
                <w:color w:val="auto"/>
                <w:sz w:val="24"/>
                <w:szCs w:val="24"/>
              </w:rPr>
              <w:t>——各种因素引起的声衰减量（如声屏障，遮挡物，空气吸收，地面吸收等引起的声衰减），</w:t>
            </w:r>
            <w:r>
              <w:rPr>
                <w:rFonts w:hint="eastAsia" w:ascii="Times New Roman" w:hAnsi="Times New Roman"/>
                <w:color w:val="auto"/>
                <w:sz w:val="24"/>
                <w:szCs w:val="24"/>
              </w:rPr>
              <w:t>取10</w:t>
            </w:r>
            <w:r>
              <w:rPr>
                <w:rFonts w:ascii="Times New Roman" w:hAnsi="Times New Roman"/>
                <w:color w:val="auto"/>
                <w:sz w:val="24"/>
                <w:szCs w:val="24"/>
              </w:rPr>
              <w:t>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napToGrid w:val="0"/>
              <w:spacing w:line="360" w:lineRule="auto"/>
              <w:ind w:firstLine="1155" w:firstLineChars="550"/>
              <w:rPr>
                <w:rFonts w:ascii="Times New Roman" w:hAnsi="Times New Roman"/>
                <w:color w:val="auto"/>
                <w:sz w:val="24"/>
                <w:szCs w:val="24"/>
              </w:rPr>
            </w:pPr>
            <w:r>
              <w:rPr>
                <w:rFonts w:ascii="Times New Roman" w:hAnsi="Times New Roman"/>
                <w:color w:val="auto"/>
                <w:position w:val="-12"/>
              </w:rPr>
              <w:drawing>
                <wp:inline distT="0" distB="0" distL="0" distR="0">
                  <wp:extent cx="142240" cy="223520"/>
                  <wp:effectExtent l="0" t="0" r="10160" b="3175"/>
                  <wp:docPr id="1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1" noChangeArrowheads="1"/>
                          </pic:cNvPicPr>
                        </pic:nvPicPr>
                        <pic:blipFill>
                          <a:blip r:embed="rId24" cstate="print"/>
                          <a:srcRect/>
                          <a:stretch>
                            <a:fillRect/>
                          </a:stretch>
                        </pic:blipFill>
                        <pic:spPr>
                          <a:xfrm>
                            <a:off x="0" y="0"/>
                            <a:ext cx="142240" cy="223520"/>
                          </a:xfrm>
                          <a:prstGeom prst="rect">
                            <a:avLst/>
                          </a:prstGeom>
                          <a:noFill/>
                          <a:ln w="9525">
                            <a:noFill/>
                            <a:miter lim="800000"/>
                            <a:headEnd/>
                            <a:tailEnd/>
                          </a:ln>
                        </pic:spPr>
                      </pic:pic>
                    </a:graphicData>
                  </a:graphic>
                </wp:inline>
              </w:drawing>
            </w:r>
            <w:r>
              <w:rPr>
                <w:rFonts w:ascii="Times New Roman" w:hAnsi="Times New Roman"/>
                <w:color w:val="auto"/>
                <w:sz w:val="24"/>
                <w:szCs w:val="24"/>
              </w:rPr>
              <w:t>——参考位置距声源中心的位置，</w:t>
            </w:r>
            <w:r>
              <w:rPr>
                <w:rFonts w:hint="eastAsia" w:ascii="Times New Roman" w:hAnsi="Times New Roman"/>
                <w:color w:val="auto"/>
                <w:sz w:val="24"/>
                <w:szCs w:val="24"/>
              </w:rPr>
              <w:t>取1</w:t>
            </w:r>
            <w:r>
              <w:rPr>
                <w:rFonts w:ascii="Times New Roman" w:hAnsi="Times New Roman"/>
                <w:color w:val="auto"/>
                <w:sz w:val="24"/>
                <w:szCs w:val="24"/>
              </w:rPr>
              <w:t>m；</w:t>
            </w:r>
          </w:p>
          <w:p>
            <w:pPr>
              <w:adjustRightInd w:val="0"/>
              <w:snapToGrid w:val="0"/>
              <w:spacing w:line="360" w:lineRule="auto"/>
              <w:ind w:firstLine="1155" w:firstLineChars="550"/>
              <w:rPr>
                <w:rFonts w:ascii="Times New Roman" w:hAnsi="Times New Roman"/>
                <w:color w:val="auto"/>
                <w:sz w:val="24"/>
                <w:szCs w:val="24"/>
              </w:rPr>
            </w:pPr>
            <w:r>
              <w:rPr>
                <w:rFonts w:ascii="Times New Roman" w:hAnsi="Times New Roman"/>
                <w:color w:val="auto"/>
                <w:position w:val="-4"/>
              </w:rPr>
              <w:drawing>
                <wp:inline distT="0" distB="0" distL="0" distR="0">
                  <wp:extent cx="111760" cy="121920"/>
                  <wp:effectExtent l="0" t="0" r="2540" b="1397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25" cstate="print"/>
                          <a:srcRect/>
                          <a:stretch>
                            <a:fillRect/>
                          </a:stretch>
                        </pic:blipFill>
                        <pic:spPr>
                          <a:xfrm>
                            <a:off x="0" y="0"/>
                            <a:ext cx="111760" cy="121920"/>
                          </a:xfrm>
                          <a:prstGeom prst="rect">
                            <a:avLst/>
                          </a:prstGeom>
                          <a:noFill/>
                          <a:ln w="9525">
                            <a:noFill/>
                            <a:miter lim="800000"/>
                            <a:headEnd/>
                            <a:tailEnd/>
                          </a:ln>
                        </pic:spPr>
                      </pic:pic>
                    </a:graphicData>
                  </a:graphic>
                </wp:inline>
              </w:drawing>
            </w:r>
            <w:r>
              <w:rPr>
                <w:rFonts w:ascii="Times New Roman" w:hAnsi="Times New Roman"/>
                <w:color w:val="auto"/>
                <w:sz w:val="24"/>
                <w:szCs w:val="24"/>
              </w:rPr>
              <w:t>——声源中心至预测点的距离，m；</w:t>
            </w:r>
          </w:p>
          <w:p>
            <w:pPr>
              <w:adjustRightInd w:val="0"/>
              <w:snapToGrid w:val="0"/>
              <w:spacing w:line="360" w:lineRule="auto"/>
              <w:ind w:firstLine="480" w:firstLineChars="200"/>
              <w:rPr>
                <w:rFonts w:ascii="Times New Roman" w:hAnsi="Times New Roman"/>
                <w:color w:val="auto"/>
                <w:sz w:val="24"/>
                <w:szCs w:val="24"/>
              </w:rPr>
            </w:pPr>
            <w:r>
              <w:rPr>
                <w:rFonts w:hint="eastAsia" w:ascii="宋体" w:hAnsi="宋体" w:cs="宋体"/>
                <w:color w:val="auto"/>
                <w:sz w:val="24"/>
                <w:szCs w:val="24"/>
              </w:rPr>
              <w:t>②</w:t>
            </w:r>
            <w:r>
              <w:rPr>
                <w:rFonts w:ascii="Times New Roman" w:hAnsi="Times New Roman"/>
                <w:color w:val="auto"/>
                <w:sz w:val="24"/>
                <w:szCs w:val="24"/>
              </w:rPr>
              <w:t>室内声源</w:t>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等效室内点源的声传播衰减公式为：</w:t>
            </w:r>
          </w:p>
          <w:p>
            <w:pPr>
              <w:adjustRightInd w:val="0"/>
              <w:snapToGrid w:val="0"/>
              <w:spacing w:line="360" w:lineRule="auto"/>
              <w:ind w:firstLine="480" w:firstLineChars="200"/>
              <w:jc w:val="center"/>
              <w:rPr>
                <w:rFonts w:ascii="Times New Roman" w:hAnsi="Times New Roman"/>
                <w:color w:val="auto"/>
                <w:sz w:val="24"/>
                <w:szCs w:val="24"/>
              </w:rPr>
            </w:pPr>
            <m:oMathPara>
              <m:oMath>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p</m:t>
                    </m:r>
                    <m:ctrlPr>
                      <w:rPr>
                        <w:rFonts w:ascii="Cambria Math" w:hAnsi="Cambria Math"/>
                        <w:i/>
                        <w:color w:val="auto"/>
                        <w:sz w:val="24"/>
                        <w:szCs w:val="24"/>
                      </w:rPr>
                    </m:ctrlPr>
                  </m:sub>
                </m:sSub>
                <m:d>
                  <m:dPr>
                    <m:ctrlPr>
                      <w:rPr>
                        <w:rFonts w:ascii="Cambria Math" w:hAnsi="Cambria Math"/>
                        <w:i/>
                        <w:color w:val="auto"/>
                        <w:sz w:val="24"/>
                        <w:szCs w:val="24"/>
                      </w:rPr>
                    </m:ctrlPr>
                  </m:dPr>
                  <m:e>
                    <m:r>
                      <m:rPr/>
                      <w:rPr>
                        <w:rFonts w:ascii="Cambria Math" w:hAnsi="Cambria Math"/>
                        <w:color w:val="auto"/>
                        <w:sz w:val="24"/>
                        <w:szCs w:val="24"/>
                      </w:rPr>
                      <m:t>r</m:t>
                    </m:r>
                    <m:ctrlPr>
                      <w:rPr>
                        <w:rFonts w:ascii="Cambria Math" w:hAnsi="Cambria Math"/>
                        <w:i/>
                        <w:color w:val="auto"/>
                        <w:sz w:val="24"/>
                        <w:szCs w:val="24"/>
                      </w:rPr>
                    </m:ctrlPr>
                  </m:e>
                </m:d>
                <m:r>
                  <m:rPr/>
                  <w:rPr>
                    <w:rFonts w:ascii="Cambria Math" w:hAnsi="Cambria Math"/>
                    <w:color w:val="auto"/>
                    <w:sz w:val="24"/>
                    <w:szCs w:val="24"/>
                  </w:rPr>
                  <m:t>=</m:t>
                </m:r>
                <m:sSub>
                  <m:sSubPr>
                    <m:ctrlPr>
                      <w:rPr>
                        <w:rFonts w:ascii="Cambria Math" w:hAnsi="Cambria Math"/>
                        <w:i/>
                        <w:color w:val="auto"/>
                        <w:sz w:val="24"/>
                        <w:szCs w:val="24"/>
                      </w:rPr>
                    </m:ctrlPr>
                  </m:sSubPr>
                  <m:e>
                    <m:r>
                      <m:rPr/>
                      <w:rPr>
                        <w:rFonts w:ascii="Cambria Math" w:hAnsi="Cambria Math"/>
                        <w:color w:val="auto"/>
                        <w:sz w:val="24"/>
                        <w:szCs w:val="24"/>
                      </w:rPr>
                      <m:t>L</m:t>
                    </m:r>
                    <m:ctrlPr>
                      <w:rPr>
                        <w:rFonts w:ascii="Cambria Math" w:hAnsi="Cambria Math"/>
                        <w:i/>
                        <w:color w:val="auto"/>
                        <w:sz w:val="24"/>
                        <w:szCs w:val="24"/>
                      </w:rPr>
                    </m:ctrlPr>
                  </m:e>
                  <m:sub>
                    <m:r>
                      <m:rPr/>
                      <w:rPr>
                        <w:rFonts w:ascii="Cambria Math" w:hAnsi="Cambria Math"/>
                        <w:color w:val="auto"/>
                        <w:sz w:val="24"/>
                        <w:szCs w:val="24"/>
                      </w:rPr>
                      <m:t>p</m:t>
                    </m:r>
                    <m:ctrlPr>
                      <w:rPr>
                        <w:rFonts w:ascii="Cambria Math" w:hAnsi="Cambria Math"/>
                        <w:i/>
                        <w:color w:val="auto"/>
                        <w:sz w:val="24"/>
                        <w:szCs w:val="24"/>
                      </w:rPr>
                    </m:ctrlPr>
                  </m:sub>
                </m:sSub>
                <m:d>
                  <m:dPr>
                    <m:ctrlPr>
                      <w:rPr>
                        <w:rFonts w:ascii="Cambria Math" w:hAnsi="Cambria Math"/>
                        <w:i/>
                        <w:color w:val="auto"/>
                        <w:sz w:val="24"/>
                        <w:szCs w:val="24"/>
                      </w:rPr>
                    </m:ctrlPr>
                  </m:dPr>
                  <m:e>
                    <m:sSub>
                      <m:sSubPr>
                        <m:ctrlPr>
                          <w:rPr>
                            <w:rFonts w:ascii="Cambria Math" w:hAnsi="Cambria Math"/>
                            <w:i/>
                            <w:color w:val="auto"/>
                            <w:sz w:val="24"/>
                            <w:szCs w:val="24"/>
                          </w:rPr>
                        </m:ctrlPr>
                      </m:sSubPr>
                      <m:e>
                        <m:r>
                          <m:rPr/>
                          <w:rPr>
                            <w:rFonts w:ascii="Cambria Math" w:hAnsi="Cambria Math"/>
                            <w:color w:val="auto"/>
                            <w:sz w:val="24"/>
                            <w:szCs w:val="24"/>
                          </w:rPr>
                          <m:t>r</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ctrlPr>
                      <w:rPr>
                        <w:rFonts w:ascii="Cambria Math" w:hAnsi="Cambria Math"/>
                        <w:i/>
                        <w:color w:val="auto"/>
                        <w:sz w:val="24"/>
                        <w:szCs w:val="24"/>
                      </w:rPr>
                    </m:ctrlPr>
                  </m:e>
                </m:d>
                <m:r>
                  <m:rPr/>
                  <w:rPr>
                    <w:rFonts w:ascii="Cambria Math" w:hAnsi="Cambria Math"/>
                    <w:color w:val="auto"/>
                    <w:sz w:val="24"/>
                    <w:szCs w:val="24"/>
                  </w:rPr>
                  <m:t>−TL+10</m:t>
                </m:r>
                <m:func>
                  <m:funcPr>
                    <m:ctrlPr>
                      <w:rPr>
                        <w:rFonts w:ascii="Cambria Math" w:hAnsi="Cambria Math"/>
                        <w:color w:val="auto"/>
                        <w:sz w:val="24"/>
                        <w:szCs w:val="24"/>
                      </w:rPr>
                    </m:ctrlPr>
                  </m:funcPr>
                  <m:fName>
                    <m:r>
                      <m:rPr>
                        <m:sty m:val="p"/>
                      </m:rPr>
                      <w:rPr>
                        <w:rFonts w:ascii="Cambria Math" w:hAnsi="Cambria Math"/>
                        <w:color w:val="auto"/>
                        <w:sz w:val="24"/>
                        <w:szCs w:val="24"/>
                      </w:rPr>
                      <m:t>lg</m:t>
                    </m:r>
                    <m:ctrlPr>
                      <w:rPr>
                        <w:rFonts w:ascii="Cambria Math" w:hAnsi="Cambria Math"/>
                        <w:i/>
                        <w:color w:val="auto"/>
                        <w:sz w:val="24"/>
                        <w:szCs w:val="24"/>
                      </w:rPr>
                    </m:ctrlPr>
                  </m:fName>
                  <m:e>
                    <m:f>
                      <m:fPr>
                        <m:ctrlPr>
                          <w:rPr>
                            <w:rFonts w:ascii="Cambria Math" w:hAnsi="Cambria Math"/>
                            <w:i/>
                            <w:color w:val="auto"/>
                            <w:sz w:val="24"/>
                            <w:szCs w:val="24"/>
                          </w:rPr>
                        </m:ctrlPr>
                      </m:fPr>
                      <m:num>
                        <m:r>
                          <m:rPr/>
                          <w:rPr>
                            <w:rFonts w:ascii="Cambria Math" w:hAnsi="Cambria Math"/>
                            <w:color w:val="auto"/>
                            <w:sz w:val="24"/>
                            <w:szCs w:val="24"/>
                          </w:rPr>
                          <m:t>1−α</m:t>
                        </m:r>
                        <m:ctrlPr>
                          <w:rPr>
                            <w:rFonts w:ascii="Cambria Math" w:hAnsi="Cambria Math"/>
                            <w:i/>
                            <w:color w:val="auto"/>
                            <w:sz w:val="24"/>
                            <w:szCs w:val="24"/>
                          </w:rPr>
                        </m:ctrlPr>
                      </m:num>
                      <m:den>
                        <m:r>
                          <m:rPr/>
                          <w:rPr>
                            <w:rFonts w:ascii="Cambria Math" w:hAnsi="Cambria Math"/>
                            <w:color w:val="auto"/>
                            <w:sz w:val="24"/>
                            <w:szCs w:val="24"/>
                          </w:rPr>
                          <m:t>α</m:t>
                        </m:r>
                        <m:ctrlPr>
                          <w:rPr>
                            <w:rFonts w:ascii="Cambria Math" w:hAnsi="Cambria Math"/>
                            <w:i/>
                            <w:color w:val="auto"/>
                            <w:sz w:val="24"/>
                            <w:szCs w:val="24"/>
                          </w:rPr>
                        </m:ctrlPr>
                      </m:den>
                    </m:f>
                    <m:ctrlPr>
                      <w:rPr>
                        <w:rFonts w:ascii="Cambria Math" w:hAnsi="Cambria Math"/>
                        <w:i/>
                        <w:color w:val="auto"/>
                        <w:sz w:val="24"/>
                        <w:szCs w:val="24"/>
                      </w:rPr>
                    </m:ctrlPr>
                  </m:e>
                </m:func>
                <m:r>
                  <m:rPr/>
                  <w:rPr>
                    <w:rFonts w:ascii="Cambria Math" w:hAnsi="Cambria Math"/>
                    <w:color w:val="auto"/>
                    <w:sz w:val="24"/>
                    <w:szCs w:val="24"/>
                  </w:rPr>
                  <m:t>−20</m:t>
                </m:r>
                <m:func>
                  <m:funcPr>
                    <m:ctrlPr>
                      <w:rPr>
                        <w:rFonts w:ascii="Cambria Math" w:hAnsi="Cambria Math"/>
                        <w:color w:val="auto"/>
                        <w:sz w:val="24"/>
                        <w:szCs w:val="24"/>
                      </w:rPr>
                    </m:ctrlPr>
                  </m:funcPr>
                  <m:fName>
                    <m:r>
                      <m:rPr>
                        <m:sty m:val="p"/>
                      </m:rPr>
                      <w:rPr>
                        <w:rFonts w:ascii="Cambria Math" w:hAnsi="Cambria Math"/>
                        <w:color w:val="auto"/>
                        <w:sz w:val="24"/>
                        <w:szCs w:val="24"/>
                      </w:rPr>
                      <m:t>lg</m:t>
                    </m:r>
                    <m:ctrlPr>
                      <w:rPr>
                        <w:rFonts w:ascii="Cambria Math" w:hAnsi="Cambria Math"/>
                        <w:i/>
                        <w:color w:val="auto"/>
                        <w:sz w:val="24"/>
                        <w:szCs w:val="24"/>
                      </w:rPr>
                    </m:ctrlPr>
                  </m:fName>
                  <m:e>
                    <m:f>
                      <m:fPr>
                        <m:ctrlPr>
                          <w:rPr>
                            <w:rFonts w:ascii="Cambria Math" w:hAnsi="Cambria Math"/>
                            <w:i/>
                            <w:color w:val="auto"/>
                            <w:sz w:val="24"/>
                            <w:szCs w:val="24"/>
                          </w:rPr>
                        </m:ctrlPr>
                      </m:fPr>
                      <m:num>
                        <m:r>
                          <m:rPr/>
                          <w:rPr>
                            <w:rFonts w:ascii="Cambria Math" w:hAnsi="Cambria Math"/>
                            <w:color w:val="auto"/>
                            <w:sz w:val="24"/>
                            <w:szCs w:val="24"/>
                          </w:rPr>
                          <m:t>r</m:t>
                        </m:r>
                        <m:ctrlPr>
                          <w:rPr>
                            <w:rFonts w:ascii="Cambria Math" w:hAnsi="Cambria Math"/>
                            <w:i/>
                            <w:color w:val="auto"/>
                            <w:sz w:val="24"/>
                            <w:szCs w:val="24"/>
                          </w:rPr>
                        </m:ctrlPr>
                      </m:num>
                      <m:den>
                        <m:sSub>
                          <m:sSubPr>
                            <m:ctrlPr>
                              <w:rPr>
                                <w:rFonts w:ascii="Cambria Math" w:hAnsi="Cambria Math"/>
                                <w:i/>
                                <w:color w:val="auto"/>
                                <w:sz w:val="24"/>
                                <w:szCs w:val="24"/>
                              </w:rPr>
                            </m:ctrlPr>
                          </m:sSubPr>
                          <m:e>
                            <m:r>
                              <m:rPr/>
                              <w:rPr>
                                <w:rFonts w:ascii="Cambria Math" w:hAnsi="Cambria Math"/>
                                <w:color w:val="auto"/>
                                <w:sz w:val="24"/>
                                <w:szCs w:val="24"/>
                              </w:rPr>
                              <m:t>r</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ctrlPr>
                          <w:rPr>
                            <w:rFonts w:ascii="Cambria Math" w:hAnsi="Cambria Math"/>
                            <w:i/>
                            <w:color w:val="auto"/>
                            <w:sz w:val="24"/>
                            <w:szCs w:val="24"/>
                          </w:rPr>
                        </m:ctrlPr>
                      </m:den>
                    </m:f>
                    <m:ctrlPr>
                      <w:rPr>
                        <w:rFonts w:ascii="Cambria Math" w:hAnsi="Cambria Math"/>
                        <w:i/>
                        <w:color w:val="auto"/>
                        <w:sz w:val="24"/>
                        <w:szCs w:val="24"/>
                      </w:rPr>
                    </m:ctrlPr>
                  </m:e>
                </m:func>
              </m:oMath>
            </m:oMathPara>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color w:val="auto"/>
                <w:position w:val="-14"/>
                <w:sz w:val="24"/>
                <w:szCs w:val="24"/>
              </w:rPr>
              <w:object>
                <v:shape id="_x0000_i1026" o:spt="75" type="#_x0000_t75" style="height:18.75pt;width:30.7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6">
                  <o:LockedField>false</o:LockedField>
                </o:OLEObject>
              </w:object>
            </w:r>
            <w:r>
              <w:rPr>
                <w:rFonts w:ascii="Times New Roman" w:hAnsi="Times New Roman"/>
                <w:color w:val="auto"/>
                <w:sz w:val="24"/>
                <w:szCs w:val="24"/>
              </w:rPr>
              <w:t>——噪声源在预测点的声压级，dB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napToGrid w:val="0"/>
              <w:spacing w:line="360" w:lineRule="auto"/>
              <w:ind w:firstLine="1260" w:firstLineChars="600"/>
              <w:rPr>
                <w:rFonts w:ascii="Times New Roman" w:hAnsi="Times New Roman"/>
                <w:color w:val="auto"/>
              </w:rPr>
            </w:pPr>
            <w:r>
              <w:rPr>
                <w:rFonts w:ascii="Times New Roman" w:hAnsi="Times New Roman"/>
                <w:color w:val="auto"/>
                <w:position w:val="-14"/>
              </w:rPr>
              <w:drawing>
                <wp:inline distT="0" distB="0" distL="0" distR="0">
                  <wp:extent cx="416560" cy="233680"/>
                  <wp:effectExtent l="0" t="0" r="2540" b="14605"/>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noChangeArrowheads="1"/>
                          </pic:cNvPicPr>
                        </pic:nvPicPr>
                        <pic:blipFill>
                          <a:blip r:embed="rId22" cstate="print"/>
                          <a:srcRect/>
                          <a:stretch>
                            <a:fillRect/>
                          </a:stretch>
                        </pic:blipFill>
                        <pic:spPr>
                          <a:xfrm>
                            <a:off x="0" y="0"/>
                            <a:ext cx="416560" cy="233680"/>
                          </a:xfrm>
                          <a:prstGeom prst="rect">
                            <a:avLst/>
                          </a:prstGeom>
                          <a:noFill/>
                          <a:ln w="9525">
                            <a:noFill/>
                            <a:miter lim="800000"/>
                            <a:headEnd/>
                            <a:tailEnd/>
                          </a:ln>
                        </pic:spPr>
                      </pic:pic>
                    </a:graphicData>
                  </a:graphic>
                </wp:inline>
              </w:drawing>
            </w:r>
            <w:r>
              <w:rPr>
                <w:rFonts w:ascii="Times New Roman" w:hAnsi="Times New Roman"/>
                <w:color w:val="auto"/>
                <w:sz w:val="24"/>
                <w:szCs w:val="24"/>
              </w:rPr>
              <w:t>——参考位置处的声压级，dB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napToGrid w:val="0"/>
              <w:spacing w:line="360" w:lineRule="auto"/>
              <w:ind w:firstLine="1320" w:firstLineChars="550"/>
              <w:rPr>
                <w:rFonts w:ascii="Times New Roman" w:hAnsi="Times New Roman"/>
                <w:color w:val="auto"/>
                <w:sz w:val="24"/>
                <w:szCs w:val="24"/>
              </w:rPr>
            </w:pPr>
            <w:r>
              <w:rPr>
                <w:rFonts w:ascii="Times New Roman" w:hAnsi="Times New Roman"/>
                <w:i/>
                <w:iCs/>
                <w:color w:val="auto"/>
                <w:sz w:val="24"/>
                <w:szCs w:val="24"/>
              </w:rPr>
              <w:t>TL</w:t>
            </w:r>
            <w:r>
              <w:rPr>
                <w:rFonts w:ascii="Times New Roman" w:hAnsi="Times New Roman"/>
                <w:color w:val="auto"/>
                <w:sz w:val="24"/>
                <w:szCs w:val="24"/>
              </w:rPr>
              <w:t>——</w:t>
            </w:r>
            <w:r>
              <w:rPr>
                <w:rFonts w:hint="eastAsia" w:ascii="Times New Roman" w:hAnsi="Times New Roman"/>
                <w:color w:val="auto"/>
                <w:sz w:val="24"/>
                <w:szCs w:val="24"/>
              </w:rPr>
              <w:t>车间</w:t>
            </w:r>
            <w:r>
              <w:rPr>
                <w:rFonts w:ascii="Times New Roman" w:hAnsi="Times New Roman"/>
                <w:color w:val="auto"/>
                <w:sz w:val="24"/>
                <w:szCs w:val="24"/>
              </w:rPr>
              <w:t>围护结构(墙、窗)的平均隔声量，</w:t>
            </w:r>
            <w:r>
              <w:rPr>
                <w:rFonts w:hint="eastAsia" w:ascii="Times New Roman" w:hAnsi="Times New Roman"/>
                <w:color w:val="auto"/>
                <w:sz w:val="24"/>
                <w:szCs w:val="24"/>
              </w:rPr>
              <w:t>取25</w:t>
            </w:r>
            <w:r>
              <w:rPr>
                <w:rFonts w:ascii="Times New Roman" w:hAnsi="Times New Roman"/>
                <w:color w:val="auto"/>
                <w:sz w:val="24"/>
                <w:szCs w:val="24"/>
              </w:rPr>
              <w:t>dB</w:t>
            </w:r>
            <w:r>
              <w:rPr>
                <w:rFonts w:hint="eastAsia" w:ascii="Times New Roman" w:hAnsi="Times New Roman"/>
                <w:color w:val="auto"/>
                <w:sz w:val="24"/>
                <w:szCs w:val="24"/>
              </w:rPr>
              <w:t>(</w:t>
            </w:r>
            <w:r>
              <w:rPr>
                <w:rFonts w:ascii="Times New Roman" w:hAnsi="Times New Roman"/>
                <w:color w:val="auto"/>
                <w:sz w:val="24"/>
                <w:szCs w:val="24"/>
              </w:rPr>
              <w:t>A</w:t>
            </w:r>
            <w:r>
              <w:rPr>
                <w:rFonts w:hint="eastAsia" w:ascii="Times New Roman" w:hAnsi="Times New Roman"/>
                <w:color w:val="auto"/>
                <w:sz w:val="24"/>
                <w:szCs w:val="24"/>
              </w:rPr>
              <w:t>)</w:t>
            </w:r>
            <w:r>
              <w:rPr>
                <w:rFonts w:ascii="Times New Roman" w:hAnsi="Times New Roman"/>
                <w:color w:val="auto"/>
                <w:sz w:val="24"/>
                <w:szCs w:val="24"/>
              </w:rPr>
              <w:t>；</w:t>
            </w:r>
          </w:p>
          <w:p>
            <w:pPr>
              <w:adjustRightInd w:val="0"/>
              <w:snapToGrid w:val="0"/>
              <w:spacing w:line="360" w:lineRule="auto"/>
              <w:ind w:firstLine="1320" w:firstLineChars="550"/>
              <w:rPr>
                <w:rFonts w:ascii="Times New Roman" w:hAnsi="Times New Roman"/>
                <w:color w:val="auto"/>
                <w:sz w:val="24"/>
                <w:szCs w:val="24"/>
              </w:rPr>
            </w:pPr>
            <w:r>
              <w:rPr>
                <w:rFonts w:hint="eastAsia" w:ascii="微软雅黑" w:hAnsi="微软雅黑" w:eastAsia="微软雅黑" w:cs="微软雅黑"/>
                <w:i/>
                <w:iCs/>
                <w:color w:val="auto"/>
                <w:sz w:val="24"/>
                <w:szCs w:val="24"/>
              </w:rPr>
              <w:t>α</w:t>
            </w:r>
            <w:r>
              <w:rPr>
                <w:rFonts w:ascii="Times New Roman" w:hAnsi="Times New Roman"/>
                <w:color w:val="auto"/>
                <w:sz w:val="24"/>
                <w:szCs w:val="24"/>
              </w:rPr>
              <w:t>——</w:t>
            </w:r>
            <w:r>
              <w:rPr>
                <w:rFonts w:hint="eastAsia" w:ascii="Times New Roman" w:hAnsi="Times New Roman"/>
                <w:color w:val="auto"/>
                <w:sz w:val="24"/>
                <w:szCs w:val="24"/>
              </w:rPr>
              <w:t>车间</w:t>
            </w:r>
            <w:r>
              <w:rPr>
                <w:rFonts w:ascii="Times New Roman" w:hAnsi="Times New Roman"/>
                <w:color w:val="auto"/>
                <w:sz w:val="24"/>
                <w:szCs w:val="24"/>
              </w:rPr>
              <w:t>平均吸声系数</w:t>
            </w:r>
            <w:r>
              <w:rPr>
                <w:rFonts w:hint="eastAsia" w:ascii="Times New Roman" w:hAnsi="Times New Roman"/>
                <w:color w:val="auto"/>
                <w:sz w:val="24"/>
                <w:szCs w:val="24"/>
              </w:rPr>
              <w:t>，取0.15</w:t>
            </w:r>
            <w:r>
              <w:rPr>
                <w:rFonts w:ascii="Times New Roman" w:hAnsi="Times New Roman"/>
                <w:color w:val="auto"/>
                <w:sz w:val="24"/>
                <w:szCs w:val="24"/>
              </w:rPr>
              <w:t>；</w:t>
            </w:r>
          </w:p>
          <w:p>
            <w:pPr>
              <w:adjustRightInd w:val="0"/>
              <w:snapToGrid w:val="0"/>
              <w:spacing w:line="360" w:lineRule="auto"/>
              <w:ind w:firstLine="1320" w:firstLineChars="550"/>
              <w:rPr>
                <w:rFonts w:ascii="Times New Roman" w:hAnsi="Times New Roman"/>
                <w:color w:val="auto"/>
                <w:sz w:val="24"/>
                <w:szCs w:val="24"/>
              </w:rPr>
            </w:pPr>
            <m:oMath>
              <m:sSub>
                <m:sSubPr>
                  <m:ctrlPr>
                    <w:rPr>
                      <w:rFonts w:ascii="Cambria Math" w:hAnsi="Cambria Math"/>
                      <w:i/>
                      <w:color w:val="auto"/>
                      <w:sz w:val="24"/>
                      <w:szCs w:val="24"/>
                    </w:rPr>
                  </m:ctrlPr>
                </m:sSubPr>
                <m:e>
                  <m:r>
                    <m:rPr/>
                    <w:rPr>
                      <w:rFonts w:ascii="Cambria Math" w:hAnsi="Cambria Math"/>
                      <w:color w:val="auto"/>
                      <w:sz w:val="24"/>
                      <w:szCs w:val="24"/>
                    </w:rPr>
                    <m:t>r</m:t>
                  </m:r>
                  <m:ctrlPr>
                    <w:rPr>
                      <w:rFonts w:ascii="Cambria Math" w:hAnsi="Cambria Math"/>
                      <w:i/>
                      <w:color w:val="auto"/>
                      <w:sz w:val="24"/>
                      <w:szCs w:val="24"/>
                    </w:rPr>
                  </m:ctrlPr>
                </m:e>
                <m:sub>
                  <m:r>
                    <m:rPr/>
                    <w:rPr>
                      <w:rFonts w:ascii="Cambria Math" w:hAnsi="Cambria Math"/>
                      <w:color w:val="auto"/>
                      <w:sz w:val="24"/>
                      <w:szCs w:val="24"/>
                    </w:rPr>
                    <m:t>0</m:t>
                  </m:r>
                  <m:ctrlPr>
                    <w:rPr>
                      <w:rFonts w:ascii="Cambria Math" w:hAnsi="Cambria Math"/>
                      <w:i/>
                      <w:color w:val="auto"/>
                      <w:sz w:val="24"/>
                      <w:szCs w:val="24"/>
                    </w:rPr>
                  </m:ctrlPr>
                </m:sub>
              </m:sSub>
            </m:oMath>
            <w:r>
              <w:rPr>
                <w:rFonts w:ascii="Times New Roman" w:hAnsi="Times New Roman"/>
                <w:color w:val="auto"/>
                <w:sz w:val="24"/>
                <w:szCs w:val="24"/>
              </w:rPr>
              <w:t>——</w:t>
            </w:r>
            <w:r>
              <w:rPr>
                <w:rFonts w:hint="eastAsia" w:ascii="Times New Roman" w:hAnsi="Times New Roman"/>
                <w:color w:val="auto"/>
                <w:sz w:val="24"/>
                <w:szCs w:val="24"/>
              </w:rPr>
              <w:t>参考位置</w:t>
            </w:r>
            <w:r>
              <w:rPr>
                <w:rFonts w:ascii="Times New Roman" w:hAnsi="Times New Roman"/>
                <w:color w:val="auto"/>
                <w:sz w:val="24"/>
                <w:szCs w:val="24"/>
              </w:rPr>
              <w:t>距</w:t>
            </w:r>
            <w:r>
              <w:rPr>
                <w:rFonts w:hint="eastAsia" w:ascii="Times New Roman" w:hAnsi="Times New Roman"/>
                <w:color w:val="auto"/>
                <w:sz w:val="24"/>
                <w:szCs w:val="24"/>
              </w:rPr>
              <w:t>声源</w:t>
            </w:r>
            <w:r>
              <w:rPr>
                <w:rFonts w:ascii="Times New Roman" w:hAnsi="Times New Roman"/>
                <w:color w:val="auto"/>
                <w:sz w:val="24"/>
                <w:szCs w:val="24"/>
              </w:rPr>
              <w:t>中心</w:t>
            </w:r>
            <w:r>
              <w:rPr>
                <w:rFonts w:hint="eastAsia" w:ascii="Times New Roman" w:hAnsi="Times New Roman"/>
                <w:color w:val="auto"/>
                <w:sz w:val="24"/>
                <w:szCs w:val="24"/>
              </w:rPr>
              <w:t>的距离</w:t>
            </w:r>
            <w:r>
              <w:rPr>
                <w:rFonts w:ascii="Times New Roman" w:hAnsi="Times New Roman"/>
                <w:color w:val="auto"/>
                <w:sz w:val="24"/>
                <w:szCs w:val="24"/>
              </w:rPr>
              <w:t>，m。</w:t>
            </w:r>
          </w:p>
          <w:p>
            <w:pPr>
              <w:pStyle w:val="2"/>
              <w:ind w:firstLine="480"/>
              <w:rPr>
                <w:rFonts w:ascii="Times New Roman" w:hAnsi="Times New Roman"/>
                <w:color w:val="auto"/>
                <w:sz w:val="24"/>
                <w:szCs w:val="24"/>
              </w:rPr>
            </w:pPr>
            <w:r>
              <w:rPr>
                <w:rFonts w:hint="eastAsia" w:ascii="宋体" w:hAnsi="宋体" w:cs="宋体"/>
                <w:color w:val="auto"/>
                <w:sz w:val="24"/>
                <w:szCs w:val="24"/>
              </w:rPr>
              <w:t>③</w:t>
            </w:r>
            <w:r>
              <w:rPr>
                <w:rFonts w:ascii="Times New Roman" w:hAnsi="Times New Roman"/>
                <w:color w:val="auto"/>
                <w:sz w:val="24"/>
                <w:szCs w:val="24"/>
              </w:rPr>
              <w:t>总声压级</w:t>
            </w:r>
          </w:p>
          <w:p>
            <w:pPr>
              <w:pStyle w:val="3"/>
              <w:numPr>
                <w:ilvl w:val="3"/>
                <w:numId w:val="0"/>
              </w:numPr>
              <w:jc w:val="center"/>
              <w:rPr>
                <w:color w:val="auto"/>
              </w:rPr>
            </w:pPr>
            <w:r>
              <w:rPr>
                <w:color w:val="auto"/>
              </w:rPr>
              <w:drawing>
                <wp:inline distT="0" distB="0" distL="0" distR="0">
                  <wp:extent cx="3048000" cy="447040"/>
                  <wp:effectExtent l="0" t="0" r="0" b="1079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noChangeArrowheads="1"/>
                          </pic:cNvPicPr>
                        </pic:nvPicPr>
                        <pic:blipFill>
                          <a:blip r:embed="rId27" cstate="print"/>
                          <a:srcRect/>
                          <a:stretch>
                            <a:fillRect/>
                          </a:stretch>
                        </pic:blipFill>
                        <pic:spPr>
                          <a:xfrm>
                            <a:off x="0" y="0"/>
                            <a:ext cx="3048000" cy="447040"/>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式中：</w:t>
            </w:r>
            <w:r>
              <w:rPr>
                <w:rFonts w:ascii="Times New Roman" w:hAnsi="Times New Roman"/>
                <w:i/>
                <w:iCs/>
                <w:color w:val="auto"/>
                <w:sz w:val="24"/>
                <w:szCs w:val="24"/>
              </w:rPr>
              <w:t>T</w:t>
            </w:r>
            <w:r>
              <w:rPr>
                <w:rFonts w:ascii="Times New Roman" w:hAnsi="Times New Roman"/>
                <w:color w:val="auto"/>
                <w:sz w:val="24"/>
                <w:szCs w:val="24"/>
              </w:rPr>
              <w:t>——计算等效声级的时间；</w:t>
            </w:r>
          </w:p>
          <w:p>
            <w:pPr>
              <w:adjustRightInd w:val="0"/>
              <w:snapToGrid w:val="0"/>
              <w:spacing w:line="360" w:lineRule="auto"/>
              <w:ind w:firstLine="1320" w:firstLineChars="550"/>
              <w:rPr>
                <w:rFonts w:ascii="Times New Roman" w:hAnsi="Times New Roman"/>
                <w:color w:val="auto"/>
                <w:sz w:val="24"/>
                <w:szCs w:val="24"/>
              </w:rPr>
            </w:pPr>
            <w:r>
              <w:rPr>
                <w:rFonts w:ascii="Times New Roman" w:hAnsi="Times New Roman"/>
                <w:i/>
                <w:iCs/>
                <w:color w:val="auto"/>
                <w:sz w:val="24"/>
                <w:szCs w:val="24"/>
              </w:rPr>
              <w:t>M</w:t>
            </w:r>
            <w:r>
              <w:rPr>
                <w:rFonts w:ascii="Times New Roman" w:hAnsi="Times New Roman"/>
                <w:color w:val="auto"/>
                <w:sz w:val="24"/>
                <w:szCs w:val="24"/>
              </w:rPr>
              <w:t>——室外声源个数；</w:t>
            </w:r>
          </w:p>
          <w:p>
            <w:pPr>
              <w:adjustRightInd w:val="0"/>
              <w:snapToGrid w:val="0"/>
              <w:spacing w:line="360" w:lineRule="auto"/>
              <w:ind w:firstLine="1320" w:firstLineChars="550"/>
              <w:rPr>
                <w:rFonts w:ascii="Times New Roman" w:hAnsi="Times New Roman"/>
                <w:color w:val="auto"/>
                <w:sz w:val="24"/>
                <w:szCs w:val="24"/>
              </w:rPr>
            </w:pPr>
            <w:r>
              <w:rPr>
                <w:rFonts w:ascii="Times New Roman" w:hAnsi="Times New Roman"/>
                <w:i/>
                <w:iCs/>
                <w:color w:val="auto"/>
                <w:sz w:val="24"/>
                <w:szCs w:val="24"/>
              </w:rPr>
              <w:t>N</w:t>
            </w:r>
            <w:r>
              <w:rPr>
                <w:rFonts w:ascii="Times New Roman" w:hAnsi="Times New Roman"/>
                <w:color w:val="auto"/>
                <w:sz w:val="24"/>
                <w:szCs w:val="24"/>
              </w:rPr>
              <w:t>——室内声源个数；</w:t>
            </w:r>
          </w:p>
          <w:p>
            <w:pPr>
              <w:adjustRightInd w:val="0"/>
              <w:snapToGrid w:val="0"/>
              <w:spacing w:line="360" w:lineRule="auto"/>
              <w:ind w:firstLine="1365" w:firstLineChars="650"/>
              <w:rPr>
                <w:rFonts w:ascii="Times New Roman" w:hAnsi="Times New Roman"/>
                <w:color w:val="auto"/>
                <w:sz w:val="24"/>
                <w:szCs w:val="24"/>
              </w:rPr>
            </w:pPr>
            <w:r>
              <w:rPr>
                <w:rFonts w:ascii="Times New Roman" w:hAnsi="Times New Roman"/>
                <w:color w:val="auto"/>
                <w:position w:val="-14"/>
              </w:rPr>
              <w:drawing>
                <wp:inline distT="0" distB="0" distL="0" distR="0">
                  <wp:extent cx="264160" cy="233680"/>
                  <wp:effectExtent l="0" t="0" r="2540" b="15875"/>
                  <wp:docPr id="4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pic:cNvPicPr>
                            <a:picLocks noChangeAspect="1" noChangeArrowheads="1"/>
                          </pic:cNvPicPr>
                        </pic:nvPicPr>
                        <pic:blipFill>
                          <a:blip r:embed="rId28" cstate="print"/>
                          <a:srcRect/>
                          <a:stretch>
                            <a:fillRect/>
                          </a:stretch>
                        </pic:blipFill>
                        <pic:spPr>
                          <a:xfrm>
                            <a:off x="0" y="0"/>
                            <a:ext cx="264160" cy="233680"/>
                          </a:xfrm>
                          <a:prstGeom prst="rect">
                            <a:avLst/>
                          </a:prstGeom>
                          <a:noFill/>
                          <a:ln w="9525">
                            <a:noFill/>
                            <a:miter lim="800000"/>
                            <a:headEnd/>
                            <a:tailEnd/>
                          </a:ln>
                        </pic:spPr>
                      </pic:pic>
                    </a:graphicData>
                  </a:graphic>
                </wp:inline>
              </w:drawing>
            </w:r>
            <w:r>
              <w:rPr>
                <w:rFonts w:ascii="Times New Roman" w:hAnsi="Times New Roman"/>
                <w:color w:val="auto"/>
                <w:sz w:val="24"/>
                <w:szCs w:val="24"/>
              </w:rPr>
              <w:t>——T时间内第i个室外声源的工作时间；</w:t>
            </w:r>
          </w:p>
          <w:p>
            <w:pPr>
              <w:adjustRightInd w:val="0"/>
              <w:snapToGrid w:val="0"/>
              <w:spacing w:line="360" w:lineRule="auto"/>
              <w:ind w:firstLine="1365" w:firstLineChars="650"/>
              <w:rPr>
                <w:rFonts w:ascii="Times New Roman" w:hAnsi="Times New Roman"/>
                <w:color w:val="auto"/>
                <w:sz w:val="24"/>
                <w:szCs w:val="24"/>
              </w:rPr>
            </w:pPr>
            <w:r>
              <w:rPr>
                <w:rFonts w:ascii="Times New Roman" w:hAnsi="Times New Roman"/>
                <w:color w:val="auto"/>
                <w:position w:val="-14"/>
              </w:rPr>
              <w:drawing>
                <wp:inline distT="0" distB="0" distL="0" distR="0">
                  <wp:extent cx="233680" cy="233680"/>
                  <wp:effectExtent l="0" t="0" r="13970" b="15875"/>
                  <wp:docPr id="4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pic:cNvPicPr>
                            <a:picLocks noChangeAspect="1" noChangeArrowheads="1"/>
                          </pic:cNvPicPr>
                        </pic:nvPicPr>
                        <pic:blipFill>
                          <a:blip r:embed="rId29" cstate="print"/>
                          <a:srcRect/>
                          <a:stretch>
                            <a:fillRect/>
                          </a:stretch>
                        </pic:blipFill>
                        <pic:spPr>
                          <a:xfrm>
                            <a:off x="0" y="0"/>
                            <a:ext cx="233680" cy="233680"/>
                          </a:xfrm>
                          <a:prstGeom prst="rect">
                            <a:avLst/>
                          </a:prstGeom>
                          <a:noFill/>
                          <a:ln w="9525">
                            <a:noFill/>
                            <a:miter lim="800000"/>
                            <a:headEnd/>
                            <a:tailEnd/>
                          </a:ln>
                        </pic:spPr>
                      </pic:pic>
                    </a:graphicData>
                  </a:graphic>
                </wp:inline>
              </w:drawing>
            </w:r>
            <w:r>
              <w:rPr>
                <w:rFonts w:ascii="Times New Roman" w:hAnsi="Times New Roman"/>
                <w:color w:val="auto"/>
                <w:sz w:val="24"/>
                <w:szCs w:val="24"/>
              </w:rPr>
              <w:t>——T时间内第j个室内声源的工作时间；</w:t>
            </w:r>
          </w:p>
          <w:p>
            <w:pPr>
              <w:adjustRightInd w:val="0"/>
              <w:snapToGrid w:val="0"/>
              <w:spacing w:line="360" w:lineRule="auto"/>
              <w:ind w:firstLine="1365" w:firstLineChars="650"/>
              <w:rPr>
                <w:rFonts w:ascii="Times New Roman" w:hAnsi="Times New Roman"/>
                <w:color w:val="auto"/>
              </w:rPr>
            </w:pPr>
            <w:r>
              <w:rPr>
                <w:rFonts w:ascii="Times New Roman" w:hAnsi="Times New Roman"/>
                <w:color w:val="auto"/>
                <w:position w:val="-12"/>
              </w:rPr>
              <w:drawing>
                <wp:inline distT="0" distB="0" distL="0" distR="0">
                  <wp:extent cx="203200" cy="233680"/>
                  <wp:effectExtent l="0" t="0" r="6350" b="15875"/>
                  <wp:docPr id="5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9"/>
                          <pic:cNvPicPr>
                            <a:picLocks noChangeAspect="1" noChangeArrowheads="1"/>
                          </pic:cNvPicPr>
                        </pic:nvPicPr>
                        <pic:blipFill>
                          <a:blip r:embed="rId30" cstate="print"/>
                          <a:srcRect/>
                          <a:stretch>
                            <a:fillRect/>
                          </a:stretch>
                        </pic:blipFill>
                        <pic:spPr>
                          <a:xfrm>
                            <a:off x="0" y="0"/>
                            <a:ext cx="203200" cy="233680"/>
                          </a:xfrm>
                          <a:prstGeom prst="rect">
                            <a:avLst/>
                          </a:prstGeom>
                          <a:noFill/>
                          <a:ln w="9525">
                            <a:noFill/>
                            <a:miter lim="800000"/>
                            <a:headEnd/>
                            <a:tailEnd/>
                          </a:ln>
                        </pic:spPr>
                      </pic:pic>
                    </a:graphicData>
                  </a:graphic>
                </wp:inline>
              </w:drawing>
            </w:r>
            <w:r>
              <w:rPr>
                <w:rFonts w:ascii="Times New Roman" w:hAnsi="Times New Roman"/>
                <w:color w:val="auto"/>
                <w:sz w:val="24"/>
                <w:szCs w:val="24"/>
              </w:rPr>
              <w:t>和</w:t>
            </w:r>
            <w:r>
              <w:rPr>
                <w:rFonts w:ascii="Times New Roman" w:hAnsi="Times New Roman"/>
                <w:color w:val="auto"/>
                <w:position w:val="-12"/>
              </w:rPr>
              <w:drawing>
                <wp:inline distT="0" distB="0" distL="0" distR="0">
                  <wp:extent cx="152400" cy="233680"/>
                  <wp:effectExtent l="0" t="0" r="0" b="0"/>
                  <wp:docPr id="4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图片 18"/>
                          <pic:cNvPicPr>
                            <a:picLocks noChangeAspect="1" noChangeArrowheads="1"/>
                          </pic:cNvPicPr>
                        </pic:nvPicPr>
                        <pic:blipFill>
                          <a:blip r:embed="rId31" cstate="print"/>
                          <a:srcRect/>
                          <a:stretch>
                            <a:fillRect/>
                          </a:stretch>
                        </pic:blipFill>
                        <pic:spPr>
                          <a:xfrm>
                            <a:off x="0" y="0"/>
                            <a:ext cx="152400" cy="233680"/>
                          </a:xfrm>
                          <a:prstGeom prst="rect">
                            <a:avLst/>
                          </a:prstGeom>
                          <a:noFill/>
                          <a:ln w="9525">
                            <a:noFill/>
                            <a:miter lim="800000"/>
                            <a:headEnd/>
                            <a:tailEnd/>
                          </a:ln>
                        </pic:spPr>
                      </pic:pic>
                    </a:graphicData>
                  </a:graphic>
                </wp:inline>
              </w:drawing>
            </w:r>
            <w:r>
              <w:rPr>
                <w:rFonts w:ascii="Times New Roman" w:hAnsi="Times New Roman"/>
                <w:color w:val="auto"/>
                <w:sz w:val="24"/>
                <w:szCs w:val="24"/>
              </w:rPr>
              <w:t>均按T时间内实际工作时间计算。</w:t>
            </w:r>
          </w:p>
          <w:p>
            <w:pPr>
              <w:widowControl w:val="0"/>
              <w:adjustRightInd w:val="0"/>
              <w:spacing w:line="360" w:lineRule="auto"/>
              <w:ind w:firstLine="480" w:firstLineChars="200"/>
              <w:jc w:val="both"/>
              <w:rPr>
                <w:rFonts w:ascii="Times New Roman" w:hAnsi="Times New Roman"/>
                <w:bCs/>
                <w:color w:val="auto"/>
                <w:sz w:val="24"/>
                <w:szCs w:val="24"/>
                <w:lang w:bidi="ar"/>
              </w:rPr>
            </w:pPr>
            <w:r>
              <w:rPr>
                <w:rFonts w:ascii="Times New Roman" w:hAnsi="Times New Roman"/>
                <w:bCs/>
                <w:color w:val="auto"/>
                <w:sz w:val="24"/>
                <w:szCs w:val="24"/>
                <w:lang w:bidi="ar"/>
              </w:rPr>
              <w:t>（3）预测结果及评价</w:t>
            </w:r>
          </w:p>
          <w:p>
            <w:pPr>
              <w:widowControl w:val="0"/>
              <w:adjustRightInd w:val="0"/>
              <w:spacing w:line="360" w:lineRule="auto"/>
              <w:ind w:firstLine="480" w:firstLineChars="200"/>
              <w:jc w:val="both"/>
              <w:rPr>
                <w:rFonts w:ascii="Times New Roman" w:hAnsi="Times New Roman"/>
                <w:b/>
                <w:color w:val="auto"/>
                <w:sz w:val="24"/>
                <w:szCs w:val="24"/>
              </w:rPr>
            </w:pPr>
            <w:r>
              <w:rPr>
                <w:rFonts w:ascii="Times New Roman" w:hAnsi="Times New Roman"/>
                <w:bCs/>
                <w:color w:val="auto"/>
                <w:sz w:val="24"/>
                <w:szCs w:val="24"/>
                <w:lang w:bidi="ar"/>
              </w:rPr>
              <w:t>预测按照采取环评治理措施后的影响进行计算，噪声源按照功能分区进行合成后，进行厂界噪声预测；厂界噪声预测结果见表</w:t>
            </w:r>
            <w:r>
              <w:rPr>
                <w:rFonts w:hint="eastAsia" w:ascii="Times New Roman" w:hAnsi="Times New Roman"/>
                <w:bCs/>
                <w:color w:val="auto"/>
                <w:sz w:val="24"/>
                <w:szCs w:val="24"/>
                <w:lang w:bidi="ar"/>
              </w:rPr>
              <w:t>31</w:t>
            </w:r>
            <w:r>
              <w:rPr>
                <w:rFonts w:ascii="Times New Roman" w:hAnsi="Times New Roman"/>
                <w:bCs/>
                <w:color w:val="auto"/>
                <w:sz w:val="24"/>
                <w:szCs w:val="24"/>
                <w:lang w:bidi="ar"/>
              </w:rPr>
              <w:t>。</w:t>
            </w:r>
          </w:p>
          <w:p>
            <w:pPr>
              <w:widowControl w:val="0"/>
              <w:numPr>
                <w:ilvl w:val="0"/>
                <w:numId w:val="13"/>
              </w:numPr>
              <w:jc w:val="right"/>
              <w:rPr>
                <w:rFonts w:ascii="Times New Roman" w:hAnsi="Times New Roman"/>
                <w:b/>
                <w:color w:val="auto"/>
                <w:sz w:val="24"/>
                <w:szCs w:val="24"/>
              </w:rPr>
            </w:pPr>
            <w:r>
              <w:rPr>
                <w:rFonts w:ascii="Times New Roman" w:hAnsi="Times New Roman"/>
                <w:b/>
                <w:color w:val="auto"/>
                <w:sz w:val="24"/>
                <w:szCs w:val="24"/>
              </w:rPr>
              <w:t xml:space="preserve">厂界噪声预测结果表         单位：dB(A)             </w:t>
            </w:r>
          </w:p>
          <w:tbl>
            <w:tblPr>
              <w:tblStyle w:val="9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723"/>
              <w:gridCol w:w="663"/>
              <w:gridCol w:w="846"/>
              <w:gridCol w:w="971"/>
              <w:gridCol w:w="736"/>
              <w:gridCol w:w="725"/>
              <w:gridCol w:w="582"/>
              <w:gridCol w:w="54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0" w:type="pct"/>
                  <w:vMerge w:val="restart"/>
                  <w:vAlign w:val="center"/>
                </w:tcPr>
                <w:p>
                  <w:pPr>
                    <w:widowControl w:val="0"/>
                    <w:jc w:val="center"/>
                    <w:rPr>
                      <w:rFonts w:ascii="Times New Roman" w:hAnsi="Times New Roman"/>
                      <w:b/>
                      <w:bCs/>
                      <w:color w:val="auto"/>
                      <w:szCs w:val="21"/>
                    </w:rPr>
                  </w:pPr>
                  <w:r>
                    <w:rPr>
                      <w:rFonts w:ascii="Times New Roman" w:hAnsi="Times New Roman"/>
                      <w:b/>
                      <w:bCs/>
                      <w:color w:val="auto"/>
                      <w:szCs w:val="21"/>
                    </w:rPr>
                    <w:t>厂界</w:t>
                  </w:r>
                </w:p>
              </w:tc>
              <w:tc>
                <w:tcPr>
                  <w:tcW w:w="838" w:type="pct"/>
                  <w:gridSpan w:val="2"/>
                  <w:vAlign w:val="center"/>
                </w:tcPr>
                <w:p>
                  <w:pPr>
                    <w:widowControl w:val="0"/>
                    <w:jc w:val="center"/>
                    <w:rPr>
                      <w:rFonts w:ascii="Times New Roman" w:hAnsi="Times New Roman"/>
                      <w:b/>
                      <w:bCs/>
                      <w:color w:val="auto"/>
                      <w:szCs w:val="21"/>
                    </w:rPr>
                  </w:pPr>
                  <w:r>
                    <w:rPr>
                      <w:rFonts w:ascii="Times New Roman" w:hAnsi="Times New Roman"/>
                      <w:b/>
                      <w:bCs/>
                      <w:color w:val="auto"/>
                      <w:szCs w:val="21"/>
                    </w:rPr>
                    <w:t>贡献值</w:t>
                  </w:r>
                </w:p>
              </w:tc>
              <w:tc>
                <w:tcPr>
                  <w:tcW w:w="1098" w:type="pct"/>
                  <w:gridSpan w:val="2"/>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现有工程排放值</w:t>
                  </w:r>
                </w:p>
              </w:tc>
              <w:tc>
                <w:tcPr>
                  <w:tcW w:w="883" w:type="pct"/>
                  <w:gridSpan w:val="2"/>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叠加排放值</w:t>
                  </w:r>
                </w:p>
              </w:tc>
              <w:tc>
                <w:tcPr>
                  <w:tcW w:w="678" w:type="pct"/>
                  <w:gridSpan w:val="2"/>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标准限值</w:t>
                  </w:r>
                </w:p>
              </w:tc>
              <w:tc>
                <w:tcPr>
                  <w:tcW w:w="668" w:type="pct"/>
                  <w:vMerge w:val="restart"/>
                  <w:vAlign w:val="center"/>
                </w:tcPr>
                <w:p>
                  <w:pPr>
                    <w:widowControl w:val="0"/>
                    <w:jc w:val="both"/>
                    <w:rPr>
                      <w:rFonts w:ascii="Times New Roman" w:hAnsi="Times New Roman"/>
                      <w:b/>
                      <w:bCs/>
                      <w:color w:val="auto"/>
                      <w:szCs w:val="21"/>
                    </w:rPr>
                  </w:pPr>
                  <w:r>
                    <w:rPr>
                      <w:rFonts w:ascii="Times New Roman" w:hAnsi="Times New Roman"/>
                      <w:b/>
                      <w:bCs/>
                      <w:color w:val="auto"/>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30" w:type="pct"/>
                  <w:vMerge w:val="continue"/>
                  <w:vAlign w:val="center"/>
                </w:tcPr>
                <w:p>
                  <w:pPr>
                    <w:widowControl w:val="0"/>
                    <w:jc w:val="center"/>
                    <w:rPr>
                      <w:rFonts w:ascii="Times New Roman" w:hAnsi="Times New Roman"/>
                      <w:b/>
                      <w:bCs/>
                      <w:color w:val="auto"/>
                      <w:szCs w:val="21"/>
                    </w:rPr>
                  </w:pPr>
                </w:p>
              </w:tc>
              <w:tc>
                <w:tcPr>
                  <w:tcW w:w="437"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昼</w:t>
                  </w:r>
                </w:p>
              </w:tc>
              <w:tc>
                <w:tcPr>
                  <w:tcW w:w="401"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夜</w:t>
                  </w:r>
                </w:p>
              </w:tc>
              <w:tc>
                <w:tcPr>
                  <w:tcW w:w="511"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昼</w:t>
                  </w:r>
                </w:p>
              </w:tc>
              <w:tc>
                <w:tcPr>
                  <w:tcW w:w="587"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夜</w:t>
                  </w:r>
                </w:p>
              </w:tc>
              <w:tc>
                <w:tcPr>
                  <w:tcW w:w="445"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昼</w:t>
                  </w:r>
                </w:p>
              </w:tc>
              <w:tc>
                <w:tcPr>
                  <w:tcW w:w="437"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夜</w:t>
                  </w:r>
                </w:p>
              </w:tc>
              <w:tc>
                <w:tcPr>
                  <w:tcW w:w="352"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昼</w:t>
                  </w:r>
                </w:p>
              </w:tc>
              <w:tc>
                <w:tcPr>
                  <w:tcW w:w="325" w:type="pct"/>
                  <w:vAlign w:val="center"/>
                </w:tcPr>
                <w:p>
                  <w:pPr>
                    <w:widowControl w:val="0"/>
                    <w:snapToGrid w:val="0"/>
                    <w:jc w:val="center"/>
                    <w:rPr>
                      <w:rFonts w:ascii="Times New Roman" w:hAnsi="Times New Roman"/>
                      <w:b/>
                      <w:bCs/>
                      <w:color w:val="auto"/>
                      <w:szCs w:val="21"/>
                    </w:rPr>
                  </w:pPr>
                  <w:r>
                    <w:rPr>
                      <w:rFonts w:ascii="Times New Roman" w:hAnsi="Times New Roman"/>
                      <w:b/>
                      <w:bCs/>
                      <w:color w:val="auto"/>
                      <w:szCs w:val="21"/>
                    </w:rPr>
                    <w:t>夜</w:t>
                  </w:r>
                </w:p>
              </w:tc>
              <w:tc>
                <w:tcPr>
                  <w:tcW w:w="668" w:type="pct"/>
                  <w:vMerge w:val="continue"/>
                  <w:vAlign w:val="center"/>
                </w:tcPr>
                <w:p>
                  <w:pPr>
                    <w:widowControl w:val="0"/>
                    <w:jc w:val="center"/>
                    <w:rPr>
                      <w:rFonts w:ascii="Times New Roman" w:hAnsi="Times New Roman"/>
                      <w:b/>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30" w:type="pct"/>
                  <w:vAlign w:val="center"/>
                </w:tcPr>
                <w:p>
                  <w:pPr>
                    <w:spacing w:line="300" w:lineRule="exact"/>
                    <w:jc w:val="center"/>
                    <w:rPr>
                      <w:rFonts w:ascii="Times New Roman" w:hAnsi="Times New Roman"/>
                      <w:color w:val="auto"/>
                      <w:szCs w:val="21"/>
                    </w:rPr>
                  </w:pPr>
                  <w:r>
                    <w:rPr>
                      <w:rFonts w:ascii="Times New Roman" w:hAnsi="Times New Roman"/>
                      <w:color w:val="auto"/>
                    </w:rPr>
                    <w:t>西厂界1#</w:t>
                  </w:r>
                </w:p>
              </w:tc>
              <w:tc>
                <w:tcPr>
                  <w:tcW w:w="838" w:type="pct"/>
                  <w:gridSpan w:val="2"/>
                  <w:vAlign w:val="center"/>
                </w:tcPr>
                <w:p>
                  <w:pPr>
                    <w:spacing w:line="300" w:lineRule="exact"/>
                    <w:jc w:val="center"/>
                    <w:rPr>
                      <w:rFonts w:ascii="Times New Roman" w:hAnsi="Times New Roman"/>
                      <w:color w:val="auto"/>
                      <w:kern w:val="0"/>
                      <w:szCs w:val="21"/>
                      <w:lang w:bidi="ar"/>
                    </w:rPr>
                  </w:pPr>
                  <w:r>
                    <w:rPr>
                      <w:rFonts w:hint="eastAsia" w:ascii="Times New Roman" w:hAnsi="Times New Roman"/>
                      <w:color w:val="auto"/>
                      <w:kern w:val="0"/>
                      <w:szCs w:val="21"/>
                      <w:lang w:bidi="ar"/>
                    </w:rPr>
                    <w:t>37</w:t>
                  </w:r>
                </w:p>
              </w:tc>
              <w:tc>
                <w:tcPr>
                  <w:tcW w:w="511" w:type="pct"/>
                  <w:vAlign w:val="center"/>
                </w:tcPr>
                <w:p>
                  <w:pPr>
                    <w:spacing w:line="300" w:lineRule="exact"/>
                    <w:jc w:val="center"/>
                    <w:rPr>
                      <w:rFonts w:ascii="Times New Roman" w:hAnsi="Times New Roman"/>
                      <w:color w:val="auto"/>
                      <w:szCs w:val="21"/>
                    </w:rPr>
                  </w:pPr>
                  <w:r>
                    <w:rPr>
                      <w:rFonts w:ascii="Times New Roman" w:hAnsi="Times New Roman"/>
                      <w:color w:val="auto"/>
                      <w:szCs w:val="21"/>
                    </w:rPr>
                    <w:t>51</w:t>
                  </w:r>
                </w:p>
              </w:tc>
              <w:tc>
                <w:tcPr>
                  <w:tcW w:w="587" w:type="pct"/>
                  <w:vAlign w:val="center"/>
                </w:tcPr>
                <w:p>
                  <w:pPr>
                    <w:spacing w:line="300" w:lineRule="exact"/>
                    <w:jc w:val="center"/>
                    <w:rPr>
                      <w:rFonts w:ascii="Times New Roman" w:hAnsi="Times New Roman"/>
                      <w:color w:val="auto"/>
                      <w:szCs w:val="21"/>
                    </w:rPr>
                  </w:pPr>
                  <w:r>
                    <w:rPr>
                      <w:rFonts w:ascii="Times New Roman" w:hAnsi="Times New Roman"/>
                      <w:color w:val="auto"/>
                      <w:szCs w:val="21"/>
                    </w:rPr>
                    <w:t>46</w:t>
                  </w:r>
                </w:p>
              </w:tc>
              <w:tc>
                <w:tcPr>
                  <w:tcW w:w="445"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51.2</w:t>
                  </w:r>
                </w:p>
              </w:tc>
              <w:tc>
                <w:tcPr>
                  <w:tcW w:w="437"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46.5</w:t>
                  </w:r>
                </w:p>
              </w:tc>
              <w:tc>
                <w:tcPr>
                  <w:tcW w:w="352" w:type="pct"/>
                  <w:vAlign w:val="center"/>
                </w:tcPr>
                <w:p>
                  <w:pPr>
                    <w:widowControl w:val="0"/>
                    <w:jc w:val="center"/>
                    <w:rPr>
                      <w:rFonts w:ascii="Times New Roman" w:hAnsi="Times New Roman"/>
                      <w:color w:val="auto"/>
                      <w:szCs w:val="21"/>
                    </w:rPr>
                  </w:pPr>
                  <w:r>
                    <w:rPr>
                      <w:rFonts w:ascii="Times New Roman" w:hAnsi="Times New Roman"/>
                      <w:color w:val="auto"/>
                      <w:szCs w:val="21"/>
                    </w:rPr>
                    <w:t>65</w:t>
                  </w:r>
                </w:p>
              </w:tc>
              <w:tc>
                <w:tcPr>
                  <w:tcW w:w="325" w:type="pct"/>
                  <w:vAlign w:val="center"/>
                </w:tcPr>
                <w:p>
                  <w:pPr>
                    <w:widowControl w:val="0"/>
                    <w:jc w:val="center"/>
                    <w:rPr>
                      <w:rFonts w:ascii="Times New Roman" w:hAnsi="Times New Roman"/>
                      <w:color w:val="auto"/>
                      <w:szCs w:val="21"/>
                    </w:rPr>
                  </w:pPr>
                  <w:r>
                    <w:rPr>
                      <w:rFonts w:ascii="Times New Roman" w:hAnsi="Times New Roman"/>
                      <w:color w:val="auto"/>
                      <w:szCs w:val="21"/>
                    </w:rPr>
                    <w:t>55</w:t>
                  </w:r>
                </w:p>
              </w:tc>
              <w:tc>
                <w:tcPr>
                  <w:tcW w:w="668" w:type="pct"/>
                  <w:vAlign w:val="center"/>
                </w:tcPr>
                <w:p>
                  <w:pPr>
                    <w:widowControl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30" w:type="pct"/>
                  <w:vAlign w:val="center"/>
                </w:tcPr>
                <w:p>
                  <w:pPr>
                    <w:spacing w:line="300" w:lineRule="exact"/>
                    <w:jc w:val="center"/>
                    <w:rPr>
                      <w:rFonts w:ascii="Times New Roman" w:hAnsi="Times New Roman"/>
                      <w:color w:val="auto"/>
                      <w:szCs w:val="21"/>
                    </w:rPr>
                  </w:pPr>
                  <w:r>
                    <w:rPr>
                      <w:rFonts w:ascii="Times New Roman" w:hAnsi="Times New Roman"/>
                      <w:color w:val="auto"/>
                    </w:rPr>
                    <w:t>北厂界2#</w:t>
                  </w:r>
                </w:p>
              </w:tc>
              <w:tc>
                <w:tcPr>
                  <w:tcW w:w="838" w:type="pct"/>
                  <w:gridSpan w:val="2"/>
                  <w:vAlign w:val="center"/>
                </w:tcPr>
                <w:p>
                  <w:pPr>
                    <w:spacing w:line="300" w:lineRule="exact"/>
                    <w:jc w:val="center"/>
                    <w:rPr>
                      <w:rFonts w:ascii="Times New Roman" w:hAnsi="Times New Roman"/>
                      <w:color w:val="auto"/>
                      <w:kern w:val="0"/>
                      <w:szCs w:val="21"/>
                      <w:lang w:bidi="ar"/>
                    </w:rPr>
                  </w:pPr>
                  <w:r>
                    <w:rPr>
                      <w:rFonts w:hint="eastAsia" w:ascii="Times New Roman" w:hAnsi="Times New Roman"/>
                      <w:color w:val="auto"/>
                      <w:kern w:val="0"/>
                      <w:szCs w:val="21"/>
                      <w:lang w:bidi="ar"/>
                    </w:rPr>
                    <w:t>31</w:t>
                  </w:r>
                </w:p>
              </w:tc>
              <w:tc>
                <w:tcPr>
                  <w:tcW w:w="511" w:type="pct"/>
                  <w:vAlign w:val="center"/>
                </w:tcPr>
                <w:p>
                  <w:pPr>
                    <w:spacing w:line="300" w:lineRule="exact"/>
                    <w:jc w:val="center"/>
                    <w:rPr>
                      <w:rFonts w:ascii="Times New Roman" w:hAnsi="Times New Roman"/>
                      <w:color w:val="auto"/>
                      <w:szCs w:val="21"/>
                    </w:rPr>
                  </w:pPr>
                  <w:r>
                    <w:rPr>
                      <w:rFonts w:ascii="Times New Roman" w:hAnsi="Times New Roman"/>
                      <w:color w:val="auto"/>
                      <w:szCs w:val="21"/>
                    </w:rPr>
                    <w:t>50</w:t>
                  </w:r>
                </w:p>
              </w:tc>
              <w:tc>
                <w:tcPr>
                  <w:tcW w:w="587" w:type="pct"/>
                  <w:vAlign w:val="center"/>
                </w:tcPr>
                <w:p>
                  <w:pPr>
                    <w:spacing w:line="300" w:lineRule="exact"/>
                    <w:jc w:val="center"/>
                    <w:rPr>
                      <w:rFonts w:ascii="Times New Roman" w:hAnsi="Times New Roman"/>
                      <w:color w:val="auto"/>
                      <w:szCs w:val="21"/>
                    </w:rPr>
                  </w:pPr>
                  <w:r>
                    <w:rPr>
                      <w:rFonts w:ascii="Times New Roman" w:hAnsi="Times New Roman"/>
                      <w:color w:val="auto"/>
                    </w:rPr>
                    <w:t>45</w:t>
                  </w:r>
                </w:p>
              </w:tc>
              <w:tc>
                <w:tcPr>
                  <w:tcW w:w="445"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50.1</w:t>
                  </w:r>
                </w:p>
              </w:tc>
              <w:tc>
                <w:tcPr>
                  <w:tcW w:w="437"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45.2</w:t>
                  </w:r>
                </w:p>
              </w:tc>
              <w:tc>
                <w:tcPr>
                  <w:tcW w:w="352" w:type="pct"/>
                  <w:vAlign w:val="center"/>
                </w:tcPr>
                <w:p>
                  <w:pPr>
                    <w:widowControl w:val="0"/>
                    <w:jc w:val="center"/>
                    <w:rPr>
                      <w:rFonts w:ascii="Times New Roman" w:hAnsi="Times New Roman"/>
                      <w:color w:val="auto"/>
                      <w:szCs w:val="21"/>
                    </w:rPr>
                  </w:pPr>
                  <w:r>
                    <w:rPr>
                      <w:rFonts w:ascii="Times New Roman" w:hAnsi="Times New Roman"/>
                      <w:color w:val="auto"/>
                      <w:szCs w:val="21"/>
                    </w:rPr>
                    <w:t>65</w:t>
                  </w:r>
                </w:p>
              </w:tc>
              <w:tc>
                <w:tcPr>
                  <w:tcW w:w="325" w:type="pct"/>
                  <w:vAlign w:val="center"/>
                </w:tcPr>
                <w:p>
                  <w:pPr>
                    <w:widowControl w:val="0"/>
                    <w:jc w:val="center"/>
                    <w:rPr>
                      <w:rFonts w:ascii="Times New Roman" w:hAnsi="Times New Roman"/>
                      <w:color w:val="auto"/>
                      <w:szCs w:val="21"/>
                    </w:rPr>
                  </w:pPr>
                  <w:r>
                    <w:rPr>
                      <w:rFonts w:ascii="Times New Roman" w:hAnsi="Times New Roman"/>
                      <w:color w:val="auto"/>
                      <w:szCs w:val="21"/>
                    </w:rPr>
                    <w:t>55</w:t>
                  </w:r>
                </w:p>
              </w:tc>
              <w:tc>
                <w:tcPr>
                  <w:tcW w:w="668" w:type="pct"/>
                  <w:vAlign w:val="center"/>
                </w:tcPr>
                <w:p>
                  <w:pPr>
                    <w:widowControl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30" w:type="pct"/>
                  <w:vAlign w:val="center"/>
                </w:tcPr>
                <w:p>
                  <w:pPr>
                    <w:spacing w:line="300" w:lineRule="exact"/>
                    <w:jc w:val="center"/>
                    <w:rPr>
                      <w:rFonts w:ascii="Times New Roman" w:hAnsi="Times New Roman"/>
                      <w:color w:val="auto"/>
                      <w:szCs w:val="21"/>
                    </w:rPr>
                  </w:pPr>
                  <w:r>
                    <w:rPr>
                      <w:rFonts w:ascii="Times New Roman" w:hAnsi="Times New Roman"/>
                      <w:color w:val="auto"/>
                    </w:rPr>
                    <w:t>东厂界3#</w:t>
                  </w:r>
                </w:p>
              </w:tc>
              <w:tc>
                <w:tcPr>
                  <w:tcW w:w="838" w:type="pct"/>
                  <w:gridSpan w:val="2"/>
                  <w:vAlign w:val="center"/>
                </w:tcPr>
                <w:p>
                  <w:pPr>
                    <w:spacing w:line="300" w:lineRule="exact"/>
                    <w:jc w:val="center"/>
                    <w:rPr>
                      <w:rFonts w:ascii="Times New Roman" w:hAnsi="Times New Roman"/>
                      <w:color w:val="auto"/>
                      <w:kern w:val="0"/>
                      <w:szCs w:val="21"/>
                      <w:lang w:bidi="ar"/>
                    </w:rPr>
                  </w:pPr>
                  <w:r>
                    <w:rPr>
                      <w:rFonts w:hint="eastAsia" w:ascii="Times New Roman" w:hAnsi="Times New Roman"/>
                      <w:color w:val="auto"/>
                      <w:kern w:val="0"/>
                      <w:szCs w:val="21"/>
                      <w:lang w:bidi="ar"/>
                    </w:rPr>
                    <w:t>37</w:t>
                  </w:r>
                </w:p>
              </w:tc>
              <w:tc>
                <w:tcPr>
                  <w:tcW w:w="511" w:type="pct"/>
                  <w:vAlign w:val="center"/>
                </w:tcPr>
                <w:p>
                  <w:pPr>
                    <w:spacing w:line="300" w:lineRule="exact"/>
                    <w:jc w:val="center"/>
                    <w:rPr>
                      <w:rFonts w:ascii="Times New Roman" w:hAnsi="Times New Roman"/>
                      <w:color w:val="auto"/>
                      <w:szCs w:val="21"/>
                    </w:rPr>
                  </w:pPr>
                  <w:r>
                    <w:rPr>
                      <w:rFonts w:ascii="Times New Roman" w:hAnsi="Times New Roman"/>
                      <w:color w:val="auto"/>
                    </w:rPr>
                    <w:t>51</w:t>
                  </w:r>
                </w:p>
              </w:tc>
              <w:tc>
                <w:tcPr>
                  <w:tcW w:w="587" w:type="pct"/>
                  <w:vAlign w:val="center"/>
                </w:tcPr>
                <w:p>
                  <w:pPr>
                    <w:spacing w:line="300" w:lineRule="exact"/>
                    <w:jc w:val="center"/>
                    <w:rPr>
                      <w:rFonts w:ascii="Times New Roman" w:hAnsi="Times New Roman"/>
                      <w:color w:val="auto"/>
                      <w:szCs w:val="21"/>
                    </w:rPr>
                  </w:pPr>
                  <w:r>
                    <w:rPr>
                      <w:rFonts w:ascii="Times New Roman" w:hAnsi="Times New Roman"/>
                      <w:color w:val="auto"/>
                    </w:rPr>
                    <w:t>46</w:t>
                  </w:r>
                </w:p>
              </w:tc>
              <w:tc>
                <w:tcPr>
                  <w:tcW w:w="445"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51.2</w:t>
                  </w:r>
                </w:p>
              </w:tc>
              <w:tc>
                <w:tcPr>
                  <w:tcW w:w="437"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46.5</w:t>
                  </w:r>
                </w:p>
              </w:tc>
              <w:tc>
                <w:tcPr>
                  <w:tcW w:w="352" w:type="pct"/>
                  <w:vAlign w:val="center"/>
                </w:tcPr>
                <w:p>
                  <w:pPr>
                    <w:widowControl w:val="0"/>
                    <w:jc w:val="center"/>
                    <w:rPr>
                      <w:rFonts w:ascii="Times New Roman" w:hAnsi="Times New Roman"/>
                      <w:color w:val="auto"/>
                      <w:szCs w:val="21"/>
                    </w:rPr>
                  </w:pPr>
                  <w:r>
                    <w:rPr>
                      <w:rFonts w:ascii="Times New Roman" w:hAnsi="Times New Roman"/>
                      <w:color w:val="auto"/>
                      <w:szCs w:val="21"/>
                    </w:rPr>
                    <w:t>65</w:t>
                  </w:r>
                </w:p>
              </w:tc>
              <w:tc>
                <w:tcPr>
                  <w:tcW w:w="325" w:type="pct"/>
                  <w:vAlign w:val="center"/>
                </w:tcPr>
                <w:p>
                  <w:pPr>
                    <w:widowControl w:val="0"/>
                    <w:jc w:val="center"/>
                    <w:rPr>
                      <w:rFonts w:ascii="Times New Roman" w:hAnsi="Times New Roman"/>
                      <w:color w:val="auto"/>
                      <w:szCs w:val="21"/>
                    </w:rPr>
                  </w:pPr>
                  <w:r>
                    <w:rPr>
                      <w:rFonts w:ascii="Times New Roman" w:hAnsi="Times New Roman"/>
                      <w:color w:val="auto"/>
                      <w:szCs w:val="21"/>
                    </w:rPr>
                    <w:t>55</w:t>
                  </w:r>
                </w:p>
              </w:tc>
              <w:tc>
                <w:tcPr>
                  <w:tcW w:w="668" w:type="pct"/>
                  <w:vAlign w:val="center"/>
                </w:tcPr>
                <w:p>
                  <w:pPr>
                    <w:widowControl w:val="0"/>
                    <w:jc w:val="center"/>
                    <w:rPr>
                      <w:rFonts w:ascii="Times New Roman" w:hAnsi="Times New Roman"/>
                      <w:color w:val="auto"/>
                      <w:szCs w:val="21"/>
                    </w:rPr>
                  </w:pPr>
                  <w:r>
                    <w:rPr>
                      <w:rFonts w:ascii="Times New Roman" w:hAnsi="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30" w:type="pct"/>
                  <w:vAlign w:val="center"/>
                </w:tcPr>
                <w:p>
                  <w:pPr>
                    <w:spacing w:line="300" w:lineRule="exact"/>
                    <w:jc w:val="center"/>
                    <w:rPr>
                      <w:rFonts w:ascii="Times New Roman" w:hAnsi="Times New Roman"/>
                      <w:color w:val="auto"/>
                      <w:szCs w:val="21"/>
                    </w:rPr>
                  </w:pPr>
                  <w:r>
                    <w:rPr>
                      <w:rFonts w:ascii="Times New Roman" w:hAnsi="Times New Roman"/>
                      <w:color w:val="auto"/>
                    </w:rPr>
                    <w:t>南厂界4#</w:t>
                  </w:r>
                </w:p>
              </w:tc>
              <w:tc>
                <w:tcPr>
                  <w:tcW w:w="838" w:type="pct"/>
                  <w:gridSpan w:val="2"/>
                  <w:vAlign w:val="center"/>
                </w:tcPr>
                <w:p>
                  <w:pPr>
                    <w:spacing w:line="300" w:lineRule="exact"/>
                    <w:jc w:val="center"/>
                    <w:rPr>
                      <w:rFonts w:ascii="Times New Roman" w:hAnsi="Times New Roman"/>
                      <w:color w:val="auto"/>
                      <w:kern w:val="0"/>
                      <w:szCs w:val="21"/>
                      <w:lang w:bidi="ar"/>
                    </w:rPr>
                  </w:pPr>
                  <w:r>
                    <w:rPr>
                      <w:rFonts w:hint="eastAsia" w:ascii="Times New Roman" w:hAnsi="Times New Roman"/>
                      <w:color w:val="auto"/>
                      <w:kern w:val="0"/>
                      <w:szCs w:val="21"/>
                      <w:lang w:bidi="ar"/>
                    </w:rPr>
                    <w:t>41</w:t>
                  </w:r>
                </w:p>
              </w:tc>
              <w:tc>
                <w:tcPr>
                  <w:tcW w:w="511" w:type="pct"/>
                  <w:vAlign w:val="center"/>
                </w:tcPr>
                <w:p>
                  <w:pPr>
                    <w:spacing w:line="300" w:lineRule="exact"/>
                    <w:jc w:val="center"/>
                    <w:rPr>
                      <w:rFonts w:ascii="Times New Roman" w:hAnsi="Times New Roman"/>
                      <w:color w:val="auto"/>
                      <w:szCs w:val="21"/>
                    </w:rPr>
                  </w:pPr>
                  <w:r>
                    <w:rPr>
                      <w:rFonts w:ascii="Times New Roman" w:hAnsi="Times New Roman"/>
                      <w:color w:val="auto"/>
                      <w:szCs w:val="21"/>
                    </w:rPr>
                    <w:t>52</w:t>
                  </w:r>
                </w:p>
              </w:tc>
              <w:tc>
                <w:tcPr>
                  <w:tcW w:w="587" w:type="pct"/>
                  <w:vAlign w:val="center"/>
                </w:tcPr>
                <w:p>
                  <w:pPr>
                    <w:spacing w:line="300" w:lineRule="exact"/>
                    <w:jc w:val="center"/>
                    <w:rPr>
                      <w:rFonts w:ascii="Times New Roman" w:hAnsi="Times New Roman"/>
                      <w:color w:val="auto"/>
                      <w:szCs w:val="21"/>
                    </w:rPr>
                  </w:pPr>
                  <w:r>
                    <w:rPr>
                      <w:rFonts w:ascii="Times New Roman" w:hAnsi="Times New Roman"/>
                      <w:color w:val="auto"/>
                    </w:rPr>
                    <w:t>48</w:t>
                  </w:r>
                </w:p>
              </w:tc>
              <w:tc>
                <w:tcPr>
                  <w:tcW w:w="445"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52.3</w:t>
                  </w:r>
                </w:p>
              </w:tc>
              <w:tc>
                <w:tcPr>
                  <w:tcW w:w="437" w:type="pct"/>
                  <w:vAlign w:val="center"/>
                </w:tcPr>
                <w:p>
                  <w:pPr>
                    <w:spacing w:line="300" w:lineRule="exact"/>
                    <w:jc w:val="center"/>
                    <w:rPr>
                      <w:rFonts w:ascii="Times New Roman" w:hAnsi="Times New Roman"/>
                      <w:color w:val="auto"/>
                      <w:szCs w:val="21"/>
                    </w:rPr>
                  </w:pPr>
                  <w:r>
                    <w:rPr>
                      <w:rFonts w:hint="eastAsia" w:ascii="Times New Roman" w:hAnsi="Times New Roman"/>
                      <w:color w:val="auto"/>
                      <w:szCs w:val="21"/>
                    </w:rPr>
                    <w:t>48.8</w:t>
                  </w:r>
                </w:p>
              </w:tc>
              <w:tc>
                <w:tcPr>
                  <w:tcW w:w="352" w:type="pct"/>
                  <w:vAlign w:val="center"/>
                </w:tcPr>
                <w:p>
                  <w:pPr>
                    <w:widowControl w:val="0"/>
                    <w:jc w:val="center"/>
                    <w:rPr>
                      <w:rFonts w:ascii="Times New Roman" w:hAnsi="Times New Roman"/>
                      <w:color w:val="auto"/>
                      <w:szCs w:val="21"/>
                    </w:rPr>
                  </w:pPr>
                  <w:r>
                    <w:rPr>
                      <w:rFonts w:ascii="Times New Roman" w:hAnsi="Times New Roman"/>
                      <w:color w:val="auto"/>
                      <w:szCs w:val="21"/>
                    </w:rPr>
                    <w:t>65</w:t>
                  </w:r>
                </w:p>
              </w:tc>
              <w:tc>
                <w:tcPr>
                  <w:tcW w:w="325" w:type="pct"/>
                  <w:vAlign w:val="center"/>
                </w:tcPr>
                <w:p>
                  <w:pPr>
                    <w:widowControl w:val="0"/>
                    <w:jc w:val="center"/>
                    <w:rPr>
                      <w:rFonts w:ascii="Times New Roman" w:hAnsi="Times New Roman"/>
                      <w:color w:val="auto"/>
                      <w:szCs w:val="21"/>
                    </w:rPr>
                  </w:pPr>
                  <w:r>
                    <w:rPr>
                      <w:rFonts w:ascii="Times New Roman" w:hAnsi="Times New Roman"/>
                      <w:color w:val="auto"/>
                      <w:szCs w:val="21"/>
                    </w:rPr>
                    <w:t>55</w:t>
                  </w:r>
                </w:p>
              </w:tc>
              <w:tc>
                <w:tcPr>
                  <w:tcW w:w="668" w:type="pct"/>
                  <w:vAlign w:val="center"/>
                </w:tcPr>
                <w:p>
                  <w:pPr>
                    <w:widowControl w:val="0"/>
                    <w:jc w:val="center"/>
                    <w:rPr>
                      <w:rFonts w:ascii="Times New Roman" w:hAnsi="Times New Roman"/>
                      <w:color w:val="auto"/>
                      <w:szCs w:val="21"/>
                    </w:rPr>
                  </w:pPr>
                  <w:r>
                    <w:rPr>
                      <w:rFonts w:ascii="Times New Roman" w:hAnsi="Times New Roman"/>
                      <w:color w:val="auto"/>
                      <w:szCs w:val="21"/>
                    </w:rPr>
                    <w:t>达标</w:t>
                  </w:r>
                </w:p>
              </w:tc>
            </w:tr>
          </w:tbl>
          <w:p>
            <w:pPr>
              <w:widowControl w:val="0"/>
              <w:spacing w:line="360" w:lineRule="auto"/>
              <w:ind w:firstLine="480" w:firstLineChars="200"/>
              <w:jc w:val="both"/>
              <w:textAlignment w:val="baseline"/>
              <w:rPr>
                <w:rFonts w:ascii="Times New Roman" w:hAnsi="Times New Roman"/>
                <w:bCs/>
                <w:color w:val="auto"/>
                <w:sz w:val="24"/>
                <w:szCs w:val="24"/>
                <w:lang w:bidi="ar"/>
              </w:rPr>
            </w:pPr>
            <w:r>
              <w:rPr>
                <w:rFonts w:ascii="Times New Roman" w:hAnsi="Times New Roman"/>
                <w:bCs/>
                <w:color w:val="auto"/>
                <w:sz w:val="24"/>
                <w:szCs w:val="24"/>
                <w:lang w:bidi="ar"/>
              </w:rPr>
              <w:t>从上表预测结果来看，项目厂界四周噪声预测值符合《工业企业厂界环境噪声排放标准》（GB12348</w:t>
            </w:r>
            <w:r>
              <w:rPr>
                <w:rFonts w:hint="eastAsia" w:ascii="Times New Roman" w:hAnsi="Times New Roman"/>
                <w:bCs/>
                <w:color w:val="auto"/>
                <w:sz w:val="24"/>
                <w:szCs w:val="24"/>
                <w:lang w:bidi="ar"/>
              </w:rPr>
              <w:t xml:space="preserve"> </w:t>
            </w:r>
            <w:r>
              <w:rPr>
                <w:rFonts w:ascii="Times New Roman" w:hAnsi="Times New Roman"/>
                <w:bCs/>
                <w:color w:val="auto"/>
                <w:sz w:val="24"/>
                <w:szCs w:val="24"/>
                <w:lang w:bidi="ar"/>
              </w:rPr>
              <w:t>2008）3类标准要求，拟建项目运营期内各预测点位昼间、夜间厂界噪声贡献值均达标。项目厂界周边</w:t>
            </w:r>
            <w:r>
              <w:rPr>
                <w:rFonts w:hint="eastAsia" w:ascii="Times New Roman" w:hAnsi="Times New Roman"/>
                <w:bCs/>
                <w:color w:val="auto"/>
                <w:sz w:val="24"/>
                <w:szCs w:val="24"/>
                <w:lang w:bidi="ar"/>
              </w:rPr>
              <w:t>5</w:t>
            </w:r>
            <w:r>
              <w:rPr>
                <w:rFonts w:ascii="Times New Roman" w:hAnsi="Times New Roman"/>
                <w:bCs/>
                <w:color w:val="auto"/>
                <w:sz w:val="24"/>
                <w:szCs w:val="24"/>
                <w:lang w:bidi="ar"/>
              </w:rPr>
              <w:t>0m范围内无居民点分布，运营后项目厂界昼夜间噪声对周围敏感点声环境影响较小。</w:t>
            </w:r>
          </w:p>
          <w:p>
            <w:pPr>
              <w:widowControl w:val="0"/>
              <w:spacing w:line="360" w:lineRule="auto"/>
              <w:ind w:firstLine="480" w:firstLineChars="200"/>
              <w:jc w:val="both"/>
              <w:textAlignment w:val="baseline"/>
              <w:rPr>
                <w:rFonts w:ascii="Times New Roman" w:hAnsi="Times New Roman"/>
                <w:bCs/>
                <w:color w:val="auto"/>
                <w:sz w:val="24"/>
                <w:szCs w:val="24"/>
                <w:lang w:bidi="ar"/>
              </w:rPr>
            </w:pPr>
            <w:r>
              <w:rPr>
                <w:rFonts w:ascii="Times New Roman" w:hAnsi="Times New Roman"/>
                <w:bCs/>
                <w:color w:val="auto"/>
                <w:sz w:val="24"/>
                <w:szCs w:val="24"/>
                <w:lang w:bidi="ar"/>
              </w:rPr>
              <w:t>（4）降噪措施</w:t>
            </w:r>
          </w:p>
          <w:p>
            <w:pPr>
              <w:widowControl w:val="0"/>
              <w:spacing w:line="360" w:lineRule="auto"/>
              <w:ind w:firstLine="480" w:firstLineChars="200"/>
              <w:jc w:val="both"/>
              <w:textAlignment w:val="baseline"/>
              <w:rPr>
                <w:rFonts w:ascii="Times New Roman" w:hAnsi="Times New Roman"/>
                <w:bCs/>
                <w:color w:val="auto"/>
                <w:sz w:val="24"/>
                <w:szCs w:val="24"/>
                <w:lang w:bidi="ar"/>
              </w:rPr>
            </w:pPr>
            <w:r>
              <w:rPr>
                <w:rFonts w:ascii="Times New Roman" w:hAnsi="Times New Roman"/>
                <w:bCs/>
                <w:color w:val="auto"/>
                <w:sz w:val="24"/>
                <w:szCs w:val="24"/>
                <w:lang w:bidi="ar"/>
              </w:rPr>
              <w:t>评价要求项目运行过程中定期对设备进行检查维护，发现设备运行噪声异常时及时进行维修，确保厂界噪声稳定达标排放。为了确保厂界噪声达到相应的标准和员工的健康，评价要求项目采取以下措施降低噪声影响：</w:t>
            </w:r>
          </w:p>
          <w:p>
            <w:pPr>
              <w:widowControl w:val="0"/>
              <w:spacing w:line="360" w:lineRule="auto"/>
              <w:ind w:firstLine="480" w:firstLineChars="200"/>
              <w:jc w:val="both"/>
              <w:textAlignment w:val="baseline"/>
              <w:rPr>
                <w:rFonts w:ascii="Times New Roman" w:hAnsi="Times New Roman"/>
                <w:color w:val="auto"/>
                <w:sz w:val="24"/>
                <w:szCs w:val="24"/>
              </w:rPr>
            </w:pPr>
            <w:r>
              <w:rPr>
                <w:rFonts w:hint="eastAsia" w:ascii="宋体" w:hAnsi="宋体" w:cs="宋体"/>
                <w:color w:val="auto"/>
                <w:sz w:val="24"/>
                <w:szCs w:val="24"/>
              </w:rPr>
              <w:t>①</w:t>
            </w:r>
            <w:r>
              <w:rPr>
                <w:rFonts w:ascii="Times New Roman" w:hAnsi="Times New Roman"/>
                <w:color w:val="auto"/>
                <w:sz w:val="24"/>
                <w:szCs w:val="24"/>
              </w:rPr>
              <w:t>尽可能选用低噪声设备；提高机械设备装配精度，加强维护和检修，提高润滑度，减少机械振动和摩擦产生的噪声，防止共振；</w:t>
            </w:r>
          </w:p>
          <w:p>
            <w:pPr>
              <w:widowControl w:val="0"/>
              <w:spacing w:line="360" w:lineRule="auto"/>
              <w:ind w:firstLine="480" w:firstLineChars="200"/>
              <w:jc w:val="both"/>
              <w:textAlignment w:val="baseline"/>
              <w:rPr>
                <w:rFonts w:ascii="Times New Roman" w:hAnsi="Times New Roman"/>
                <w:color w:val="auto"/>
                <w:sz w:val="24"/>
                <w:szCs w:val="24"/>
              </w:rPr>
            </w:pPr>
            <w:r>
              <w:rPr>
                <w:rFonts w:hint="eastAsia" w:ascii="宋体" w:hAnsi="宋体" w:cs="宋体"/>
                <w:color w:val="auto"/>
                <w:sz w:val="24"/>
                <w:szCs w:val="24"/>
              </w:rPr>
              <w:t>②</w:t>
            </w:r>
            <w:r>
              <w:rPr>
                <w:rFonts w:ascii="Times New Roman" w:hAnsi="Times New Roman"/>
                <w:color w:val="auto"/>
                <w:sz w:val="24"/>
                <w:szCs w:val="24"/>
              </w:rPr>
              <w:t>严格按照生产制度进行生产；</w:t>
            </w:r>
          </w:p>
          <w:p>
            <w:pPr>
              <w:widowControl w:val="0"/>
              <w:spacing w:line="360" w:lineRule="auto"/>
              <w:ind w:firstLine="480" w:firstLineChars="200"/>
              <w:jc w:val="both"/>
              <w:textAlignment w:val="baseline"/>
              <w:rPr>
                <w:rFonts w:ascii="Times New Roman" w:hAnsi="Times New Roman"/>
                <w:color w:val="auto"/>
                <w:sz w:val="24"/>
                <w:szCs w:val="24"/>
              </w:rPr>
            </w:pPr>
            <w:r>
              <w:rPr>
                <w:rFonts w:hint="eastAsia" w:ascii="宋体" w:hAnsi="宋体" w:cs="宋体"/>
                <w:color w:val="auto"/>
                <w:sz w:val="24"/>
                <w:szCs w:val="24"/>
              </w:rPr>
              <w:t>③</w:t>
            </w:r>
            <w:r>
              <w:rPr>
                <w:rFonts w:ascii="Times New Roman" w:hAnsi="Times New Roman"/>
                <w:color w:val="auto"/>
                <w:sz w:val="24"/>
                <w:szCs w:val="24"/>
              </w:rPr>
              <w:t>对高噪声设备进行室内隔声、基础减振、柔性连接、隔声门窗处置；对燃烧器选择低噪声设备、基础减振、柔性连接、隔声门窗等。</w:t>
            </w:r>
          </w:p>
          <w:p>
            <w:pPr>
              <w:widowControl w:val="0"/>
              <w:spacing w:line="360" w:lineRule="auto"/>
              <w:ind w:firstLine="480" w:firstLineChars="200"/>
              <w:jc w:val="both"/>
              <w:textAlignment w:val="baseline"/>
              <w:rPr>
                <w:rFonts w:ascii="Times New Roman" w:hAnsi="Times New Roman"/>
                <w:color w:val="auto"/>
                <w:sz w:val="24"/>
                <w:szCs w:val="24"/>
              </w:rPr>
            </w:pPr>
            <w:r>
              <w:rPr>
                <w:rFonts w:ascii="Times New Roman" w:hAnsi="Times New Roman"/>
                <w:color w:val="auto"/>
                <w:sz w:val="24"/>
                <w:szCs w:val="24"/>
              </w:rPr>
              <w:t>在采取一系列降噪措施后，可有效减少项目运行设备的噪声源强，对周边声环境影响较小。</w:t>
            </w:r>
          </w:p>
          <w:p>
            <w:pPr>
              <w:widowControl w:val="0"/>
              <w:numPr>
                <w:ilvl w:val="3"/>
                <w:numId w:val="21"/>
              </w:numPr>
              <w:tabs>
                <w:tab w:val="left" w:pos="735"/>
              </w:tabs>
              <w:spacing w:line="360" w:lineRule="auto"/>
              <w:ind w:left="0" w:firstLine="482" w:firstLineChars="200"/>
              <w:jc w:val="both"/>
              <w:rPr>
                <w:rFonts w:ascii="Times New Roman" w:hAnsi="Times New Roman"/>
                <w:b/>
                <w:bCs/>
                <w:color w:val="auto"/>
                <w:sz w:val="24"/>
                <w:szCs w:val="24"/>
              </w:rPr>
            </w:pPr>
            <w:r>
              <w:rPr>
                <w:rFonts w:ascii="Times New Roman" w:hAnsi="Times New Roman"/>
                <w:b/>
                <w:bCs/>
                <w:color w:val="auto"/>
                <w:sz w:val="24"/>
                <w:szCs w:val="24"/>
              </w:rPr>
              <w:t>固体废物</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（1）固体废物产生情况</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本项目</w:t>
            </w:r>
            <w:r>
              <w:rPr>
                <w:rFonts w:hint="eastAsia" w:ascii="Times New Roman" w:hAnsi="Times New Roman"/>
                <w:color w:val="auto"/>
                <w:sz w:val="24"/>
                <w:szCs w:val="24"/>
              </w:rPr>
              <w:t>不新增定员，因此生活垃圾不新增。项目</w:t>
            </w:r>
            <w:r>
              <w:rPr>
                <w:rFonts w:ascii="Times New Roman" w:hAnsi="Times New Roman"/>
                <w:color w:val="auto"/>
                <w:sz w:val="24"/>
                <w:szCs w:val="24"/>
              </w:rPr>
              <w:t>运营期</w:t>
            </w:r>
            <w:r>
              <w:rPr>
                <w:rFonts w:hint="eastAsia" w:ascii="Times New Roman" w:hAnsi="Times New Roman"/>
                <w:color w:val="auto"/>
                <w:sz w:val="24"/>
                <w:szCs w:val="24"/>
              </w:rPr>
              <w:t>产生的</w:t>
            </w:r>
            <w:r>
              <w:rPr>
                <w:rFonts w:ascii="Times New Roman" w:hAnsi="Times New Roman"/>
                <w:color w:val="auto"/>
                <w:sz w:val="24"/>
                <w:szCs w:val="24"/>
              </w:rPr>
              <w:t>固体废物主要</w:t>
            </w:r>
            <w:r>
              <w:rPr>
                <w:rFonts w:hint="eastAsia" w:ascii="Times New Roman" w:hAnsi="Times New Roman"/>
                <w:color w:val="auto"/>
                <w:sz w:val="24"/>
                <w:szCs w:val="24"/>
              </w:rPr>
              <w:t>为</w:t>
            </w:r>
            <w:r>
              <w:rPr>
                <w:rFonts w:ascii="Times New Roman" w:hAnsi="Times New Roman"/>
                <w:color w:val="auto"/>
                <w:sz w:val="24"/>
                <w:szCs w:val="24"/>
              </w:rPr>
              <w:t>废分子筛、</w:t>
            </w:r>
            <w:r>
              <w:rPr>
                <w:rFonts w:hint="eastAsia" w:ascii="Times New Roman" w:hAnsi="Times New Roman"/>
                <w:color w:val="auto"/>
                <w:sz w:val="24"/>
                <w:szCs w:val="24"/>
              </w:rPr>
              <w:t>废</w:t>
            </w:r>
            <w:r>
              <w:rPr>
                <w:rFonts w:ascii="Times New Roman" w:hAnsi="Times New Roman"/>
                <w:color w:val="auto"/>
                <w:sz w:val="24"/>
                <w:szCs w:val="24"/>
              </w:rPr>
              <w:t>催化剂、废活性炭</w:t>
            </w:r>
            <w:r>
              <w:rPr>
                <w:rFonts w:hint="eastAsia" w:ascii="Times New Roman" w:hAnsi="Times New Roman"/>
                <w:color w:val="auto"/>
                <w:sz w:val="24"/>
                <w:szCs w:val="24"/>
              </w:rPr>
              <w:t>、压缩机和泵类检修时产生的废润滑油等</w:t>
            </w:r>
            <w:r>
              <w:rPr>
                <w:rFonts w:ascii="Times New Roman" w:hAnsi="Times New Roman"/>
                <w:color w:val="auto"/>
                <w:sz w:val="24"/>
                <w:szCs w:val="24"/>
              </w:rPr>
              <w:t>生产固废</w:t>
            </w:r>
            <w:r>
              <w:rPr>
                <w:rFonts w:hint="eastAsia" w:ascii="Times New Roman" w:hAnsi="Times New Roman"/>
                <w:color w:val="auto"/>
                <w:sz w:val="24"/>
                <w:szCs w:val="24"/>
              </w:rPr>
              <w:t>。</w:t>
            </w:r>
          </w:p>
          <w:p>
            <w:pPr>
              <w:widowControl w:val="0"/>
              <w:spacing w:line="360" w:lineRule="auto"/>
              <w:ind w:firstLine="480" w:firstLineChars="200"/>
              <w:jc w:val="both"/>
              <w:rPr>
                <w:rFonts w:ascii="Times New Roman" w:hAnsi="Times New Roman"/>
                <w:color w:val="auto"/>
                <w:sz w:val="24"/>
                <w:szCs w:val="24"/>
              </w:rPr>
            </w:pPr>
            <w:r>
              <w:rPr>
                <w:rFonts w:hint="eastAsia" w:ascii="宋体" w:hAnsi="宋体" w:cs="宋体"/>
                <w:color w:val="auto"/>
                <w:sz w:val="24"/>
                <w:szCs w:val="24"/>
              </w:rPr>
              <w:t>①</w:t>
            </w:r>
            <w:r>
              <w:rPr>
                <w:rFonts w:ascii="Times New Roman" w:hAnsi="Times New Roman"/>
                <w:color w:val="auto"/>
                <w:sz w:val="24"/>
                <w:szCs w:val="24"/>
              </w:rPr>
              <w:t>废分子筛</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项目使用两种不同型号的分子筛作为</w:t>
            </w:r>
            <w:r>
              <w:rPr>
                <w:rFonts w:hint="eastAsia" w:ascii="Times New Roman" w:hAnsi="Times New Roman"/>
                <w:color w:val="auto"/>
                <w:sz w:val="24"/>
                <w:szCs w:val="24"/>
              </w:rPr>
              <w:t>变压</w:t>
            </w:r>
            <w:r>
              <w:rPr>
                <w:rFonts w:ascii="Times New Roman" w:hAnsi="Times New Roman"/>
                <w:color w:val="auto"/>
                <w:sz w:val="24"/>
                <w:szCs w:val="24"/>
              </w:rPr>
              <w:t>吸附剂</w:t>
            </w:r>
            <w:r>
              <w:rPr>
                <w:rFonts w:hint="eastAsia" w:ascii="Times New Roman" w:hAnsi="Times New Roman"/>
                <w:color w:val="auto"/>
                <w:sz w:val="24"/>
                <w:szCs w:val="24"/>
              </w:rPr>
              <w:t>（</w:t>
            </w:r>
            <w:r>
              <w:rPr>
                <w:rFonts w:ascii="Times New Roman" w:hAnsi="Times New Roman"/>
                <w:color w:val="auto"/>
                <w:sz w:val="24"/>
                <w:szCs w:val="24"/>
              </w:rPr>
              <w:t>5A分子筛</w:t>
            </w:r>
            <w:r>
              <w:rPr>
                <w:rFonts w:hint="eastAsia" w:ascii="Times New Roman" w:hAnsi="Times New Roman"/>
                <w:color w:val="auto"/>
                <w:sz w:val="24"/>
                <w:szCs w:val="24"/>
              </w:rPr>
              <w:t>）</w:t>
            </w:r>
            <w:r>
              <w:rPr>
                <w:rFonts w:ascii="Times New Roman" w:hAnsi="Times New Roman"/>
                <w:color w:val="auto"/>
                <w:sz w:val="24"/>
                <w:szCs w:val="24"/>
              </w:rPr>
              <w:t>和脱水吸附剂</w:t>
            </w:r>
            <w:r>
              <w:rPr>
                <w:rFonts w:hint="eastAsia" w:ascii="Times New Roman" w:hAnsi="Times New Roman"/>
                <w:color w:val="auto"/>
                <w:sz w:val="24"/>
                <w:szCs w:val="24"/>
              </w:rPr>
              <w:t>（</w:t>
            </w:r>
            <w:r>
              <w:rPr>
                <w:rFonts w:ascii="Times New Roman" w:hAnsi="Times New Roman"/>
                <w:color w:val="auto"/>
                <w:sz w:val="24"/>
                <w:szCs w:val="24"/>
              </w:rPr>
              <w:t>13X分子筛</w:t>
            </w:r>
            <w:r>
              <w:rPr>
                <w:rFonts w:hint="eastAsia" w:ascii="Times New Roman" w:hAnsi="Times New Roman"/>
                <w:color w:val="auto"/>
                <w:sz w:val="24"/>
                <w:szCs w:val="24"/>
              </w:rPr>
              <w:t>）</w:t>
            </w:r>
            <w:r>
              <w:rPr>
                <w:rFonts w:ascii="Times New Roman" w:hAnsi="Times New Roman"/>
                <w:color w:val="auto"/>
                <w:sz w:val="24"/>
                <w:szCs w:val="24"/>
              </w:rPr>
              <w:t>。</w:t>
            </w:r>
            <w:r>
              <w:rPr>
                <w:rFonts w:hint="eastAsia" w:ascii="Times New Roman" w:hAnsi="Times New Roman"/>
                <w:color w:val="auto"/>
                <w:sz w:val="24"/>
                <w:szCs w:val="24"/>
              </w:rPr>
              <w:t>根据建设单位提供资料，</w:t>
            </w:r>
            <w:r>
              <w:rPr>
                <w:rFonts w:ascii="Times New Roman" w:hAnsi="Times New Roman"/>
                <w:color w:val="auto"/>
                <w:sz w:val="24"/>
                <w:szCs w:val="24"/>
              </w:rPr>
              <w:t>5A分子筛</w:t>
            </w:r>
            <w:r>
              <w:rPr>
                <w:rFonts w:hint="eastAsia" w:ascii="Times New Roman" w:hAnsi="Times New Roman"/>
                <w:color w:val="auto"/>
                <w:sz w:val="24"/>
                <w:szCs w:val="24"/>
              </w:rPr>
              <w:t>一次</w:t>
            </w:r>
            <w:r>
              <w:rPr>
                <w:rFonts w:ascii="Times New Roman" w:hAnsi="Times New Roman"/>
                <w:color w:val="auto"/>
                <w:sz w:val="24"/>
                <w:szCs w:val="24"/>
              </w:rPr>
              <w:t>装填量为18m</w:t>
            </w:r>
            <w:r>
              <w:rPr>
                <w:rFonts w:ascii="Times New Roman" w:hAnsi="Times New Roman"/>
                <w:color w:val="auto"/>
                <w:sz w:val="24"/>
                <w:szCs w:val="24"/>
                <w:vertAlign w:val="superscript"/>
              </w:rPr>
              <w:t>3</w:t>
            </w:r>
            <w:r>
              <w:rPr>
                <w:rFonts w:ascii="Times New Roman" w:hAnsi="Times New Roman"/>
                <w:color w:val="auto"/>
                <w:sz w:val="24"/>
                <w:szCs w:val="24"/>
              </w:rPr>
              <w:t>，13X分子筛</w:t>
            </w:r>
            <w:r>
              <w:rPr>
                <w:rFonts w:hint="eastAsia" w:ascii="Times New Roman" w:hAnsi="Times New Roman"/>
                <w:color w:val="auto"/>
                <w:sz w:val="24"/>
                <w:szCs w:val="24"/>
              </w:rPr>
              <w:t>一次</w:t>
            </w:r>
            <w:r>
              <w:rPr>
                <w:rFonts w:ascii="Times New Roman" w:hAnsi="Times New Roman"/>
                <w:color w:val="auto"/>
                <w:sz w:val="24"/>
                <w:szCs w:val="24"/>
              </w:rPr>
              <w:t>装填量为1m</w:t>
            </w:r>
            <w:r>
              <w:rPr>
                <w:rFonts w:ascii="Times New Roman" w:hAnsi="Times New Roman"/>
                <w:color w:val="auto"/>
                <w:sz w:val="24"/>
                <w:szCs w:val="24"/>
                <w:vertAlign w:val="superscript"/>
              </w:rPr>
              <w:t>3</w:t>
            </w:r>
            <w:r>
              <w:rPr>
                <w:rFonts w:ascii="Times New Roman" w:hAnsi="Times New Roman"/>
                <w:color w:val="auto"/>
                <w:sz w:val="24"/>
                <w:szCs w:val="24"/>
              </w:rPr>
              <w:t>，均5年更换一次，</w:t>
            </w:r>
            <w:r>
              <w:rPr>
                <w:rFonts w:hint="eastAsia" w:ascii="Times New Roman" w:hAnsi="Times New Roman"/>
                <w:color w:val="auto"/>
                <w:sz w:val="24"/>
                <w:szCs w:val="24"/>
                <w:lang w:eastAsia="zh-CN"/>
              </w:rPr>
              <w:t>由于</w:t>
            </w:r>
            <w:r>
              <w:rPr>
                <w:rFonts w:ascii="Times New Roman" w:hAnsi="Times New Roman"/>
                <w:color w:val="auto"/>
                <w:sz w:val="24"/>
                <w:szCs w:val="24"/>
              </w:rPr>
              <w:t>5A分子筛</w:t>
            </w:r>
            <w:r>
              <w:rPr>
                <w:rFonts w:hint="eastAsia" w:ascii="Times New Roman" w:hAnsi="Times New Roman"/>
                <w:color w:val="auto"/>
                <w:sz w:val="24"/>
                <w:szCs w:val="24"/>
                <w:lang w:eastAsia="zh-CN"/>
              </w:rPr>
              <w:t>的密度为</w:t>
            </w:r>
            <w:r>
              <w:rPr>
                <w:rFonts w:hint="eastAsia" w:ascii="Times New Roman" w:hAnsi="Times New Roman"/>
                <w:color w:val="auto"/>
                <w:sz w:val="24"/>
                <w:szCs w:val="24"/>
                <w:lang w:val="en-US" w:eastAsia="zh-CN"/>
              </w:rPr>
              <w:t>0.65g/ml（0.65t/m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），13X分子筛</w:t>
            </w:r>
            <w:r>
              <w:rPr>
                <w:rFonts w:hint="eastAsia" w:ascii="Times New Roman" w:hAnsi="Times New Roman"/>
                <w:color w:val="auto"/>
                <w:sz w:val="24"/>
                <w:szCs w:val="24"/>
                <w:lang w:eastAsia="zh-CN"/>
              </w:rPr>
              <w:t>密度为</w:t>
            </w:r>
            <w:r>
              <w:rPr>
                <w:rFonts w:hint="eastAsia" w:ascii="Times New Roman" w:hAnsi="Times New Roman"/>
                <w:color w:val="auto"/>
                <w:sz w:val="24"/>
                <w:szCs w:val="24"/>
                <w:lang w:val="en-US" w:eastAsia="zh-CN"/>
              </w:rPr>
              <w:t>0.60g/ml（0.60t/m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w:t>
            </w:r>
            <w:r>
              <w:rPr>
                <w:rFonts w:ascii="Times New Roman" w:hAnsi="Times New Roman"/>
                <w:color w:val="auto"/>
                <w:sz w:val="24"/>
                <w:szCs w:val="24"/>
              </w:rPr>
              <w:t>因此</w:t>
            </w:r>
            <w:r>
              <w:rPr>
                <w:rFonts w:hint="eastAsia" w:ascii="Times New Roman" w:hAnsi="Times New Roman"/>
                <w:color w:val="auto"/>
                <w:sz w:val="24"/>
                <w:szCs w:val="24"/>
              </w:rPr>
              <w:t>废</w:t>
            </w:r>
            <w:r>
              <w:rPr>
                <w:rFonts w:ascii="Times New Roman" w:hAnsi="Times New Roman"/>
                <w:color w:val="auto"/>
                <w:sz w:val="24"/>
                <w:szCs w:val="24"/>
              </w:rPr>
              <w:t>分子筛的总产生量为1</w:t>
            </w:r>
            <w:r>
              <w:rPr>
                <w:rFonts w:hint="eastAsia" w:ascii="Times New Roman" w:hAnsi="Times New Roman"/>
                <w:color w:val="auto"/>
                <w:sz w:val="24"/>
                <w:szCs w:val="24"/>
                <w:lang w:val="en-US" w:eastAsia="zh-CN"/>
              </w:rPr>
              <w:t>2.3t</w:t>
            </w:r>
            <w:r>
              <w:rPr>
                <w:rFonts w:ascii="Times New Roman" w:hAnsi="Times New Roman"/>
                <w:color w:val="auto"/>
                <w:sz w:val="24"/>
                <w:szCs w:val="24"/>
              </w:rPr>
              <w:t>/5a</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2.46t/a</w:t>
            </w:r>
            <w:r>
              <w:rPr>
                <w:rFonts w:hint="eastAsia" w:ascii="Times New Roman" w:hAnsi="Times New Roman"/>
                <w:color w:val="auto"/>
                <w:sz w:val="24"/>
                <w:szCs w:val="24"/>
                <w:lang w:eastAsia="zh-CN"/>
              </w:rPr>
              <w:t>）</w:t>
            </w:r>
            <w:r>
              <w:rPr>
                <w:rFonts w:ascii="Times New Roman" w:hAnsi="Times New Roman"/>
                <w:color w:val="auto"/>
                <w:sz w:val="24"/>
                <w:szCs w:val="24"/>
              </w:rPr>
              <w:t>，属于</w:t>
            </w:r>
            <w:r>
              <w:rPr>
                <w:rFonts w:hint="eastAsia" w:ascii="Times New Roman" w:hAnsi="Times New Roman"/>
                <w:color w:val="auto"/>
                <w:sz w:val="24"/>
                <w:szCs w:val="24"/>
              </w:rPr>
              <w:t>危险废物（废物类别：HW49其他废物，危废代码：900-041-49）。</w:t>
            </w:r>
            <w:r>
              <w:rPr>
                <w:rFonts w:hint="eastAsia" w:ascii="Times New Roman" w:hAnsi="Times New Roman"/>
                <w:color w:val="auto"/>
                <w:sz w:val="24"/>
                <w:szCs w:val="24"/>
                <w:lang w:eastAsia="zh-CN"/>
              </w:rPr>
              <w:t>废分子筛到达更换周期后，企业联系厂家，由厂家</w:t>
            </w:r>
            <w:r>
              <w:rPr>
                <w:rFonts w:hint="eastAsia" w:ascii="Times New Roman" w:hAnsi="Times New Roman"/>
                <w:color w:val="auto"/>
                <w:sz w:val="24"/>
                <w:szCs w:val="24"/>
              </w:rPr>
              <w:t>更换后</w:t>
            </w:r>
            <w:r>
              <w:rPr>
                <w:rFonts w:hint="eastAsia" w:ascii="Times New Roman" w:hAnsi="Times New Roman"/>
                <w:color w:val="auto"/>
                <w:sz w:val="24"/>
                <w:szCs w:val="24"/>
                <w:lang w:eastAsia="zh-CN"/>
              </w:rPr>
              <w:t>送往有资质的单位处置，不在厂区内暂存。</w:t>
            </w:r>
          </w:p>
          <w:p>
            <w:pPr>
              <w:widowControl w:val="0"/>
              <w:spacing w:line="360" w:lineRule="auto"/>
              <w:ind w:firstLine="480" w:firstLineChars="200"/>
              <w:jc w:val="both"/>
              <w:rPr>
                <w:rFonts w:ascii="Times New Roman" w:hAnsi="Times New Roman"/>
                <w:color w:val="auto"/>
                <w:sz w:val="24"/>
                <w:szCs w:val="24"/>
              </w:rPr>
            </w:pPr>
            <w:r>
              <w:rPr>
                <w:rFonts w:hint="eastAsia" w:ascii="宋体" w:hAnsi="宋体" w:cs="宋体"/>
                <w:color w:val="auto"/>
                <w:sz w:val="24"/>
                <w:szCs w:val="24"/>
              </w:rPr>
              <w:t>②</w:t>
            </w:r>
            <w:r>
              <w:rPr>
                <w:rFonts w:ascii="Times New Roman" w:hAnsi="Times New Roman"/>
                <w:color w:val="auto"/>
                <w:sz w:val="24"/>
                <w:szCs w:val="24"/>
              </w:rPr>
              <w:t>废催化剂</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项目催化脱氢</w:t>
            </w:r>
            <w:r>
              <w:rPr>
                <w:rFonts w:hint="eastAsia" w:ascii="Times New Roman" w:hAnsi="Times New Roman"/>
                <w:color w:val="auto"/>
                <w:sz w:val="24"/>
                <w:szCs w:val="24"/>
              </w:rPr>
              <w:t>单元</w:t>
            </w:r>
            <w:r>
              <w:rPr>
                <w:rFonts w:ascii="Times New Roman" w:hAnsi="Times New Roman"/>
                <w:color w:val="auto"/>
                <w:sz w:val="24"/>
                <w:szCs w:val="24"/>
              </w:rPr>
              <w:t>使用脱氢催化剂，根据建设单位提供资料，脱氢催化剂成分为钯-氧化铝，装填量为0.3m</w:t>
            </w:r>
            <w:r>
              <w:rPr>
                <w:rFonts w:ascii="Times New Roman" w:hAnsi="Times New Roman"/>
                <w:color w:val="auto"/>
                <w:sz w:val="24"/>
                <w:szCs w:val="24"/>
                <w:vertAlign w:val="superscript"/>
              </w:rPr>
              <w:t>3</w:t>
            </w:r>
            <w:r>
              <w:rPr>
                <w:rFonts w:ascii="Times New Roman" w:hAnsi="Times New Roman"/>
                <w:color w:val="auto"/>
                <w:sz w:val="24"/>
                <w:szCs w:val="24"/>
              </w:rPr>
              <w:t>，5年更换一次，</w:t>
            </w:r>
            <w:r>
              <w:rPr>
                <w:rFonts w:hint="eastAsia" w:ascii="Times New Roman" w:hAnsi="Times New Roman"/>
                <w:color w:val="auto"/>
                <w:sz w:val="24"/>
                <w:szCs w:val="24"/>
                <w:lang w:eastAsia="zh-CN"/>
              </w:rPr>
              <w:t>由于</w:t>
            </w:r>
            <w:r>
              <w:rPr>
                <w:rFonts w:hint="eastAsia" w:ascii="Times New Roman" w:hAnsi="Times New Roman"/>
                <w:color w:val="auto"/>
                <w:sz w:val="24"/>
                <w:szCs w:val="24"/>
              </w:rPr>
              <w:t>钯-氧化铝</w:t>
            </w:r>
            <w:r>
              <w:rPr>
                <w:rFonts w:hint="eastAsia" w:ascii="Times New Roman" w:hAnsi="Times New Roman"/>
                <w:color w:val="auto"/>
                <w:sz w:val="24"/>
                <w:szCs w:val="24"/>
                <w:lang w:eastAsia="zh-CN"/>
              </w:rPr>
              <w:t>的密度为</w:t>
            </w:r>
            <w:r>
              <w:rPr>
                <w:rFonts w:hint="eastAsia" w:ascii="Times New Roman" w:hAnsi="Times New Roman"/>
                <w:color w:val="auto"/>
                <w:sz w:val="24"/>
                <w:szCs w:val="24"/>
                <w:lang w:val="en-US" w:eastAsia="zh-CN"/>
              </w:rPr>
              <w:t>1.025g/ml（1.025t/m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w:t>
            </w:r>
            <w:r>
              <w:rPr>
                <w:rFonts w:ascii="Times New Roman" w:hAnsi="Times New Roman"/>
                <w:color w:val="auto"/>
                <w:sz w:val="24"/>
                <w:szCs w:val="24"/>
              </w:rPr>
              <w:t>因此废催化剂产生量为0.3</w:t>
            </w:r>
            <w:r>
              <w:rPr>
                <w:rFonts w:hint="eastAsia" w:ascii="Times New Roman" w:hAnsi="Times New Roman"/>
                <w:color w:val="auto"/>
                <w:sz w:val="24"/>
                <w:szCs w:val="24"/>
                <w:lang w:val="en-US" w:eastAsia="zh-CN"/>
              </w:rPr>
              <w:t>075t</w:t>
            </w:r>
            <w:r>
              <w:rPr>
                <w:rFonts w:ascii="Times New Roman" w:hAnsi="Times New Roman"/>
                <w:color w:val="auto"/>
                <w:sz w:val="24"/>
                <w:szCs w:val="24"/>
              </w:rPr>
              <w:t>/5a</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0.0615t/a</w:t>
            </w:r>
            <w:r>
              <w:rPr>
                <w:rFonts w:hint="eastAsia" w:ascii="Times New Roman" w:hAnsi="Times New Roman"/>
                <w:color w:val="auto"/>
                <w:sz w:val="24"/>
                <w:szCs w:val="24"/>
                <w:lang w:eastAsia="zh-CN"/>
              </w:rPr>
              <w:t>）</w:t>
            </w:r>
            <w:r>
              <w:rPr>
                <w:rFonts w:ascii="Times New Roman" w:hAnsi="Times New Roman"/>
                <w:color w:val="auto"/>
                <w:sz w:val="24"/>
                <w:szCs w:val="24"/>
              </w:rPr>
              <w:t>，属于危险废物</w:t>
            </w:r>
            <w:r>
              <w:rPr>
                <w:rFonts w:hint="eastAsia" w:ascii="Times New Roman" w:hAnsi="Times New Roman"/>
                <w:color w:val="auto"/>
                <w:sz w:val="24"/>
                <w:szCs w:val="24"/>
              </w:rPr>
              <w:t>（废物类别：</w:t>
            </w:r>
            <w:r>
              <w:rPr>
                <w:rFonts w:ascii="Times New Roman" w:hAnsi="Times New Roman"/>
                <w:color w:val="auto"/>
                <w:sz w:val="24"/>
                <w:szCs w:val="24"/>
              </w:rPr>
              <w:t>HW50</w:t>
            </w:r>
            <w:r>
              <w:rPr>
                <w:rFonts w:hint="eastAsia" w:ascii="Times New Roman" w:hAnsi="Times New Roman"/>
                <w:color w:val="auto"/>
                <w:sz w:val="24"/>
                <w:szCs w:val="24"/>
              </w:rPr>
              <w:t>基础化学原料制造，危废代码：</w:t>
            </w:r>
            <w:r>
              <w:rPr>
                <w:rFonts w:ascii="Times New Roman" w:hAnsi="Times New Roman"/>
                <w:color w:val="auto"/>
                <w:sz w:val="24"/>
                <w:szCs w:val="24"/>
              </w:rPr>
              <w:t>261-156-50</w:t>
            </w:r>
            <w:r>
              <w:rPr>
                <w:rFonts w:hint="eastAsia" w:ascii="Times New Roman" w:hAnsi="Times New Roman"/>
                <w:color w:val="auto"/>
                <w:sz w:val="24"/>
                <w:szCs w:val="24"/>
              </w:rPr>
              <w:t>）</w:t>
            </w:r>
            <w:r>
              <w:rPr>
                <w:rFonts w:ascii="Times New Roman" w:hAnsi="Times New Roman"/>
                <w:color w:val="auto"/>
                <w:sz w:val="24"/>
                <w:szCs w:val="24"/>
              </w:rPr>
              <w:t>。</w:t>
            </w:r>
            <w:r>
              <w:rPr>
                <w:rFonts w:hint="eastAsia" w:ascii="Times New Roman" w:hAnsi="Times New Roman"/>
                <w:color w:val="auto"/>
                <w:sz w:val="24"/>
                <w:szCs w:val="24"/>
                <w:lang w:eastAsia="zh-CN"/>
              </w:rPr>
              <w:t>废催化剂到达更换周期后，企业联系厂家，由厂家</w:t>
            </w:r>
            <w:r>
              <w:rPr>
                <w:rFonts w:hint="eastAsia" w:ascii="Times New Roman" w:hAnsi="Times New Roman"/>
                <w:color w:val="auto"/>
                <w:sz w:val="24"/>
                <w:szCs w:val="24"/>
              </w:rPr>
              <w:t>更换后</w:t>
            </w:r>
            <w:r>
              <w:rPr>
                <w:rFonts w:hint="eastAsia" w:ascii="Times New Roman" w:hAnsi="Times New Roman"/>
                <w:color w:val="auto"/>
                <w:sz w:val="24"/>
                <w:szCs w:val="24"/>
                <w:lang w:eastAsia="zh-CN"/>
              </w:rPr>
              <w:t>送往有资质的单位处置，不在厂区内暂存。</w:t>
            </w:r>
          </w:p>
          <w:p>
            <w:pPr>
              <w:widowControl w:val="0"/>
              <w:spacing w:line="360" w:lineRule="auto"/>
              <w:ind w:firstLine="480" w:firstLineChars="200"/>
              <w:jc w:val="both"/>
              <w:rPr>
                <w:rFonts w:ascii="Times New Roman" w:hAnsi="Times New Roman"/>
                <w:color w:val="auto"/>
                <w:sz w:val="24"/>
                <w:szCs w:val="24"/>
              </w:rPr>
            </w:pPr>
            <w:r>
              <w:rPr>
                <w:rFonts w:hint="eastAsia" w:ascii="宋体" w:hAnsi="宋体" w:cs="宋体"/>
                <w:color w:val="auto"/>
                <w:sz w:val="24"/>
                <w:szCs w:val="24"/>
              </w:rPr>
              <w:t>③</w:t>
            </w:r>
            <w:r>
              <w:rPr>
                <w:rFonts w:ascii="Times New Roman" w:hAnsi="Times New Roman"/>
                <w:color w:val="auto"/>
                <w:sz w:val="24"/>
                <w:szCs w:val="24"/>
              </w:rPr>
              <w:t>废活性炭</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项目氦气精制单元中氦气纯化器装置在低温环境下使用活性炭对氦气中的氮气进行吸附，根据建设单位提供资料，活性炭装填量为2m</w:t>
            </w:r>
            <w:r>
              <w:rPr>
                <w:rFonts w:ascii="Times New Roman" w:hAnsi="Times New Roman"/>
                <w:color w:val="auto"/>
                <w:sz w:val="24"/>
                <w:szCs w:val="24"/>
                <w:vertAlign w:val="superscript"/>
              </w:rPr>
              <w:t>3</w:t>
            </w:r>
            <w:r>
              <w:rPr>
                <w:rFonts w:ascii="Times New Roman" w:hAnsi="Times New Roman"/>
                <w:color w:val="auto"/>
                <w:sz w:val="24"/>
                <w:szCs w:val="24"/>
              </w:rPr>
              <w:t>，5年更换一次，</w:t>
            </w:r>
            <w:r>
              <w:rPr>
                <w:rFonts w:hint="eastAsia" w:ascii="Times New Roman" w:hAnsi="Times New Roman"/>
                <w:color w:val="auto"/>
                <w:sz w:val="24"/>
                <w:szCs w:val="24"/>
                <w:lang w:eastAsia="zh-CN"/>
              </w:rPr>
              <w:t>由于活性炭的相对密度为</w:t>
            </w:r>
            <w:r>
              <w:rPr>
                <w:rFonts w:hint="eastAsia" w:ascii="Times New Roman" w:hAnsi="Times New Roman"/>
                <w:color w:val="auto"/>
                <w:sz w:val="24"/>
                <w:szCs w:val="24"/>
                <w:lang w:val="en-US" w:eastAsia="zh-CN"/>
              </w:rPr>
              <w:t>1.8g/cm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（1.8t/m</w:t>
            </w:r>
            <w:r>
              <w:rPr>
                <w:rFonts w:hint="eastAsia" w:ascii="Times New Roman" w:hAnsi="Times New Roman"/>
                <w:color w:val="auto"/>
                <w:sz w:val="24"/>
                <w:szCs w:val="24"/>
                <w:vertAlign w:val="superscript"/>
                <w:lang w:val="en-US" w:eastAsia="zh-CN"/>
              </w:rPr>
              <w:t>3</w:t>
            </w:r>
            <w:r>
              <w:rPr>
                <w:rFonts w:hint="eastAsia" w:ascii="Times New Roman" w:hAnsi="Times New Roman"/>
                <w:color w:val="auto"/>
                <w:sz w:val="24"/>
                <w:szCs w:val="24"/>
                <w:lang w:val="en-US" w:eastAsia="zh-CN"/>
              </w:rPr>
              <w:t>），</w:t>
            </w:r>
            <w:r>
              <w:rPr>
                <w:rFonts w:ascii="Times New Roman" w:hAnsi="Times New Roman"/>
                <w:color w:val="auto"/>
                <w:sz w:val="24"/>
                <w:szCs w:val="24"/>
              </w:rPr>
              <w:t>因此废活性炭产生量为</w:t>
            </w:r>
            <w:r>
              <w:rPr>
                <w:rFonts w:hint="eastAsia" w:ascii="Times New Roman" w:hAnsi="Times New Roman"/>
                <w:color w:val="auto"/>
                <w:sz w:val="24"/>
                <w:szCs w:val="24"/>
                <w:lang w:val="en-US" w:eastAsia="zh-CN"/>
              </w:rPr>
              <w:t>3.6t</w:t>
            </w:r>
            <w:r>
              <w:rPr>
                <w:rFonts w:ascii="Times New Roman" w:hAnsi="Times New Roman"/>
                <w:color w:val="auto"/>
                <w:sz w:val="24"/>
                <w:szCs w:val="24"/>
              </w:rPr>
              <w:t>/5a</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0.72t/a</w:t>
            </w:r>
            <w:r>
              <w:rPr>
                <w:rFonts w:hint="eastAsia" w:ascii="Times New Roman" w:hAnsi="Times New Roman"/>
                <w:color w:val="auto"/>
                <w:sz w:val="24"/>
                <w:szCs w:val="24"/>
                <w:lang w:eastAsia="zh-CN"/>
              </w:rPr>
              <w:t>）</w:t>
            </w:r>
            <w:r>
              <w:rPr>
                <w:rFonts w:ascii="Times New Roman" w:hAnsi="Times New Roman"/>
                <w:color w:val="auto"/>
                <w:sz w:val="24"/>
                <w:szCs w:val="24"/>
              </w:rPr>
              <w:t>，属于</w:t>
            </w:r>
            <w:r>
              <w:rPr>
                <w:rFonts w:hint="eastAsia" w:ascii="Times New Roman" w:hAnsi="Times New Roman"/>
                <w:color w:val="auto"/>
                <w:sz w:val="24"/>
                <w:szCs w:val="24"/>
              </w:rPr>
              <w:t>危险</w:t>
            </w:r>
            <w:r>
              <w:rPr>
                <w:rFonts w:ascii="Times New Roman" w:hAnsi="Times New Roman"/>
                <w:color w:val="auto"/>
                <w:sz w:val="24"/>
                <w:szCs w:val="24"/>
              </w:rPr>
              <w:t>废物</w:t>
            </w:r>
            <w:r>
              <w:rPr>
                <w:rFonts w:hint="eastAsia" w:ascii="Times New Roman" w:hAnsi="Times New Roman"/>
                <w:color w:val="auto"/>
                <w:sz w:val="24"/>
                <w:szCs w:val="24"/>
              </w:rPr>
              <w:t>（废物类别：HW49其他废物，危废代码：900-039-49）</w:t>
            </w:r>
            <w:r>
              <w:rPr>
                <w:rFonts w:ascii="Times New Roman" w:hAnsi="Times New Roman"/>
                <w:color w:val="auto"/>
                <w:sz w:val="24"/>
                <w:szCs w:val="24"/>
              </w:rPr>
              <w:t>，</w:t>
            </w:r>
            <w:r>
              <w:rPr>
                <w:rFonts w:hint="eastAsia" w:ascii="Times New Roman" w:hAnsi="Times New Roman"/>
                <w:color w:val="auto"/>
                <w:sz w:val="24"/>
                <w:szCs w:val="24"/>
                <w:lang w:eastAsia="zh-CN"/>
              </w:rPr>
              <w:t>废活性炭到达更换周期后，企业联系厂家，由厂家</w:t>
            </w:r>
            <w:r>
              <w:rPr>
                <w:rFonts w:hint="eastAsia" w:ascii="Times New Roman" w:hAnsi="Times New Roman"/>
                <w:color w:val="auto"/>
                <w:sz w:val="24"/>
                <w:szCs w:val="24"/>
              </w:rPr>
              <w:t>更换后</w:t>
            </w:r>
            <w:r>
              <w:rPr>
                <w:rFonts w:hint="eastAsia" w:ascii="Times New Roman" w:hAnsi="Times New Roman"/>
                <w:color w:val="auto"/>
                <w:sz w:val="24"/>
                <w:szCs w:val="24"/>
                <w:lang w:eastAsia="zh-CN"/>
              </w:rPr>
              <w:t>送往有资质的单位处置，不在厂区内暂存。</w:t>
            </w:r>
          </w:p>
          <w:p>
            <w:pPr>
              <w:widowControl w:val="0"/>
              <w:spacing w:line="360" w:lineRule="auto"/>
              <w:ind w:firstLine="480" w:firstLineChars="200"/>
              <w:jc w:val="both"/>
              <w:rPr>
                <w:rFonts w:hint="eastAsia" w:ascii="Times New Roman" w:hAnsi="Times New Roman"/>
                <w:color w:val="auto"/>
                <w:sz w:val="24"/>
                <w:szCs w:val="24"/>
              </w:rPr>
            </w:pPr>
            <w:r>
              <w:rPr>
                <w:rFonts w:hint="eastAsia" w:ascii="宋体" w:hAnsi="宋体" w:cs="宋体"/>
                <w:color w:val="auto"/>
                <w:sz w:val="24"/>
                <w:szCs w:val="24"/>
              </w:rPr>
              <w:t>④</w:t>
            </w:r>
            <w:r>
              <w:rPr>
                <w:rFonts w:hint="eastAsia" w:ascii="Times New Roman" w:hAnsi="Times New Roman"/>
                <w:color w:val="auto"/>
                <w:sz w:val="24"/>
                <w:szCs w:val="24"/>
              </w:rPr>
              <w:t>废润滑油</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项目</w:t>
            </w:r>
            <w:r>
              <w:rPr>
                <w:rFonts w:hint="eastAsia" w:ascii="Times New Roman" w:hAnsi="Times New Roman"/>
                <w:color w:val="auto"/>
                <w:sz w:val="24"/>
                <w:szCs w:val="24"/>
                <w:lang w:eastAsia="zh-CN"/>
              </w:rPr>
              <w:t>运营期各环节</w:t>
            </w:r>
            <w:r>
              <w:rPr>
                <w:rFonts w:hint="eastAsia" w:ascii="Times New Roman" w:hAnsi="Times New Roman"/>
                <w:color w:val="auto"/>
                <w:sz w:val="24"/>
                <w:szCs w:val="24"/>
              </w:rPr>
              <w:t>压缩机和泵类检修时产生的废润滑油</w:t>
            </w:r>
            <w:r>
              <w:rPr>
                <w:rFonts w:hint="eastAsia" w:ascii="Times New Roman" w:hAnsi="Times New Roman"/>
                <w:color w:val="auto"/>
                <w:sz w:val="24"/>
                <w:szCs w:val="24"/>
                <w:lang w:eastAsia="zh-CN"/>
              </w:rPr>
              <w:t>，</w:t>
            </w:r>
            <w:r>
              <w:rPr>
                <w:rFonts w:ascii="Times New Roman" w:hAnsi="Times New Roman"/>
                <w:color w:val="auto"/>
                <w:sz w:val="24"/>
                <w:szCs w:val="24"/>
              </w:rPr>
              <w:t>根据建设单位提供资料，废</w:t>
            </w:r>
            <w:r>
              <w:rPr>
                <w:rFonts w:hint="eastAsia" w:ascii="Times New Roman" w:hAnsi="Times New Roman"/>
                <w:color w:val="auto"/>
                <w:sz w:val="24"/>
                <w:szCs w:val="24"/>
                <w:lang w:eastAsia="zh-CN"/>
              </w:rPr>
              <w:t>润滑油</w:t>
            </w:r>
            <w:r>
              <w:rPr>
                <w:rFonts w:ascii="Times New Roman" w:hAnsi="Times New Roman"/>
                <w:color w:val="auto"/>
                <w:sz w:val="24"/>
                <w:szCs w:val="24"/>
              </w:rPr>
              <w:t>产生量</w:t>
            </w:r>
            <w:r>
              <w:rPr>
                <w:rFonts w:hint="eastAsia" w:ascii="Times New Roman" w:hAnsi="Times New Roman"/>
                <w:color w:val="auto"/>
                <w:sz w:val="24"/>
                <w:szCs w:val="24"/>
                <w:lang w:eastAsia="zh-CN"/>
              </w:rPr>
              <w:t>约</w:t>
            </w:r>
            <w:r>
              <w:rPr>
                <w:rFonts w:ascii="Times New Roman" w:hAnsi="Times New Roman"/>
                <w:color w:val="auto"/>
                <w:sz w:val="24"/>
                <w:szCs w:val="24"/>
              </w:rPr>
              <w:t>为</w:t>
            </w:r>
            <w:r>
              <w:rPr>
                <w:rFonts w:hint="eastAsia" w:ascii="Times New Roman" w:hAnsi="Times New Roman"/>
                <w:color w:val="auto"/>
                <w:sz w:val="24"/>
                <w:szCs w:val="24"/>
              </w:rPr>
              <w:t>0.2t/a</w:t>
            </w:r>
            <w:r>
              <w:rPr>
                <w:rFonts w:ascii="Times New Roman" w:hAnsi="Times New Roman"/>
                <w:color w:val="auto"/>
                <w:sz w:val="24"/>
                <w:szCs w:val="24"/>
              </w:rPr>
              <w:t>，属于</w:t>
            </w:r>
            <w:r>
              <w:rPr>
                <w:rFonts w:hint="eastAsia" w:ascii="Times New Roman" w:hAnsi="Times New Roman"/>
                <w:color w:val="auto"/>
                <w:sz w:val="24"/>
                <w:szCs w:val="24"/>
              </w:rPr>
              <w:t>危险</w:t>
            </w:r>
            <w:r>
              <w:rPr>
                <w:rFonts w:ascii="Times New Roman" w:hAnsi="Times New Roman"/>
                <w:color w:val="auto"/>
                <w:sz w:val="24"/>
                <w:szCs w:val="24"/>
              </w:rPr>
              <w:t>废物</w:t>
            </w:r>
            <w:r>
              <w:rPr>
                <w:rFonts w:hint="eastAsia" w:ascii="Times New Roman" w:hAnsi="Times New Roman"/>
                <w:color w:val="auto"/>
                <w:sz w:val="24"/>
                <w:szCs w:val="24"/>
              </w:rPr>
              <w:t>（废物类别：HW</w:t>
            </w:r>
            <w:r>
              <w:rPr>
                <w:rFonts w:hint="eastAsia" w:ascii="Times New Roman" w:hAnsi="Times New Roman"/>
                <w:color w:val="auto"/>
                <w:sz w:val="24"/>
                <w:szCs w:val="24"/>
                <w:lang w:val="en-US" w:eastAsia="zh-CN"/>
              </w:rPr>
              <w:t>08</w:t>
            </w:r>
            <w:r>
              <w:rPr>
                <w:rFonts w:hint="eastAsia" w:ascii="Times New Roman" w:hAnsi="Times New Roman"/>
                <w:color w:val="auto"/>
                <w:sz w:val="24"/>
                <w:szCs w:val="24"/>
              </w:rPr>
              <w:t>其他废物，危废代码：900-</w:t>
            </w:r>
            <w:r>
              <w:rPr>
                <w:rFonts w:hint="eastAsia" w:ascii="Times New Roman" w:hAnsi="Times New Roman"/>
                <w:color w:val="auto"/>
                <w:sz w:val="24"/>
                <w:szCs w:val="24"/>
                <w:lang w:val="en-US" w:eastAsia="zh-CN"/>
              </w:rPr>
              <w:t>214</w:t>
            </w:r>
            <w:r>
              <w:rPr>
                <w:rFonts w:hint="eastAsia" w:ascii="Times New Roman" w:hAnsi="Times New Roman"/>
                <w:color w:val="auto"/>
                <w:sz w:val="24"/>
                <w:szCs w:val="24"/>
              </w:rPr>
              <w:t>-</w:t>
            </w:r>
            <w:r>
              <w:rPr>
                <w:rFonts w:hint="eastAsia" w:ascii="Times New Roman" w:hAnsi="Times New Roman"/>
                <w:color w:val="auto"/>
                <w:sz w:val="24"/>
                <w:szCs w:val="24"/>
                <w:lang w:val="en-US" w:eastAsia="zh-CN"/>
              </w:rPr>
              <w:t>08</w:t>
            </w:r>
            <w:r>
              <w:rPr>
                <w:rFonts w:hint="eastAsia" w:ascii="Times New Roman" w:hAnsi="Times New Roman"/>
                <w:color w:val="auto"/>
                <w:sz w:val="24"/>
                <w:szCs w:val="24"/>
              </w:rPr>
              <w:t>）</w:t>
            </w:r>
            <w:r>
              <w:rPr>
                <w:rFonts w:ascii="Times New Roman" w:hAnsi="Times New Roman"/>
                <w:color w:val="auto"/>
                <w:sz w:val="24"/>
                <w:szCs w:val="24"/>
              </w:rPr>
              <w:t>，</w:t>
            </w:r>
            <w:r>
              <w:rPr>
                <w:rFonts w:hint="eastAsia" w:ascii="Times New Roman" w:hAnsi="Times New Roman"/>
                <w:color w:val="auto"/>
                <w:sz w:val="24"/>
                <w:szCs w:val="24"/>
                <w:lang w:eastAsia="zh-CN"/>
              </w:rPr>
              <w:t>每次检修结束后，企业立即委托有资质的单位对废润滑油进行处置，不在厂区内暂存。</w:t>
            </w:r>
          </w:p>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本技改项目建成后固体废物产生及处置情况见表</w:t>
            </w:r>
            <w:r>
              <w:rPr>
                <w:rFonts w:hint="eastAsia" w:ascii="Times New Roman" w:hAnsi="Times New Roman"/>
                <w:color w:val="auto"/>
                <w:sz w:val="24"/>
                <w:szCs w:val="24"/>
              </w:rPr>
              <w:t>32</w:t>
            </w:r>
            <w:r>
              <w:rPr>
                <w:rFonts w:ascii="Times New Roman" w:hAnsi="Times New Roman"/>
                <w:color w:val="auto"/>
                <w:sz w:val="24"/>
                <w:szCs w:val="24"/>
              </w:rPr>
              <w:t>。</w:t>
            </w:r>
          </w:p>
          <w:p>
            <w:pPr>
              <w:widowControl w:val="0"/>
              <w:numPr>
                <w:ilvl w:val="0"/>
                <w:numId w:val="13"/>
              </w:numPr>
              <w:jc w:val="center"/>
              <w:rPr>
                <w:rFonts w:ascii="Times New Roman" w:hAnsi="Times New Roman"/>
                <w:b/>
                <w:color w:val="auto"/>
                <w:kern w:val="0"/>
                <w:sz w:val="24"/>
                <w:szCs w:val="24"/>
              </w:rPr>
            </w:pPr>
            <w:r>
              <w:rPr>
                <w:rFonts w:ascii="Times New Roman" w:hAnsi="Times New Roman"/>
                <w:b/>
                <w:color w:val="auto"/>
                <w:kern w:val="0"/>
                <w:sz w:val="24"/>
                <w:szCs w:val="24"/>
              </w:rPr>
              <w:t>项目固体废物产生情况一览表</w:t>
            </w:r>
          </w:p>
          <w:tbl>
            <w:tblPr>
              <w:tblStyle w:val="90"/>
              <w:tblW w:w="4995"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751"/>
              <w:gridCol w:w="747"/>
              <w:gridCol w:w="1142"/>
              <w:gridCol w:w="891"/>
              <w:gridCol w:w="1437"/>
              <w:gridCol w:w="642"/>
              <w:gridCol w:w="1066"/>
              <w:gridCol w:w="158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409" w:hRule="atLeast"/>
              </w:trPr>
              <w:tc>
                <w:tcPr>
                  <w:tcW w:w="454"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hint="eastAsia" w:ascii="Times New Roman" w:hAnsi="Times New Roman"/>
                      <w:bCs/>
                      <w:color w:val="auto"/>
                      <w:szCs w:val="21"/>
                    </w:rPr>
                    <w:t>危险废物</w:t>
                  </w:r>
                  <w:r>
                    <w:rPr>
                      <w:rFonts w:ascii="Times New Roman" w:hAnsi="Times New Roman"/>
                      <w:bCs/>
                      <w:color w:val="auto"/>
                      <w:szCs w:val="21"/>
                    </w:rPr>
                    <w:t>名称</w:t>
                  </w:r>
                </w:p>
              </w:tc>
              <w:tc>
                <w:tcPr>
                  <w:tcW w:w="452"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hint="eastAsia" w:ascii="Times New Roman" w:hAnsi="Times New Roman"/>
                      <w:bCs/>
                      <w:color w:val="auto"/>
                      <w:szCs w:val="21"/>
                    </w:rPr>
                    <w:t>危险废物类别</w:t>
                  </w:r>
                </w:p>
              </w:tc>
              <w:tc>
                <w:tcPr>
                  <w:tcW w:w="691"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hint="eastAsia" w:ascii="Times New Roman" w:hAnsi="Times New Roman"/>
                      <w:bCs/>
                      <w:color w:val="auto"/>
                      <w:szCs w:val="21"/>
                    </w:rPr>
                    <w:t>危废代码</w:t>
                  </w:r>
                </w:p>
              </w:tc>
              <w:tc>
                <w:tcPr>
                  <w:tcW w:w="539"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ascii="Times New Roman" w:hAnsi="Times New Roman"/>
                      <w:bCs/>
                      <w:color w:val="auto"/>
                      <w:szCs w:val="21"/>
                    </w:rPr>
                    <w:t>产生量</w:t>
                  </w:r>
                </w:p>
              </w:tc>
              <w:tc>
                <w:tcPr>
                  <w:tcW w:w="869" w:type="pct"/>
                  <w:vAlign w:val="center"/>
                </w:tcPr>
                <w:p>
                  <w:pPr>
                    <w:widowControl w:val="0"/>
                    <w:adjustRightInd w:val="0"/>
                    <w:snapToGrid w:val="0"/>
                    <w:jc w:val="center"/>
                    <w:rPr>
                      <w:rFonts w:ascii="Times New Roman" w:hAnsi="Times New Roman"/>
                      <w:bCs/>
                      <w:color w:val="auto"/>
                      <w:szCs w:val="21"/>
                    </w:rPr>
                  </w:pPr>
                  <w:r>
                    <w:rPr>
                      <w:rFonts w:ascii="Times New Roman" w:hAnsi="Times New Roman"/>
                      <w:bCs/>
                      <w:color w:val="auto"/>
                      <w:szCs w:val="21"/>
                    </w:rPr>
                    <w:t>产生环节</w:t>
                  </w:r>
                </w:p>
              </w:tc>
              <w:tc>
                <w:tcPr>
                  <w:tcW w:w="388"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hint="eastAsia" w:ascii="Times New Roman" w:hAnsi="Times New Roman"/>
                      <w:bCs/>
                      <w:color w:val="auto"/>
                      <w:szCs w:val="21"/>
                    </w:rPr>
                    <w:t>形态</w:t>
                  </w:r>
                </w:p>
              </w:tc>
              <w:tc>
                <w:tcPr>
                  <w:tcW w:w="645"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hint="eastAsia" w:ascii="Times New Roman" w:hAnsi="Times New Roman"/>
                      <w:bCs/>
                      <w:color w:val="auto"/>
                      <w:szCs w:val="21"/>
                    </w:rPr>
                    <w:t>危险特性</w:t>
                  </w:r>
                </w:p>
              </w:tc>
              <w:tc>
                <w:tcPr>
                  <w:tcW w:w="958" w:type="pct"/>
                  <w:tcMar>
                    <w:left w:w="0" w:type="dxa"/>
                    <w:right w:w="0" w:type="dxa"/>
                  </w:tcMar>
                  <w:vAlign w:val="center"/>
                </w:tcPr>
                <w:p>
                  <w:pPr>
                    <w:widowControl w:val="0"/>
                    <w:adjustRightInd w:val="0"/>
                    <w:snapToGrid w:val="0"/>
                    <w:jc w:val="center"/>
                    <w:rPr>
                      <w:rFonts w:ascii="Times New Roman" w:hAnsi="Times New Roman"/>
                      <w:bCs/>
                      <w:color w:val="auto"/>
                      <w:szCs w:val="21"/>
                    </w:rPr>
                  </w:pPr>
                  <w:r>
                    <w:rPr>
                      <w:rFonts w:ascii="Times New Roman" w:hAnsi="Times New Roman"/>
                      <w:bCs/>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660" w:hRule="atLeast"/>
              </w:trPr>
              <w:tc>
                <w:tcPr>
                  <w:tcW w:w="454"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废分</w:t>
                  </w:r>
                </w:p>
                <w:p>
                  <w:pPr>
                    <w:widowControl w:val="0"/>
                    <w:adjustRightInd w:val="0"/>
                    <w:snapToGrid w:val="0"/>
                    <w:jc w:val="center"/>
                    <w:rPr>
                      <w:rFonts w:ascii="Times New Roman" w:hAnsi="Times New Roman"/>
                      <w:color w:val="auto"/>
                      <w:szCs w:val="21"/>
                    </w:rPr>
                  </w:pPr>
                  <w:r>
                    <w:rPr>
                      <w:rFonts w:ascii="Times New Roman" w:hAnsi="Times New Roman"/>
                      <w:color w:val="auto"/>
                      <w:szCs w:val="21"/>
                    </w:rPr>
                    <w:t>子筛</w:t>
                  </w:r>
                </w:p>
              </w:tc>
              <w:tc>
                <w:tcPr>
                  <w:tcW w:w="452"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HW</w:t>
                  </w:r>
                  <w:r>
                    <w:rPr>
                      <w:rFonts w:hint="eastAsia" w:ascii="Times New Roman" w:hAnsi="Times New Roman"/>
                      <w:color w:val="auto"/>
                      <w:szCs w:val="21"/>
                    </w:rPr>
                    <w:t>49</w:t>
                  </w:r>
                </w:p>
              </w:tc>
              <w:tc>
                <w:tcPr>
                  <w:tcW w:w="69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900-041-49</w:t>
                  </w:r>
                </w:p>
              </w:tc>
              <w:tc>
                <w:tcPr>
                  <w:tcW w:w="539"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lang w:val="en-US" w:eastAsia="zh-CN"/>
                    </w:rPr>
                    <w:t>2.46</w:t>
                  </w:r>
                  <w:r>
                    <w:rPr>
                      <w:rFonts w:hint="eastAsia" w:ascii="Times New Roman" w:hAnsi="Times New Roman"/>
                      <w:color w:val="auto"/>
                      <w:szCs w:val="21"/>
                    </w:rPr>
                    <w:t>t/a</w:t>
                  </w:r>
                </w:p>
              </w:tc>
              <w:tc>
                <w:tcPr>
                  <w:tcW w:w="869" w:type="pct"/>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粗氦提取单元、催化脱氢单元</w:t>
                  </w:r>
                </w:p>
              </w:tc>
              <w:tc>
                <w:tcPr>
                  <w:tcW w:w="388"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固态</w:t>
                  </w:r>
                </w:p>
              </w:tc>
              <w:tc>
                <w:tcPr>
                  <w:tcW w:w="64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T/ln</w:t>
                  </w:r>
                </w:p>
              </w:tc>
              <w:tc>
                <w:tcPr>
                  <w:tcW w:w="958" w:type="pct"/>
                  <w:vMerge w:val="restart"/>
                  <w:tcMar>
                    <w:left w:w="0" w:type="dxa"/>
                    <w:right w:w="0" w:type="dxa"/>
                  </w:tcMar>
                  <w:vAlign w:val="center"/>
                </w:tcPr>
                <w:p>
                  <w:pPr>
                    <w:widowControl w:val="0"/>
                    <w:adjustRightInd w:val="0"/>
                    <w:snapToGrid w:val="0"/>
                    <w:jc w:val="center"/>
                    <w:rPr>
                      <w:rFonts w:ascii="Times New Roman" w:hAnsi="Times New Roman"/>
                      <w:color w:val="auto"/>
                    </w:rPr>
                  </w:pPr>
                  <w:r>
                    <w:rPr>
                      <w:rFonts w:hint="eastAsia" w:ascii="Times New Roman" w:hAnsi="Times New Roman"/>
                      <w:color w:val="auto"/>
                    </w:rPr>
                    <w:t>由厂家更换后送往有资质的单位处置，不在厂区内暂存。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trHeight w:val="542" w:hRule="atLeast"/>
              </w:trPr>
              <w:tc>
                <w:tcPr>
                  <w:tcW w:w="454"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废催</w:t>
                  </w:r>
                </w:p>
                <w:p>
                  <w:pPr>
                    <w:widowControl w:val="0"/>
                    <w:adjustRightInd w:val="0"/>
                    <w:snapToGrid w:val="0"/>
                    <w:jc w:val="center"/>
                    <w:rPr>
                      <w:rFonts w:ascii="Times New Roman" w:hAnsi="Times New Roman"/>
                      <w:color w:val="auto"/>
                      <w:szCs w:val="21"/>
                    </w:rPr>
                  </w:pPr>
                  <w:r>
                    <w:rPr>
                      <w:rFonts w:ascii="Times New Roman" w:hAnsi="Times New Roman"/>
                      <w:color w:val="auto"/>
                      <w:szCs w:val="21"/>
                    </w:rPr>
                    <w:t>化剂</w:t>
                  </w:r>
                </w:p>
              </w:tc>
              <w:tc>
                <w:tcPr>
                  <w:tcW w:w="452"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HW50</w:t>
                  </w:r>
                </w:p>
              </w:tc>
              <w:tc>
                <w:tcPr>
                  <w:tcW w:w="69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261-156-50</w:t>
                  </w:r>
                </w:p>
              </w:tc>
              <w:tc>
                <w:tcPr>
                  <w:tcW w:w="539"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0.0</w:t>
                  </w:r>
                  <w:r>
                    <w:rPr>
                      <w:rFonts w:hint="eastAsia" w:ascii="Times New Roman" w:hAnsi="Times New Roman"/>
                      <w:color w:val="auto"/>
                      <w:szCs w:val="21"/>
                      <w:lang w:val="en-US" w:eastAsia="zh-CN"/>
                    </w:rPr>
                    <w:t>615</w:t>
                  </w:r>
                  <w:r>
                    <w:rPr>
                      <w:rFonts w:hint="eastAsia" w:ascii="Times New Roman" w:hAnsi="Times New Roman"/>
                      <w:color w:val="auto"/>
                      <w:szCs w:val="21"/>
                    </w:rPr>
                    <w:t>t/a</w:t>
                  </w:r>
                </w:p>
              </w:tc>
              <w:tc>
                <w:tcPr>
                  <w:tcW w:w="869" w:type="pct"/>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催化脱氢单元</w:t>
                  </w:r>
                </w:p>
              </w:tc>
              <w:tc>
                <w:tcPr>
                  <w:tcW w:w="388"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固态</w:t>
                  </w:r>
                </w:p>
              </w:tc>
              <w:tc>
                <w:tcPr>
                  <w:tcW w:w="64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T</w:t>
                  </w:r>
                </w:p>
              </w:tc>
              <w:tc>
                <w:tcPr>
                  <w:tcW w:w="958"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454"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废活</w:t>
                  </w:r>
                </w:p>
                <w:p>
                  <w:pPr>
                    <w:widowControl w:val="0"/>
                    <w:adjustRightInd w:val="0"/>
                    <w:snapToGrid w:val="0"/>
                    <w:jc w:val="center"/>
                    <w:rPr>
                      <w:rFonts w:ascii="Times New Roman" w:hAnsi="Times New Roman"/>
                      <w:color w:val="auto"/>
                      <w:szCs w:val="21"/>
                    </w:rPr>
                  </w:pPr>
                  <w:r>
                    <w:rPr>
                      <w:rFonts w:ascii="Times New Roman" w:hAnsi="Times New Roman"/>
                      <w:color w:val="auto"/>
                      <w:szCs w:val="21"/>
                    </w:rPr>
                    <w:t>性炭</w:t>
                  </w:r>
                </w:p>
              </w:tc>
              <w:tc>
                <w:tcPr>
                  <w:tcW w:w="452"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HW</w:t>
                  </w:r>
                  <w:r>
                    <w:rPr>
                      <w:rFonts w:hint="eastAsia" w:ascii="Times New Roman" w:hAnsi="Times New Roman"/>
                      <w:color w:val="auto"/>
                      <w:szCs w:val="21"/>
                    </w:rPr>
                    <w:t>49</w:t>
                  </w:r>
                </w:p>
              </w:tc>
              <w:tc>
                <w:tcPr>
                  <w:tcW w:w="69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900-039-49</w:t>
                  </w:r>
                </w:p>
              </w:tc>
              <w:tc>
                <w:tcPr>
                  <w:tcW w:w="539"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0.</w:t>
                  </w:r>
                  <w:r>
                    <w:rPr>
                      <w:rFonts w:hint="eastAsia" w:ascii="Times New Roman" w:hAnsi="Times New Roman"/>
                      <w:color w:val="auto"/>
                      <w:szCs w:val="21"/>
                      <w:lang w:val="en-US" w:eastAsia="zh-CN"/>
                    </w:rPr>
                    <w:t>72</w:t>
                  </w:r>
                  <w:r>
                    <w:rPr>
                      <w:rFonts w:hint="eastAsia" w:ascii="Times New Roman" w:hAnsi="Times New Roman"/>
                      <w:color w:val="auto"/>
                      <w:szCs w:val="21"/>
                    </w:rPr>
                    <w:t>t/a</w:t>
                  </w:r>
                </w:p>
              </w:tc>
              <w:tc>
                <w:tcPr>
                  <w:tcW w:w="869" w:type="pct"/>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氦气精制单元</w:t>
                  </w:r>
                </w:p>
              </w:tc>
              <w:tc>
                <w:tcPr>
                  <w:tcW w:w="388"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固态</w:t>
                  </w:r>
                </w:p>
              </w:tc>
              <w:tc>
                <w:tcPr>
                  <w:tcW w:w="64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T</w:t>
                  </w:r>
                </w:p>
              </w:tc>
              <w:tc>
                <w:tcPr>
                  <w:tcW w:w="958" w:type="pct"/>
                  <w:vMerge w:val="continue"/>
                  <w:tcMar>
                    <w:left w:w="0" w:type="dxa"/>
                    <w:right w:w="0" w:type="dxa"/>
                  </w:tcMar>
                  <w:vAlign w:val="center"/>
                </w:tcPr>
                <w:p>
                  <w:pPr>
                    <w:widowControl w:val="0"/>
                    <w:adjustRightInd w:val="0"/>
                    <w:snapToGrid w:val="0"/>
                    <w:jc w:val="center"/>
                    <w:rPr>
                      <w:rFonts w:ascii="Times New Roman" w:hAnsi="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c>
                <w:tcPr>
                  <w:tcW w:w="454"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废润</w:t>
                  </w:r>
                </w:p>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滑油</w:t>
                  </w:r>
                </w:p>
              </w:tc>
              <w:tc>
                <w:tcPr>
                  <w:tcW w:w="452"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HW-08</w:t>
                  </w:r>
                </w:p>
              </w:tc>
              <w:tc>
                <w:tcPr>
                  <w:tcW w:w="691"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900-214-08</w:t>
                  </w:r>
                </w:p>
              </w:tc>
              <w:tc>
                <w:tcPr>
                  <w:tcW w:w="539"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0.2t/a</w:t>
                  </w:r>
                </w:p>
              </w:tc>
              <w:tc>
                <w:tcPr>
                  <w:tcW w:w="869" w:type="pct"/>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粗氦提取单元、催化脱氢单元、氦气精制单元</w:t>
                  </w:r>
                </w:p>
              </w:tc>
              <w:tc>
                <w:tcPr>
                  <w:tcW w:w="388"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hint="eastAsia" w:ascii="Times New Roman" w:hAnsi="Times New Roman"/>
                      <w:color w:val="auto"/>
                      <w:szCs w:val="21"/>
                    </w:rPr>
                    <w:t>固态</w:t>
                  </w:r>
                </w:p>
              </w:tc>
              <w:tc>
                <w:tcPr>
                  <w:tcW w:w="645" w:type="pct"/>
                  <w:tcMar>
                    <w:left w:w="0" w:type="dxa"/>
                    <w:right w:w="0" w:type="dxa"/>
                  </w:tcMar>
                  <w:vAlign w:val="center"/>
                </w:tcPr>
                <w:p>
                  <w:pPr>
                    <w:widowControl w:val="0"/>
                    <w:adjustRightInd w:val="0"/>
                    <w:snapToGrid w:val="0"/>
                    <w:jc w:val="center"/>
                    <w:rPr>
                      <w:rFonts w:ascii="Times New Roman" w:hAnsi="Times New Roman"/>
                      <w:color w:val="auto"/>
                      <w:szCs w:val="21"/>
                    </w:rPr>
                  </w:pPr>
                  <w:r>
                    <w:rPr>
                      <w:rFonts w:ascii="Times New Roman" w:hAnsi="Times New Roman"/>
                      <w:color w:val="auto"/>
                      <w:szCs w:val="21"/>
                    </w:rPr>
                    <w:t>T</w:t>
                  </w:r>
                </w:p>
              </w:tc>
              <w:tc>
                <w:tcPr>
                  <w:tcW w:w="958" w:type="pct"/>
                  <w:tcMar>
                    <w:left w:w="0" w:type="dxa"/>
                    <w:right w:w="0" w:type="dxa"/>
                  </w:tcMar>
                  <w:vAlign w:val="center"/>
                </w:tcPr>
                <w:p>
                  <w:pPr>
                    <w:widowControl w:val="0"/>
                    <w:adjustRightInd w:val="0"/>
                    <w:snapToGrid w:val="0"/>
                    <w:jc w:val="center"/>
                    <w:rPr>
                      <w:rFonts w:hint="eastAsia" w:ascii="Times New Roman" w:hAnsi="Times New Roman" w:eastAsia="宋体"/>
                      <w:color w:val="auto"/>
                      <w:szCs w:val="21"/>
                      <w:lang w:eastAsia="zh-CN"/>
                    </w:rPr>
                  </w:pPr>
                  <w:r>
                    <w:rPr>
                      <w:rFonts w:hint="eastAsia" w:ascii="Times New Roman" w:hAnsi="Times New Roman"/>
                      <w:color w:val="auto"/>
                      <w:szCs w:val="21"/>
                    </w:rPr>
                    <w:t>检修结束后，企业立即委托有资质的单位进行处置，不在厂区内暂存</w:t>
                  </w:r>
                  <w:r>
                    <w:rPr>
                      <w:rFonts w:hint="eastAsia" w:ascii="Times New Roman" w:hAnsi="Times New Roman"/>
                      <w:color w:val="auto"/>
                      <w:szCs w:val="21"/>
                      <w:lang w:eastAsia="zh-CN"/>
                    </w:rPr>
                    <w:t>。</w:t>
                  </w:r>
                </w:p>
              </w:tc>
            </w:tr>
          </w:tbl>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（2）</w:t>
            </w:r>
            <w:r>
              <w:rPr>
                <w:rFonts w:hint="eastAsia" w:ascii="Times New Roman" w:hAnsi="Times New Roman"/>
                <w:color w:val="auto"/>
                <w:sz w:val="24"/>
                <w:szCs w:val="24"/>
              </w:rPr>
              <w:t>环境影响分析</w:t>
            </w:r>
          </w:p>
          <w:p>
            <w:pPr>
              <w:widowControl w:val="0"/>
              <w:spacing w:line="360" w:lineRule="auto"/>
              <w:ind w:firstLine="480" w:firstLineChars="200"/>
              <w:jc w:val="both"/>
              <w:rPr>
                <w:rFonts w:hint="eastAsia" w:ascii="宋体" w:hAnsi="宋体" w:cs="宋体"/>
                <w:color w:val="auto"/>
                <w:sz w:val="24"/>
                <w:szCs w:val="24"/>
                <w:lang w:eastAsia="zh-CN"/>
              </w:rPr>
            </w:pPr>
            <w:r>
              <w:rPr>
                <w:rFonts w:hint="eastAsia" w:ascii="宋体" w:hAnsi="宋体" w:cs="宋体"/>
                <w:color w:val="auto"/>
                <w:sz w:val="24"/>
                <w:szCs w:val="24"/>
                <w:lang w:eastAsia="zh-CN"/>
              </w:rPr>
              <w:t>本项目</w:t>
            </w:r>
            <w:r>
              <w:rPr>
                <w:rFonts w:hint="eastAsia" w:ascii="Times New Roman" w:hAnsi="Times New Roman"/>
                <w:color w:val="auto"/>
                <w:sz w:val="24"/>
                <w:szCs w:val="24"/>
                <w:lang w:eastAsia="zh-CN"/>
              </w:rPr>
              <w:t>运营期各环节</w:t>
            </w:r>
            <w:r>
              <w:rPr>
                <w:rFonts w:hint="eastAsia" w:ascii="Times New Roman" w:hAnsi="Times New Roman"/>
                <w:color w:val="auto"/>
                <w:sz w:val="24"/>
                <w:szCs w:val="24"/>
              </w:rPr>
              <w:t>压缩机和泵类检修时产生的废润滑油</w:t>
            </w:r>
            <w:r>
              <w:rPr>
                <w:rFonts w:hint="eastAsia" w:ascii="Times New Roman" w:hAnsi="Times New Roman"/>
                <w:color w:val="auto"/>
                <w:sz w:val="24"/>
                <w:szCs w:val="24"/>
                <w:lang w:eastAsia="zh-CN"/>
              </w:rPr>
              <w:t>采取立即送往有资质单位处置的方式，</w:t>
            </w:r>
            <w:r>
              <w:rPr>
                <w:rFonts w:hint="eastAsia" w:ascii="宋体" w:hAnsi="宋体" w:cs="宋体"/>
                <w:color w:val="auto"/>
                <w:sz w:val="24"/>
                <w:szCs w:val="24"/>
                <w:lang w:eastAsia="zh-CN"/>
              </w:rPr>
              <w:t>除废润滑油外的危险废物均</w:t>
            </w:r>
            <w:r>
              <w:rPr>
                <w:rFonts w:hint="eastAsia" w:ascii="宋体" w:hAnsi="宋体" w:cs="宋体"/>
                <w:color w:val="auto"/>
                <w:sz w:val="24"/>
                <w:szCs w:val="24"/>
              </w:rPr>
              <w:t>采取</w:t>
            </w:r>
            <w:r>
              <w:rPr>
                <w:rFonts w:hint="eastAsia" w:ascii="宋体" w:hAnsi="宋体" w:cs="宋体"/>
                <w:color w:val="auto"/>
                <w:sz w:val="24"/>
                <w:szCs w:val="24"/>
                <w:lang w:eastAsia="zh-CN"/>
              </w:rPr>
              <w:t>厂家更换</w:t>
            </w:r>
            <w:r>
              <w:rPr>
                <w:rFonts w:hint="eastAsia" w:ascii="Times New Roman" w:hAnsi="Times New Roman"/>
                <w:color w:val="auto"/>
                <w:sz w:val="24"/>
                <w:szCs w:val="24"/>
              </w:rPr>
              <w:t>后</w:t>
            </w:r>
            <w:r>
              <w:rPr>
                <w:rFonts w:hint="eastAsia" w:ascii="Times New Roman" w:hAnsi="Times New Roman"/>
                <w:color w:val="auto"/>
                <w:sz w:val="24"/>
                <w:szCs w:val="24"/>
                <w:lang w:eastAsia="zh-CN"/>
              </w:rPr>
              <w:t>送往有资质的单位处置</w:t>
            </w:r>
            <w:r>
              <w:rPr>
                <w:rFonts w:hint="eastAsia" w:ascii="宋体" w:hAnsi="宋体" w:cs="宋体"/>
                <w:color w:val="auto"/>
                <w:sz w:val="24"/>
                <w:szCs w:val="24"/>
                <w:lang w:eastAsia="zh-CN"/>
              </w:rPr>
              <w:t>的处理方式，即本项目产生的危废均不在厂区内暂存。</w:t>
            </w:r>
          </w:p>
          <w:p>
            <w:pPr>
              <w:widowControl w:val="0"/>
              <w:spacing w:line="360" w:lineRule="auto"/>
              <w:ind w:firstLine="480" w:firstLineChars="200"/>
              <w:jc w:val="both"/>
              <w:rPr>
                <w:rFonts w:ascii="Times New Roman" w:hAnsi="Times New Roman"/>
                <w:color w:val="auto"/>
                <w:sz w:val="24"/>
                <w:szCs w:val="24"/>
              </w:rPr>
            </w:pPr>
            <w:r>
              <w:rPr>
                <w:rFonts w:hint="eastAsia" w:ascii="宋体" w:hAnsi="宋体" w:cs="宋体"/>
                <w:color w:val="auto"/>
                <w:sz w:val="24"/>
                <w:szCs w:val="24"/>
                <w:lang w:eastAsia="zh-CN"/>
              </w:rPr>
              <w:t>综上所述，</w:t>
            </w:r>
            <w:r>
              <w:rPr>
                <w:rFonts w:ascii="Times New Roman" w:hAnsi="Times New Roman"/>
                <w:color w:val="auto"/>
                <w:sz w:val="24"/>
                <w:szCs w:val="24"/>
              </w:rPr>
              <w:t>本项目运营期各类固体废物均部能够做到妥善处置，固体废物的处理与处置符合</w:t>
            </w:r>
            <w:r>
              <w:rPr>
                <w:rFonts w:hint="eastAsia" w:ascii="Times New Roman" w:hAnsi="Times New Roman"/>
                <w:color w:val="auto"/>
                <w:sz w:val="24"/>
                <w:szCs w:val="24"/>
              </w:rPr>
              <w:t>“</w:t>
            </w:r>
            <w:r>
              <w:rPr>
                <w:rFonts w:ascii="Times New Roman" w:hAnsi="Times New Roman"/>
                <w:color w:val="auto"/>
                <w:sz w:val="24"/>
                <w:szCs w:val="24"/>
              </w:rPr>
              <w:t>减量化、无害化、资源化</w:t>
            </w:r>
            <w:r>
              <w:rPr>
                <w:rFonts w:hint="eastAsia" w:ascii="Times New Roman" w:hAnsi="Times New Roman"/>
                <w:color w:val="auto"/>
                <w:sz w:val="24"/>
                <w:szCs w:val="24"/>
              </w:rPr>
              <w:t>”</w:t>
            </w:r>
            <w:r>
              <w:rPr>
                <w:rFonts w:ascii="Times New Roman" w:hAnsi="Times New Roman"/>
                <w:color w:val="auto"/>
                <w:sz w:val="24"/>
                <w:szCs w:val="24"/>
              </w:rPr>
              <w:t>原则，对周边环境影响较小。</w:t>
            </w:r>
          </w:p>
          <w:p>
            <w:pPr>
              <w:widowControl w:val="0"/>
              <w:numPr>
                <w:ilvl w:val="3"/>
                <w:numId w:val="21"/>
              </w:numPr>
              <w:tabs>
                <w:tab w:val="left" w:pos="735"/>
              </w:tabs>
              <w:spacing w:line="360" w:lineRule="auto"/>
              <w:ind w:left="0" w:firstLine="482" w:firstLineChars="200"/>
              <w:jc w:val="both"/>
              <w:rPr>
                <w:rFonts w:ascii="Times New Roman" w:hAnsi="Times New Roman"/>
                <w:b/>
                <w:color w:val="auto"/>
                <w:sz w:val="24"/>
                <w:szCs w:val="24"/>
                <w:highlight w:val="yellow"/>
              </w:rPr>
            </w:pPr>
            <w:r>
              <w:rPr>
                <w:rFonts w:ascii="Times New Roman" w:hAnsi="Times New Roman"/>
                <w:b/>
                <w:color w:val="auto"/>
                <w:sz w:val="24"/>
              </w:rPr>
              <w:t>地下水及土壤</w:t>
            </w:r>
          </w:p>
          <w:p>
            <w:pPr>
              <w:widowControl w:val="0"/>
              <w:spacing w:line="360" w:lineRule="auto"/>
              <w:ind w:firstLine="480" w:firstLineChars="200"/>
              <w:jc w:val="both"/>
              <w:rPr>
                <w:rFonts w:ascii="Times New Roman" w:hAnsi="Times New Roman"/>
                <w:color w:val="auto"/>
                <w:sz w:val="24"/>
              </w:rPr>
            </w:pPr>
            <w:bookmarkStart w:id="32" w:name="_Hlk77146160"/>
            <w:r>
              <w:rPr>
                <w:rFonts w:ascii="Times New Roman" w:hAnsi="Times New Roman"/>
                <w:color w:val="auto"/>
                <w:sz w:val="24"/>
              </w:rPr>
              <w:t>（1）地下水、土壤污染源分析</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sz w:val="24"/>
              </w:rPr>
              <w:t>本项目运营期正常状况下</w:t>
            </w:r>
            <w:r>
              <w:rPr>
                <w:rFonts w:hint="eastAsia" w:ascii="Times New Roman" w:hAnsi="Times New Roman"/>
                <w:color w:val="auto"/>
                <w:sz w:val="24"/>
              </w:rPr>
              <w:t>，各生产环节按照设计参数运行，装置区设备和管线的跑冒滴漏的物料量很少，污水收集系统污水渗漏量也很小。厂区采取严格的分区防渗等措施后，由于项目污染源小且因防渗层的阻隔效果，泄露物料一般不会下渗到地下环境中。根据化工企业的实际情况分析，如果是罐区等可视场所发生硬化面破损，按目前厂区的管理规范，及时采取相应措施，不可能任由物料或废水漫流渗漏，而对于泄露初期短时间物料由于防渗措施阻隔一般不会下渗到地下环境中。因此只有在非可视部位发生渗漏时，或者该区域防渗层破损的情况下，泄露物料可能持续下渗对地下水及土壤环境造成影响。</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sz w:val="24"/>
              </w:rPr>
              <w:t>根据《环境影响评价技术导则 地下水环境》（HJ610-2016）</w:t>
            </w:r>
            <w:r>
              <w:rPr>
                <w:rFonts w:hint="eastAsia" w:ascii="Times New Roman" w:hAnsi="Times New Roman"/>
                <w:color w:val="auto"/>
                <w:sz w:val="24"/>
              </w:rPr>
              <w:t>中9.4.2条：“已依据GB16889、GB18597、GB18598、GB18599、GB/T 50934设计地下水污染防渗措施的建设项目，可不进行正常状况情景下的预测”。本项目对场地</w:t>
            </w:r>
            <w:r>
              <w:rPr>
                <w:rFonts w:ascii="Times New Roman" w:hAnsi="Times New Roman"/>
                <w:color w:val="auto"/>
                <w:sz w:val="24"/>
              </w:rPr>
              <w:t>各区域均参照</w:t>
            </w:r>
            <w:r>
              <w:rPr>
                <w:rFonts w:hint="eastAsia" w:ascii="Times New Roman" w:hAnsi="Times New Roman"/>
                <w:color w:val="auto"/>
                <w:sz w:val="24"/>
              </w:rPr>
              <w:t>《石油化工工程防渗技术规范》（GB/T50934-2013）进行分区，并严格按照要求</w:t>
            </w:r>
            <w:r>
              <w:rPr>
                <w:rFonts w:ascii="Times New Roman" w:hAnsi="Times New Roman"/>
                <w:color w:val="auto"/>
                <w:sz w:val="24"/>
              </w:rPr>
              <w:t>采取防渗或场地硬化，对地下水的影响较小，</w:t>
            </w:r>
            <w:r>
              <w:rPr>
                <w:rFonts w:hint="eastAsia" w:ascii="Times New Roman" w:hAnsi="Times New Roman"/>
                <w:color w:val="auto"/>
                <w:sz w:val="24"/>
              </w:rPr>
              <w:t>因此</w:t>
            </w:r>
            <w:r>
              <w:rPr>
                <w:rFonts w:ascii="Times New Roman" w:hAnsi="Times New Roman"/>
                <w:color w:val="auto"/>
                <w:sz w:val="24"/>
              </w:rPr>
              <w:t>可不进行正常状况情景下的预测。</w:t>
            </w:r>
          </w:p>
          <w:p>
            <w:pPr>
              <w:widowControl w:val="0"/>
              <w:numPr>
                <w:ilvl w:val="0"/>
                <w:numId w:val="22"/>
              </w:numPr>
              <w:spacing w:line="360" w:lineRule="auto"/>
              <w:ind w:firstLine="480"/>
              <w:jc w:val="both"/>
              <w:rPr>
                <w:rFonts w:ascii="Times New Roman" w:hAnsi="Times New Roman"/>
                <w:color w:val="auto"/>
                <w:sz w:val="24"/>
              </w:rPr>
            </w:pPr>
            <w:r>
              <w:rPr>
                <w:rFonts w:hint="eastAsia" w:ascii="Times New Roman" w:hAnsi="Times New Roman"/>
                <w:color w:val="auto"/>
                <w:sz w:val="24"/>
              </w:rPr>
              <w:t>分区防渗</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sz w:val="24"/>
              </w:rPr>
              <w:t>具体的防渗分区和防渗要求</w:t>
            </w:r>
            <w:r>
              <w:rPr>
                <w:rFonts w:hint="eastAsia" w:ascii="Times New Roman" w:hAnsi="Times New Roman"/>
                <w:color w:val="auto"/>
                <w:sz w:val="24"/>
              </w:rPr>
              <w:t>见表33和附图8。</w:t>
            </w:r>
          </w:p>
          <w:p>
            <w:pPr>
              <w:widowControl w:val="0"/>
              <w:numPr>
                <w:ilvl w:val="0"/>
                <w:numId w:val="13"/>
              </w:numPr>
              <w:jc w:val="center"/>
              <w:rPr>
                <w:rFonts w:ascii="Times New Roman" w:hAnsi="Times New Roman"/>
                <w:b/>
                <w:color w:val="auto"/>
                <w:sz w:val="24"/>
                <w:szCs w:val="24"/>
              </w:rPr>
            </w:pPr>
            <w:r>
              <w:rPr>
                <w:rFonts w:hint="eastAsia" w:ascii="Times New Roman" w:hAnsi="Times New Roman"/>
                <w:b/>
                <w:color w:val="auto"/>
                <w:sz w:val="24"/>
                <w:szCs w:val="24"/>
              </w:rPr>
              <w:t>分区防渗要求</w:t>
            </w: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9"/>
              <w:gridCol w:w="2313"/>
              <w:gridCol w:w="2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39" w:type="dxa"/>
                  <w:vAlign w:val="center"/>
                </w:tcPr>
                <w:p>
                  <w:pPr>
                    <w:widowControl w:val="0"/>
                    <w:adjustRightInd w:val="0"/>
                    <w:spacing w:line="460" w:lineRule="exact"/>
                    <w:ind w:firstLine="0"/>
                    <w:jc w:val="center"/>
                    <w:textAlignment w:val="baseline"/>
                    <w:rPr>
                      <w:rFonts w:ascii="Times New Roman" w:hAnsi="Times New Roman"/>
                      <w:bCs/>
                      <w:color w:val="auto"/>
                      <w:szCs w:val="21"/>
                    </w:rPr>
                  </w:pPr>
                  <w:r>
                    <w:rPr>
                      <w:rFonts w:hint="eastAsia" w:ascii="Times New Roman" w:hAnsi="Times New Roman"/>
                      <w:bCs/>
                      <w:color w:val="auto"/>
                      <w:szCs w:val="21"/>
                    </w:rPr>
                    <w:t>防渗分区</w:t>
                  </w:r>
                </w:p>
              </w:tc>
              <w:tc>
                <w:tcPr>
                  <w:tcW w:w="2313" w:type="dxa"/>
                  <w:vAlign w:val="center"/>
                </w:tcPr>
                <w:p>
                  <w:pPr>
                    <w:widowControl w:val="0"/>
                    <w:adjustRightInd w:val="0"/>
                    <w:spacing w:line="460" w:lineRule="exact"/>
                    <w:ind w:firstLine="0"/>
                    <w:jc w:val="center"/>
                    <w:textAlignment w:val="baseline"/>
                    <w:rPr>
                      <w:rFonts w:ascii="Times New Roman" w:hAnsi="Times New Roman"/>
                      <w:bCs/>
                      <w:color w:val="auto"/>
                      <w:szCs w:val="21"/>
                    </w:rPr>
                  </w:pPr>
                  <w:r>
                    <w:rPr>
                      <w:rFonts w:hint="eastAsia" w:ascii="Times New Roman" w:hAnsi="Times New Roman"/>
                      <w:bCs/>
                      <w:color w:val="auto"/>
                      <w:szCs w:val="21"/>
                    </w:rPr>
                    <w:t>分区内容</w:t>
                  </w:r>
                </w:p>
              </w:tc>
              <w:tc>
                <w:tcPr>
                  <w:tcW w:w="2727" w:type="dxa"/>
                  <w:vAlign w:val="center"/>
                </w:tcPr>
                <w:p>
                  <w:pPr>
                    <w:widowControl w:val="0"/>
                    <w:adjustRightInd w:val="0"/>
                    <w:spacing w:line="460" w:lineRule="exact"/>
                    <w:ind w:firstLine="0"/>
                    <w:jc w:val="center"/>
                    <w:textAlignment w:val="baseline"/>
                    <w:rPr>
                      <w:rFonts w:ascii="Times New Roman" w:hAnsi="Times New Roman"/>
                      <w:bCs/>
                      <w:color w:val="auto"/>
                      <w:szCs w:val="21"/>
                    </w:rPr>
                  </w:pPr>
                  <w:r>
                    <w:rPr>
                      <w:rFonts w:hint="eastAsia" w:ascii="Times New Roman" w:hAnsi="Times New Roman"/>
                      <w:bCs/>
                      <w:color w:val="auto"/>
                      <w:szCs w:val="21"/>
                    </w:rPr>
                    <w:t>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3139" w:type="dxa"/>
                  <w:vAlign w:val="center"/>
                </w:tcPr>
                <w:p>
                  <w:pPr>
                    <w:widowControl w:val="0"/>
                    <w:adjustRightInd w:val="0"/>
                    <w:spacing w:line="240" w:lineRule="auto"/>
                    <w:ind w:firstLine="0"/>
                    <w:jc w:val="center"/>
                    <w:textAlignment w:val="baseline"/>
                    <w:rPr>
                      <w:rFonts w:ascii="Times New Roman" w:hAnsi="Times New Roman"/>
                      <w:bCs/>
                      <w:color w:val="auto"/>
                      <w:szCs w:val="21"/>
                    </w:rPr>
                  </w:pPr>
                  <w:r>
                    <w:rPr>
                      <w:rFonts w:ascii="Times New Roman" w:hAnsi="Times New Roman"/>
                      <w:color w:val="auto"/>
                      <w:szCs w:val="21"/>
                    </w:rPr>
                    <w:t>一般防渗区</w:t>
                  </w:r>
                  <w:r>
                    <w:rPr>
                      <w:rFonts w:hint="eastAsia" w:ascii="Times New Roman" w:hAnsi="Times New Roman"/>
                      <w:color w:val="auto"/>
                      <w:szCs w:val="21"/>
                    </w:rPr>
                    <w:t>（</w:t>
                  </w:r>
                  <w:r>
                    <w:rPr>
                      <w:rFonts w:ascii="Times New Roman" w:hAnsi="Times New Roman"/>
                      <w:color w:val="auto"/>
                      <w:szCs w:val="21"/>
                    </w:rPr>
                    <w:t>裸露地面的生产功能单元，污染地下水环境的物料泄漏容易及时发现和处理的区域</w:t>
                  </w:r>
                  <w:r>
                    <w:rPr>
                      <w:rFonts w:hint="eastAsia" w:ascii="Times New Roman" w:hAnsi="Times New Roman"/>
                      <w:color w:val="auto"/>
                      <w:szCs w:val="21"/>
                    </w:rPr>
                    <w:t>）</w:t>
                  </w:r>
                </w:p>
              </w:tc>
              <w:tc>
                <w:tcPr>
                  <w:tcW w:w="2313" w:type="dxa"/>
                  <w:vAlign w:val="center"/>
                </w:tcPr>
                <w:p>
                  <w:pPr>
                    <w:widowControl w:val="0"/>
                    <w:adjustRightInd w:val="0"/>
                    <w:spacing w:line="240" w:lineRule="auto"/>
                    <w:ind w:firstLine="0"/>
                    <w:jc w:val="center"/>
                    <w:textAlignment w:val="baseline"/>
                    <w:rPr>
                      <w:rFonts w:ascii="Times New Roman" w:hAnsi="Times New Roman"/>
                      <w:bCs/>
                      <w:color w:val="auto"/>
                      <w:szCs w:val="21"/>
                    </w:rPr>
                  </w:pPr>
                  <w:r>
                    <w:rPr>
                      <w:rFonts w:ascii="Times New Roman" w:hAnsi="Times New Roman"/>
                      <w:color w:val="auto"/>
                      <w:szCs w:val="21"/>
                    </w:rPr>
                    <w:t>主要</w:t>
                  </w:r>
                  <w:r>
                    <w:rPr>
                      <w:rFonts w:hint="eastAsia" w:ascii="Times New Roman" w:hAnsi="Times New Roman"/>
                      <w:color w:val="auto"/>
                      <w:szCs w:val="21"/>
                    </w:rPr>
                    <w:t>为</w:t>
                  </w:r>
                  <w:r>
                    <w:rPr>
                      <w:rFonts w:ascii="Times New Roman" w:hAnsi="Times New Roman"/>
                      <w:color w:val="auto"/>
                      <w:szCs w:val="21"/>
                    </w:rPr>
                    <w:t>生产</w:t>
                  </w:r>
                  <w:r>
                    <w:rPr>
                      <w:rFonts w:hint="eastAsia" w:ascii="Times New Roman" w:hAnsi="Times New Roman"/>
                      <w:color w:val="auto"/>
                      <w:szCs w:val="21"/>
                    </w:rPr>
                    <w:t>装置</w:t>
                  </w:r>
                  <w:r>
                    <w:rPr>
                      <w:rFonts w:ascii="Times New Roman" w:hAnsi="Times New Roman"/>
                      <w:color w:val="auto"/>
                      <w:szCs w:val="21"/>
                    </w:rPr>
                    <w:t>区。</w:t>
                  </w:r>
                </w:p>
              </w:tc>
              <w:tc>
                <w:tcPr>
                  <w:tcW w:w="2727" w:type="dxa"/>
                  <w:vAlign w:val="center"/>
                </w:tcPr>
                <w:p>
                  <w:pPr>
                    <w:widowControl w:val="0"/>
                    <w:adjustRightInd w:val="0"/>
                    <w:spacing w:line="240" w:lineRule="auto"/>
                    <w:ind w:firstLine="0"/>
                    <w:jc w:val="center"/>
                    <w:textAlignment w:val="baseline"/>
                    <w:rPr>
                      <w:rFonts w:ascii="Times New Roman" w:hAnsi="Times New Roman"/>
                      <w:color w:val="auto"/>
                      <w:szCs w:val="21"/>
                    </w:rPr>
                  </w:pPr>
                  <w:r>
                    <w:rPr>
                      <w:rFonts w:ascii="Times New Roman" w:hAnsi="Times New Roman"/>
                      <w:color w:val="auto"/>
                      <w:szCs w:val="21"/>
                    </w:rPr>
                    <w:t>等效黏土防渗层Mb≥1.5m，K≤1×10</w:t>
                  </w:r>
                  <w:r>
                    <w:rPr>
                      <w:rFonts w:ascii="Times New Roman" w:hAnsi="Times New Roman"/>
                      <w:color w:val="auto"/>
                      <w:szCs w:val="21"/>
                      <w:vertAlign w:val="superscript"/>
                    </w:rPr>
                    <w:t>-7</w:t>
                  </w:r>
                  <w:r>
                    <w:rPr>
                      <w:rFonts w:ascii="Times New Roman" w:hAnsi="Times New Roman"/>
                      <w:color w:val="auto"/>
                      <w:szCs w:val="21"/>
                    </w:rPr>
                    <w:t>cm/s；或参照《一般工业固体废物贮存、处置场污染控制标准》（GB18599-2001）执行。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3139" w:type="dxa"/>
                  <w:vAlign w:val="center"/>
                </w:tcPr>
                <w:p>
                  <w:pPr>
                    <w:widowControl w:val="0"/>
                    <w:adjustRightInd w:val="0"/>
                    <w:spacing w:line="240" w:lineRule="auto"/>
                    <w:ind w:firstLine="0"/>
                    <w:jc w:val="center"/>
                    <w:textAlignment w:val="baseline"/>
                    <w:rPr>
                      <w:rFonts w:ascii="Times New Roman" w:hAnsi="Times New Roman"/>
                      <w:bCs/>
                      <w:color w:val="auto"/>
                      <w:szCs w:val="21"/>
                    </w:rPr>
                  </w:pPr>
                  <w:r>
                    <w:rPr>
                      <w:rFonts w:ascii="Times New Roman" w:hAnsi="Times New Roman"/>
                      <w:color w:val="auto"/>
                      <w:szCs w:val="21"/>
                    </w:rPr>
                    <w:t>简单防渗区</w:t>
                  </w:r>
                  <w:r>
                    <w:rPr>
                      <w:rFonts w:hint="eastAsia" w:ascii="Times New Roman" w:hAnsi="Times New Roman"/>
                      <w:color w:val="auto"/>
                      <w:szCs w:val="21"/>
                    </w:rPr>
                    <w:t>（</w:t>
                  </w:r>
                  <w:r>
                    <w:rPr>
                      <w:rFonts w:ascii="Times New Roman" w:hAnsi="Times New Roman"/>
                      <w:color w:val="auto"/>
                      <w:szCs w:val="21"/>
                    </w:rPr>
                    <w:t>没有物料或污染物泄露，不会对地下水环境造成污染的区域</w:t>
                  </w:r>
                  <w:r>
                    <w:rPr>
                      <w:rFonts w:hint="eastAsia" w:ascii="Times New Roman" w:hAnsi="Times New Roman"/>
                      <w:color w:val="auto"/>
                      <w:szCs w:val="21"/>
                    </w:rPr>
                    <w:t>）</w:t>
                  </w:r>
                </w:p>
              </w:tc>
              <w:tc>
                <w:tcPr>
                  <w:tcW w:w="2313" w:type="dxa"/>
                  <w:vAlign w:val="center"/>
                </w:tcPr>
                <w:p>
                  <w:pPr>
                    <w:widowControl w:val="0"/>
                    <w:adjustRightInd w:val="0"/>
                    <w:spacing w:line="240" w:lineRule="auto"/>
                    <w:ind w:firstLine="0"/>
                    <w:jc w:val="center"/>
                    <w:textAlignment w:val="baseline"/>
                    <w:rPr>
                      <w:rFonts w:ascii="Times New Roman" w:hAnsi="Times New Roman"/>
                      <w:bCs/>
                      <w:color w:val="auto"/>
                      <w:szCs w:val="21"/>
                    </w:rPr>
                  </w:pPr>
                  <w:r>
                    <w:rPr>
                      <w:rFonts w:ascii="Times New Roman" w:hAnsi="Times New Roman"/>
                      <w:color w:val="auto"/>
                      <w:szCs w:val="21"/>
                    </w:rPr>
                    <w:t>主要为</w:t>
                  </w:r>
                  <w:r>
                    <w:rPr>
                      <w:rFonts w:hint="eastAsia" w:ascii="Times New Roman" w:hAnsi="Times New Roman"/>
                      <w:color w:val="auto"/>
                      <w:szCs w:val="21"/>
                    </w:rPr>
                    <w:t>生产装置区周边道路</w:t>
                  </w:r>
                  <w:r>
                    <w:rPr>
                      <w:rFonts w:ascii="Times New Roman" w:hAnsi="Times New Roman"/>
                      <w:color w:val="auto"/>
                      <w:szCs w:val="21"/>
                    </w:rPr>
                    <w:t>。</w:t>
                  </w:r>
                </w:p>
              </w:tc>
              <w:tc>
                <w:tcPr>
                  <w:tcW w:w="2727" w:type="dxa"/>
                  <w:vAlign w:val="center"/>
                </w:tcPr>
                <w:p>
                  <w:pPr>
                    <w:pStyle w:val="329"/>
                    <w:widowControl w:val="0"/>
                    <w:adjustRightInd w:val="0"/>
                    <w:spacing w:line="240" w:lineRule="auto"/>
                    <w:ind w:firstLine="0" w:firstLineChars="0"/>
                    <w:jc w:val="center"/>
                    <w:textAlignment w:val="baseline"/>
                    <w:rPr>
                      <w:rFonts w:ascii="Times New Roman" w:hAnsi="Times New Roman"/>
                      <w:bCs/>
                      <w:color w:val="auto"/>
                      <w:szCs w:val="21"/>
                    </w:rPr>
                  </w:pPr>
                  <w:r>
                    <w:rPr>
                      <w:rFonts w:hint="eastAsia" w:ascii="Times New Roman" w:hAnsi="Times New Roman"/>
                      <w:color w:val="auto"/>
                      <w:szCs w:val="21"/>
                    </w:rPr>
                    <w:t>做</w:t>
                  </w:r>
                  <w:r>
                    <w:rPr>
                      <w:rFonts w:ascii="Times New Roman" w:hAnsi="Times New Roman"/>
                      <w:color w:val="auto"/>
                      <w:szCs w:val="21"/>
                    </w:rPr>
                    <w:t>一般地面硬化即可。</w:t>
                  </w:r>
                </w:p>
              </w:tc>
            </w:tr>
          </w:tbl>
          <w:p>
            <w:pPr>
              <w:pStyle w:val="329"/>
              <w:widowControl w:val="0"/>
              <w:spacing w:line="360" w:lineRule="auto"/>
              <w:ind w:firstLine="480"/>
              <w:jc w:val="both"/>
              <w:rPr>
                <w:rFonts w:ascii="Times New Roman" w:hAnsi="Times New Roman"/>
                <w:color w:val="auto"/>
                <w:sz w:val="24"/>
              </w:rPr>
            </w:pPr>
            <w:r>
              <w:rPr>
                <w:rFonts w:hint="eastAsia" w:ascii="Times New Roman" w:hAnsi="Times New Roman"/>
                <w:color w:val="auto"/>
                <w:sz w:val="24"/>
              </w:rPr>
              <w:t>（3）地下水及土壤防渗保护措施</w:t>
            </w:r>
          </w:p>
          <w:p>
            <w:pPr>
              <w:pStyle w:val="329"/>
              <w:widowControl w:val="0"/>
              <w:spacing w:line="360" w:lineRule="auto"/>
              <w:ind w:firstLine="480"/>
              <w:jc w:val="both"/>
              <w:rPr>
                <w:rFonts w:ascii="Times New Roman" w:hAnsi="Times New Roman"/>
                <w:color w:val="auto"/>
                <w:sz w:val="24"/>
              </w:rPr>
            </w:pPr>
            <w:r>
              <w:rPr>
                <w:rFonts w:ascii="Times New Roman" w:hAnsi="Times New Roman"/>
                <w:color w:val="auto"/>
                <w:sz w:val="24"/>
              </w:rPr>
              <w:t>在分区防渗的基础上，</w:t>
            </w:r>
            <w:r>
              <w:rPr>
                <w:rFonts w:hint="eastAsia" w:ascii="Times New Roman" w:hAnsi="Times New Roman"/>
                <w:color w:val="auto"/>
                <w:sz w:val="24"/>
              </w:rPr>
              <w:t>选择先进、成熟、可靠的工艺技术并对产生的废物进行合理的回用和治理，尽可能从源头上减少污染物排放；严格按照国家相关规范要求，对工艺、管道、设备、污水储存及处理构筑物采取相应的措施，防止和减少污染物的跑、冒、滴、漏，将污染物泄漏的环境风险事故降到最低程度；</w:t>
            </w:r>
            <w:r>
              <w:rPr>
                <w:rFonts w:ascii="Times New Roman" w:hAnsi="Times New Roman"/>
                <w:color w:val="auto"/>
                <w:sz w:val="24"/>
              </w:rPr>
              <w:t>运行期加强管理，定期巡查废水收集管道或设施、生产废水处理设施的完好性，对存在破损、老化的管道或设施及时维修或更换，确保无废水泄漏等人为管理措施也极其重要。</w:t>
            </w:r>
          </w:p>
          <w:p>
            <w:pPr>
              <w:widowControl w:val="0"/>
              <w:spacing w:line="360" w:lineRule="auto"/>
              <w:ind w:firstLine="480" w:firstLineChars="200"/>
              <w:jc w:val="both"/>
              <w:rPr>
                <w:rFonts w:ascii="Times New Roman" w:hAnsi="Times New Roman"/>
                <w:color w:val="auto"/>
                <w:sz w:val="24"/>
              </w:rPr>
            </w:pPr>
            <w:r>
              <w:rPr>
                <w:rFonts w:hint="eastAsia" w:ascii="Times New Roman" w:hAnsi="Times New Roman"/>
                <w:color w:val="auto"/>
                <w:kern w:val="0"/>
                <w:sz w:val="24"/>
                <w:szCs w:val="24"/>
              </w:rPr>
              <w:t>综上，本项目在采取环评提出的风险防范措施，并采取有效的综合管理措施的前提下，所产生的环境风险可以控制在可接受风险水平之内。</w:t>
            </w:r>
          </w:p>
          <w:bookmarkEnd w:id="32"/>
          <w:p>
            <w:pPr>
              <w:widowControl w:val="0"/>
              <w:numPr>
                <w:ilvl w:val="3"/>
                <w:numId w:val="21"/>
              </w:numPr>
              <w:tabs>
                <w:tab w:val="left" w:pos="735"/>
              </w:tabs>
              <w:spacing w:line="360" w:lineRule="auto"/>
              <w:ind w:left="0" w:firstLine="482" w:firstLineChars="200"/>
              <w:jc w:val="both"/>
              <w:rPr>
                <w:rFonts w:ascii="Times New Roman" w:hAnsi="Times New Roman"/>
                <w:b/>
                <w:color w:val="auto"/>
                <w:sz w:val="24"/>
                <w:szCs w:val="24"/>
              </w:rPr>
            </w:pPr>
            <w:r>
              <w:rPr>
                <w:rFonts w:ascii="Times New Roman" w:hAnsi="Times New Roman"/>
                <w:b/>
                <w:color w:val="auto"/>
                <w:sz w:val="24"/>
                <w:szCs w:val="24"/>
              </w:rPr>
              <w:t>环境</w:t>
            </w:r>
            <w:r>
              <w:rPr>
                <w:rFonts w:ascii="Times New Roman" w:hAnsi="Times New Roman"/>
                <w:b/>
                <w:color w:val="auto"/>
                <w:sz w:val="24"/>
              </w:rPr>
              <w:t>风险</w:t>
            </w:r>
          </w:p>
          <w:p>
            <w:pPr>
              <w:widowControl w:val="0"/>
              <w:spacing w:line="360" w:lineRule="auto"/>
              <w:ind w:firstLine="480" w:firstLineChars="200"/>
              <w:jc w:val="both"/>
              <w:rPr>
                <w:rFonts w:ascii="Times New Roman" w:hAnsi="Times New Roman"/>
                <w:color w:val="auto"/>
                <w:kern w:val="0"/>
                <w:sz w:val="24"/>
                <w:szCs w:val="24"/>
              </w:rPr>
            </w:pPr>
            <w:r>
              <w:rPr>
                <w:rFonts w:ascii="Times New Roman" w:hAnsi="Times New Roman"/>
                <w:color w:val="auto"/>
                <w:kern w:val="0"/>
                <w:sz w:val="24"/>
                <w:szCs w:val="24"/>
              </w:rPr>
              <w:t>（1）危险源及影响途径识别</w:t>
            </w:r>
          </w:p>
          <w:p>
            <w:pPr>
              <w:widowControl w:val="0"/>
              <w:spacing w:line="360" w:lineRule="auto"/>
              <w:ind w:firstLine="480" w:firstLineChars="200"/>
              <w:jc w:val="both"/>
              <w:rPr>
                <w:rFonts w:ascii="Times New Roman" w:hAnsi="Times New Roman"/>
                <w:color w:val="auto"/>
                <w:kern w:val="0"/>
                <w:sz w:val="24"/>
                <w:szCs w:val="24"/>
              </w:rPr>
            </w:pPr>
            <w:r>
              <w:rPr>
                <w:rFonts w:hint="eastAsia" w:ascii="宋体" w:hAnsi="宋体" w:cs="宋体"/>
                <w:color w:val="auto"/>
                <w:kern w:val="0"/>
                <w:sz w:val="24"/>
                <w:szCs w:val="24"/>
              </w:rPr>
              <w:t>①</w:t>
            </w:r>
            <w:r>
              <w:rPr>
                <w:rFonts w:ascii="Times New Roman" w:hAnsi="Times New Roman"/>
                <w:color w:val="auto"/>
                <w:kern w:val="0"/>
                <w:sz w:val="24"/>
                <w:szCs w:val="24"/>
              </w:rPr>
              <w:t>风险源调查</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kern w:val="0"/>
                <w:sz w:val="24"/>
                <w:szCs w:val="24"/>
              </w:rPr>
              <w:t>根据《建设项目环境风险评价技术导则》（HJ169-2018）附录B，本项目主要风险物质为原料气BOG以及提氦装置区产生的富甲烷解析气尾气，甲烷</w:t>
            </w:r>
            <w:r>
              <w:rPr>
                <w:rFonts w:ascii="Times New Roman" w:hAnsi="Times New Roman"/>
                <w:color w:val="auto"/>
                <w:sz w:val="24"/>
              </w:rPr>
              <w:t>CAS号为74-82-8，临界量为10t。本项目</w:t>
            </w:r>
            <w:r>
              <w:rPr>
                <w:rFonts w:hint="eastAsia" w:ascii="Times New Roman" w:hAnsi="Times New Roman"/>
                <w:color w:val="auto"/>
                <w:sz w:val="24"/>
              </w:rPr>
              <w:t>提氦</w:t>
            </w:r>
            <w:r>
              <w:rPr>
                <w:rFonts w:ascii="Times New Roman" w:hAnsi="Times New Roman"/>
                <w:color w:val="auto"/>
                <w:sz w:val="24"/>
              </w:rPr>
              <w:t>生产装置区</w:t>
            </w:r>
            <w:r>
              <w:rPr>
                <w:rFonts w:hint="eastAsia" w:ascii="Times New Roman" w:hAnsi="Times New Roman"/>
                <w:color w:val="auto"/>
                <w:sz w:val="24"/>
              </w:rPr>
              <w:t>使用的原料气BOG来自于厂区现有BOG缓冲罐，由于该BOG缓冲罐依托现有，因此该BOG缓冲罐不列入此次风险分析范围。原料气从厂区现有BOG缓冲罐通过管道连接至提氦装置区，根据建设单位提供资料，从厂区现有BOG缓冲罐向提氦装置新建163m管道，管道公径为DN50，压力为3.2 MPa，温度为30</w:t>
            </w:r>
            <w:r>
              <w:rPr>
                <w:rFonts w:hint="eastAsia" w:ascii="宋体" w:hAnsi="宋体"/>
                <w:color w:val="auto"/>
                <w:sz w:val="24"/>
              </w:rPr>
              <w:t>℃</w:t>
            </w:r>
            <w:r>
              <w:rPr>
                <w:rFonts w:hint="eastAsia" w:ascii="Times New Roman" w:hAnsi="Times New Roman"/>
                <w:color w:val="auto"/>
                <w:sz w:val="24"/>
              </w:rPr>
              <w:t>，管道中的BOG存量约为0.32m</w:t>
            </w:r>
            <w:r>
              <w:rPr>
                <w:rFonts w:hint="eastAsia" w:ascii="Times New Roman" w:hAnsi="Times New Roman"/>
                <w:color w:val="auto"/>
                <w:sz w:val="24"/>
                <w:vertAlign w:val="superscript"/>
              </w:rPr>
              <w:t>3</w:t>
            </w:r>
            <w:r>
              <w:rPr>
                <w:rFonts w:hint="eastAsia" w:ascii="Times New Roman" w:hAnsi="Times New Roman"/>
                <w:color w:val="auto"/>
                <w:sz w:val="24"/>
              </w:rPr>
              <w:t>（6.5kg）；项目设有1座解析气缓冲罐，标况下容积为15m</w:t>
            </w:r>
            <w:r>
              <w:rPr>
                <w:rFonts w:hint="eastAsia" w:ascii="Times New Roman" w:hAnsi="Times New Roman"/>
                <w:color w:val="auto"/>
                <w:sz w:val="24"/>
                <w:vertAlign w:val="superscript"/>
              </w:rPr>
              <w:t>3</w:t>
            </w:r>
            <w:r>
              <w:rPr>
                <w:rFonts w:hint="eastAsia" w:ascii="Times New Roman" w:hAnsi="Times New Roman"/>
                <w:color w:val="auto"/>
                <w:sz w:val="24"/>
              </w:rPr>
              <w:t>，储罐充装系数不宜超过0.9，因此该解析气缓冲罐的最大容积为13.5m</w:t>
            </w:r>
            <w:r>
              <w:rPr>
                <w:rFonts w:hint="eastAsia" w:ascii="Times New Roman" w:hAnsi="Times New Roman"/>
                <w:color w:val="auto"/>
                <w:sz w:val="24"/>
                <w:vertAlign w:val="superscript"/>
              </w:rPr>
              <w:t>3</w:t>
            </w:r>
            <w:r>
              <w:rPr>
                <w:rFonts w:hint="eastAsia" w:ascii="Times New Roman" w:hAnsi="Times New Roman"/>
                <w:color w:val="auto"/>
                <w:sz w:val="24"/>
              </w:rPr>
              <w:t>，能储存富甲烷解析气的最大容量为9.637kg；项目粗氦提取单元产生的富甲烷解析气通过管道排入厂区现有燃料气管线充当燃料气使用，根据建设单位提供资料，从本项目解析气压缩机向厂区现有燃料气管线新建150m管道，管道公径为DN150，压力为0.6 MPa，温度为20</w:t>
            </w:r>
            <w:r>
              <w:rPr>
                <w:rFonts w:hint="eastAsia" w:ascii="宋体" w:hAnsi="宋体"/>
                <w:color w:val="auto"/>
                <w:sz w:val="24"/>
              </w:rPr>
              <w:t>℃</w:t>
            </w:r>
            <w:r>
              <w:rPr>
                <w:rFonts w:hint="eastAsia" w:ascii="Times New Roman" w:hAnsi="Times New Roman"/>
                <w:color w:val="auto"/>
                <w:sz w:val="24"/>
              </w:rPr>
              <w:t>，管道中的富甲烷解析气存量约为2.65m</w:t>
            </w:r>
            <w:r>
              <w:rPr>
                <w:rFonts w:hint="eastAsia" w:ascii="Times New Roman" w:hAnsi="Times New Roman"/>
                <w:color w:val="auto"/>
                <w:sz w:val="24"/>
                <w:vertAlign w:val="superscript"/>
              </w:rPr>
              <w:t>3</w:t>
            </w:r>
            <w:r>
              <w:rPr>
                <w:rFonts w:hint="eastAsia" w:ascii="Times New Roman" w:hAnsi="Times New Roman"/>
                <w:color w:val="auto"/>
                <w:sz w:val="24"/>
              </w:rPr>
              <w:t>（10.44kg）。</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sz w:val="24"/>
              </w:rPr>
              <w:t>根据</w:t>
            </w:r>
            <w:r>
              <w:rPr>
                <w:rFonts w:hint="eastAsia" w:ascii="Times New Roman" w:hAnsi="Times New Roman"/>
                <w:color w:val="auto"/>
                <w:sz w:val="24"/>
              </w:rPr>
              <w:t>《建设项目环境风险评价技术导则》（HJ169 2018），</w:t>
            </w:r>
            <w:r>
              <w:rPr>
                <w:rFonts w:ascii="Times New Roman" w:hAnsi="Times New Roman"/>
                <w:color w:val="auto"/>
                <w:sz w:val="24"/>
              </w:rPr>
              <w:t>计算所涉及的每种危险物质在厂界内的最大存在总量与其在附录B中对应临界量的比值</w:t>
            </w:r>
            <w:r>
              <w:rPr>
                <w:rFonts w:ascii="Times New Roman" w:hAnsi="Times New Roman"/>
                <w:i/>
                <w:iCs/>
                <w:color w:val="auto"/>
                <w:sz w:val="24"/>
              </w:rPr>
              <w:t>Q</w:t>
            </w:r>
            <w:r>
              <w:rPr>
                <w:rFonts w:ascii="Times New Roman" w:hAnsi="Times New Roman"/>
                <w:color w:val="auto"/>
                <w:sz w:val="24"/>
              </w:rPr>
              <w:t>。</w:t>
            </w:r>
            <w:r>
              <w:rPr>
                <w:rFonts w:hint="eastAsia" w:ascii="Times New Roman" w:hAnsi="Times New Roman"/>
                <w:color w:val="auto"/>
                <w:sz w:val="24"/>
              </w:rPr>
              <w:t>在不同厂区的同一种物质，按其在厂界内的最大存在总量计算。当只涉及一种危险物质时，计算该物质的总量与其临界量比值，即为Q。本技改项目只涉及甲烷一种危险物质，计算甲烷的总量与其临界值比值极为Q。</w:t>
            </w:r>
            <w:r>
              <w:rPr>
                <w:rFonts w:ascii="Times New Roman" w:hAnsi="Times New Roman"/>
                <w:color w:val="auto"/>
                <w:sz w:val="24"/>
              </w:rPr>
              <w:t>当</w:t>
            </w:r>
            <w:r>
              <w:rPr>
                <w:rFonts w:ascii="Times New Roman" w:hAnsi="Times New Roman"/>
                <w:i/>
                <w:iCs/>
                <w:color w:val="auto"/>
                <w:sz w:val="24"/>
              </w:rPr>
              <w:t>Q</w:t>
            </w:r>
            <w:r>
              <w:rPr>
                <w:rFonts w:ascii="Times New Roman" w:hAnsi="Times New Roman"/>
                <w:color w:val="auto"/>
                <w:sz w:val="24"/>
              </w:rPr>
              <w:t>＜1时，该项目环境风险潜势为Ⅰ。当</w:t>
            </w:r>
            <w:r>
              <w:rPr>
                <w:rFonts w:ascii="Times New Roman" w:hAnsi="Times New Roman"/>
                <w:i/>
                <w:iCs/>
                <w:color w:val="auto"/>
                <w:sz w:val="24"/>
              </w:rPr>
              <w:t>Q</w:t>
            </w:r>
            <w:r>
              <w:rPr>
                <w:rFonts w:ascii="Times New Roman" w:hAnsi="Times New Roman"/>
                <w:color w:val="auto"/>
                <w:sz w:val="24"/>
              </w:rPr>
              <w:t>≥1时，将</w:t>
            </w:r>
            <w:r>
              <w:rPr>
                <w:rFonts w:ascii="Times New Roman" w:hAnsi="Times New Roman"/>
                <w:i/>
                <w:iCs/>
                <w:color w:val="auto"/>
                <w:sz w:val="24"/>
              </w:rPr>
              <w:t>Q</w:t>
            </w:r>
            <w:r>
              <w:rPr>
                <w:rFonts w:ascii="Times New Roman" w:hAnsi="Times New Roman"/>
                <w:color w:val="auto"/>
                <w:sz w:val="24"/>
              </w:rPr>
              <w:t>值划分为：1≤</w:t>
            </w:r>
            <w:r>
              <w:rPr>
                <w:rFonts w:ascii="Times New Roman" w:hAnsi="Times New Roman"/>
                <w:i/>
                <w:iCs/>
                <w:color w:val="auto"/>
                <w:sz w:val="24"/>
              </w:rPr>
              <w:t>Q</w:t>
            </w:r>
            <w:r>
              <w:rPr>
                <w:rFonts w:ascii="Times New Roman" w:hAnsi="Times New Roman"/>
                <w:color w:val="auto"/>
                <w:sz w:val="24"/>
              </w:rPr>
              <w:t>＜10；10≤</w:t>
            </w:r>
            <w:r>
              <w:rPr>
                <w:rFonts w:ascii="Times New Roman" w:hAnsi="Times New Roman"/>
                <w:i/>
                <w:iCs/>
                <w:color w:val="auto"/>
                <w:sz w:val="24"/>
              </w:rPr>
              <w:t>Q</w:t>
            </w:r>
            <w:r>
              <w:rPr>
                <w:rFonts w:ascii="Times New Roman" w:hAnsi="Times New Roman"/>
                <w:color w:val="auto"/>
                <w:sz w:val="24"/>
              </w:rPr>
              <w:t>＜100；</w:t>
            </w:r>
            <w:r>
              <w:rPr>
                <w:rFonts w:ascii="Times New Roman" w:hAnsi="Times New Roman"/>
                <w:i/>
                <w:iCs/>
                <w:color w:val="auto"/>
                <w:sz w:val="24"/>
              </w:rPr>
              <w:t>Q</w:t>
            </w:r>
            <w:r>
              <w:rPr>
                <w:rFonts w:ascii="Times New Roman" w:hAnsi="Times New Roman"/>
                <w:color w:val="auto"/>
                <w:sz w:val="24"/>
              </w:rPr>
              <w:t>≥100。</w:t>
            </w:r>
          </w:p>
          <w:p>
            <w:pPr>
              <w:widowControl w:val="0"/>
              <w:spacing w:line="360" w:lineRule="auto"/>
              <w:ind w:firstLine="480" w:firstLineChars="200"/>
              <w:jc w:val="both"/>
              <w:rPr>
                <w:rFonts w:ascii="Times New Roman" w:hAnsi="Times New Roman"/>
                <w:color w:val="auto"/>
                <w:sz w:val="24"/>
              </w:rPr>
            </w:pPr>
            <w:r>
              <w:rPr>
                <w:rFonts w:ascii="Times New Roman" w:hAnsi="Times New Roman"/>
                <w:color w:val="auto"/>
                <w:sz w:val="24"/>
              </w:rPr>
              <w:t>本项目风险物质Q值计算结果见表</w:t>
            </w:r>
            <w:r>
              <w:rPr>
                <w:rFonts w:hint="eastAsia" w:ascii="Times New Roman" w:hAnsi="Times New Roman"/>
                <w:color w:val="auto"/>
                <w:sz w:val="24"/>
              </w:rPr>
              <w:t>34</w:t>
            </w:r>
            <w:r>
              <w:rPr>
                <w:rFonts w:ascii="Times New Roman" w:hAnsi="Times New Roman"/>
                <w:color w:val="auto"/>
                <w:sz w:val="24"/>
              </w:rPr>
              <w:t>。</w:t>
            </w:r>
          </w:p>
          <w:p>
            <w:pPr>
              <w:widowControl w:val="0"/>
              <w:numPr>
                <w:ilvl w:val="0"/>
                <w:numId w:val="13"/>
              </w:numPr>
              <w:jc w:val="center"/>
              <w:rPr>
                <w:rFonts w:ascii="Times New Roman" w:hAnsi="Times New Roman"/>
                <w:b/>
                <w:color w:val="auto"/>
                <w:sz w:val="24"/>
                <w:szCs w:val="24"/>
              </w:rPr>
            </w:pPr>
            <w:r>
              <w:rPr>
                <w:rFonts w:ascii="Times New Roman" w:hAnsi="Times New Roman"/>
                <w:b/>
                <w:color w:val="auto"/>
                <w:sz w:val="24"/>
                <w:szCs w:val="24"/>
              </w:rPr>
              <w:t>危险物质数量与临界量比值</w:t>
            </w:r>
          </w:p>
          <w:tbl>
            <w:tblPr>
              <w:tblStyle w:val="90"/>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445"/>
              <w:gridCol w:w="1621"/>
              <w:gridCol w:w="1327"/>
              <w:gridCol w:w="1342"/>
              <w:gridCol w:w="1167"/>
              <w:gridCol w:w="1353"/>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6" w:hRule="atLeast"/>
                <w:jc w:val="center"/>
              </w:trPr>
              <w:tc>
                <w:tcPr>
                  <w:tcW w:w="875" w:type="pct"/>
                </w:tcPr>
                <w:p>
                  <w:pPr>
                    <w:widowControl w:val="0"/>
                    <w:jc w:val="center"/>
                    <w:rPr>
                      <w:rFonts w:ascii="Times New Roman" w:hAnsi="Times New Roman"/>
                      <w:color w:val="auto"/>
                      <w:szCs w:val="21"/>
                    </w:rPr>
                  </w:pPr>
                  <w:r>
                    <w:rPr>
                      <w:rFonts w:ascii="Times New Roman" w:hAnsi="Times New Roman"/>
                      <w:color w:val="auto"/>
                      <w:szCs w:val="21"/>
                    </w:rPr>
                    <w:t>风险单元</w:t>
                  </w:r>
                </w:p>
              </w:tc>
              <w:tc>
                <w:tcPr>
                  <w:tcW w:w="981" w:type="pct"/>
                  <w:vAlign w:val="center"/>
                </w:tcPr>
                <w:p>
                  <w:pPr>
                    <w:widowControl w:val="0"/>
                    <w:jc w:val="center"/>
                    <w:rPr>
                      <w:rFonts w:ascii="Times New Roman" w:hAnsi="Times New Roman"/>
                      <w:color w:val="auto"/>
                      <w:szCs w:val="21"/>
                    </w:rPr>
                  </w:pPr>
                  <w:r>
                    <w:rPr>
                      <w:rFonts w:ascii="Times New Roman" w:hAnsi="Times New Roman"/>
                      <w:color w:val="auto"/>
                      <w:szCs w:val="21"/>
                    </w:rPr>
                    <w:t>危险</w:t>
                  </w:r>
                  <w:r>
                    <w:rPr>
                      <w:rFonts w:hint="eastAsia" w:ascii="Times New Roman" w:hAnsi="Times New Roman"/>
                      <w:color w:val="auto"/>
                      <w:szCs w:val="21"/>
                    </w:rPr>
                    <w:t>物质</w:t>
                  </w:r>
                </w:p>
              </w:tc>
              <w:tc>
                <w:tcPr>
                  <w:tcW w:w="803" w:type="pct"/>
                  <w:vAlign w:val="center"/>
                </w:tcPr>
                <w:p>
                  <w:pPr>
                    <w:widowControl w:val="0"/>
                    <w:jc w:val="center"/>
                    <w:rPr>
                      <w:rFonts w:ascii="Times New Roman" w:hAnsi="Times New Roman"/>
                      <w:color w:val="auto"/>
                      <w:szCs w:val="21"/>
                    </w:rPr>
                  </w:pPr>
                  <w:r>
                    <w:rPr>
                      <w:rFonts w:ascii="Times New Roman" w:hAnsi="Times New Roman"/>
                      <w:color w:val="auto"/>
                      <w:szCs w:val="21"/>
                    </w:rPr>
                    <w:t>最大储量(t)</w:t>
                  </w:r>
                </w:p>
              </w:tc>
              <w:tc>
                <w:tcPr>
                  <w:tcW w:w="812" w:type="pct"/>
                  <w:vAlign w:val="center"/>
                </w:tcPr>
                <w:p>
                  <w:pPr>
                    <w:widowControl w:val="0"/>
                    <w:jc w:val="center"/>
                    <w:rPr>
                      <w:rFonts w:ascii="Times New Roman" w:hAnsi="Times New Roman"/>
                      <w:color w:val="auto"/>
                      <w:szCs w:val="21"/>
                    </w:rPr>
                  </w:pPr>
                  <w:r>
                    <w:rPr>
                      <w:rFonts w:ascii="Times New Roman" w:hAnsi="Times New Roman"/>
                      <w:color w:val="auto"/>
                      <w:szCs w:val="21"/>
                    </w:rPr>
                    <w:t>临界量(t)</w:t>
                  </w:r>
                </w:p>
              </w:tc>
              <w:tc>
                <w:tcPr>
                  <w:tcW w:w="706" w:type="pct"/>
                  <w:vAlign w:val="center"/>
                </w:tcPr>
                <w:p>
                  <w:pPr>
                    <w:widowControl w:val="0"/>
                    <w:jc w:val="center"/>
                    <w:rPr>
                      <w:rFonts w:ascii="Times New Roman" w:hAnsi="Times New Roman"/>
                      <w:color w:val="auto"/>
                      <w:szCs w:val="21"/>
                    </w:rPr>
                  </w:pPr>
                  <w:r>
                    <w:rPr>
                      <w:rFonts w:ascii="Times New Roman" w:hAnsi="Times New Roman"/>
                      <w:color w:val="auto"/>
                      <w:szCs w:val="21"/>
                    </w:rPr>
                    <w:t>Q值</w:t>
                  </w:r>
                </w:p>
              </w:tc>
              <w:tc>
                <w:tcPr>
                  <w:tcW w:w="819" w:type="pct"/>
                  <w:vAlign w:val="center"/>
                </w:tcPr>
                <w:p>
                  <w:pPr>
                    <w:widowControl w:val="0"/>
                    <w:jc w:val="center"/>
                    <w:rPr>
                      <w:rFonts w:ascii="Times New Roman" w:hAnsi="Times New Roman"/>
                      <w:color w:val="auto"/>
                      <w:szCs w:val="21"/>
                    </w:rPr>
                  </w:pPr>
                  <w:r>
                    <w:rPr>
                      <w:rFonts w:ascii="Times New Roman" w:hAnsi="Times New Roman"/>
                      <w:color w:val="auto"/>
                      <w:szCs w:val="21"/>
                    </w:rPr>
                    <w:t>Q值Σ</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875" w:type="pc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原料气BOG输送管道</w:t>
                  </w:r>
                </w:p>
              </w:tc>
              <w:tc>
                <w:tcPr>
                  <w:tcW w:w="981" w:type="pc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甲烷</w:t>
                  </w:r>
                </w:p>
              </w:tc>
              <w:tc>
                <w:tcPr>
                  <w:tcW w:w="803" w:type="pct"/>
                  <w:vAlign w:val="center"/>
                </w:tcPr>
                <w:p>
                  <w:pPr>
                    <w:widowControl w:val="0"/>
                    <w:jc w:val="center"/>
                    <w:rPr>
                      <w:rFonts w:ascii="Times New Roman" w:hAnsi="Times New Roman"/>
                      <w:color w:val="auto"/>
                      <w:szCs w:val="21"/>
                    </w:rPr>
                  </w:pPr>
                  <w:r>
                    <w:rPr>
                      <w:rFonts w:hint="eastAsia" w:ascii="Times New Roman" w:hAnsi="Times New Roman"/>
                      <w:color w:val="auto"/>
                      <w:szCs w:val="21"/>
                    </w:rPr>
                    <w:t>0.00650</w:t>
                  </w:r>
                </w:p>
              </w:tc>
              <w:tc>
                <w:tcPr>
                  <w:tcW w:w="812" w:type="pct"/>
                  <w:vMerge w:val="restar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10</w:t>
                  </w:r>
                </w:p>
              </w:tc>
              <w:tc>
                <w:tcPr>
                  <w:tcW w:w="706" w:type="pct"/>
                  <w:vAlign w:val="center"/>
                </w:tcPr>
                <w:p>
                  <w:pPr>
                    <w:widowControl w:val="0"/>
                    <w:jc w:val="center"/>
                    <w:rPr>
                      <w:rFonts w:ascii="Times New Roman" w:hAnsi="Times New Roman"/>
                      <w:color w:val="auto"/>
                      <w:kern w:val="0"/>
                      <w:szCs w:val="21"/>
                    </w:rPr>
                  </w:pPr>
                  <w:r>
                    <w:rPr>
                      <w:rFonts w:hint="eastAsia" w:ascii="Times New Roman" w:hAnsi="Times New Roman"/>
                      <w:color w:val="auto"/>
                      <w:kern w:val="0"/>
                      <w:szCs w:val="21"/>
                    </w:rPr>
                    <w:t>0.00065</w:t>
                  </w:r>
                </w:p>
              </w:tc>
              <w:tc>
                <w:tcPr>
                  <w:tcW w:w="819" w:type="pct"/>
                  <w:vMerge w:val="restart"/>
                  <w:shd w:val="clear" w:color="auto" w:fill="auto"/>
                  <w:vAlign w:val="center"/>
                </w:tcPr>
                <w:p>
                  <w:pPr>
                    <w:widowControl w:val="0"/>
                    <w:jc w:val="center"/>
                    <w:rPr>
                      <w:rFonts w:ascii="Times New Roman" w:hAnsi="Times New Roman"/>
                      <w:color w:val="auto"/>
                      <w:szCs w:val="21"/>
                    </w:rPr>
                  </w:pPr>
                  <w:r>
                    <w:rPr>
                      <w:rFonts w:hint="eastAsia" w:ascii="Times New Roman" w:hAnsi="Times New Roman"/>
                      <w:color w:val="auto"/>
                      <w:szCs w:val="21"/>
                    </w:rPr>
                    <w:t>0.00265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875" w:type="pc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解析气缓冲罐</w:t>
                  </w:r>
                </w:p>
              </w:tc>
              <w:tc>
                <w:tcPr>
                  <w:tcW w:w="981" w:type="pc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甲烷</w:t>
                  </w:r>
                </w:p>
              </w:tc>
              <w:tc>
                <w:tcPr>
                  <w:tcW w:w="803" w:type="pct"/>
                  <w:vAlign w:val="center"/>
                </w:tcPr>
                <w:p>
                  <w:pPr>
                    <w:widowControl w:val="0"/>
                    <w:jc w:val="center"/>
                    <w:rPr>
                      <w:rFonts w:ascii="Times New Roman" w:hAnsi="Times New Roman"/>
                      <w:color w:val="auto"/>
                      <w:szCs w:val="21"/>
                    </w:rPr>
                  </w:pPr>
                  <w:r>
                    <w:rPr>
                      <w:rFonts w:ascii="Times New Roman" w:hAnsi="Times New Roman"/>
                      <w:color w:val="auto"/>
                      <w:szCs w:val="21"/>
                    </w:rPr>
                    <w:t>0.00</w:t>
                  </w:r>
                  <w:r>
                    <w:rPr>
                      <w:rFonts w:hint="eastAsia" w:ascii="Times New Roman" w:hAnsi="Times New Roman"/>
                      <w:color w:val="auto"/>
                      <w:szCs w:val="21"/>
                    </w:rPr>
                    <w:t>964</w:t>
                  </w:r>
                </w:p>
              </w:tc>
              <w:tc>
                <w:tcPr>
                  <w:tcW w:w="812" w:type="pct"/>
                  <w:vMerge w:val="continue"/>
                  <w:vAlign w:val="center"/>
                </w:tcPr>
                <w:p>
                  <w:pPr>
                    <w:widowControl w:val="0"/>
                    <w:autoSpaceDE w:val="0"/>
                    <w:autoSpaceDN w:val="0"/>
                    <w:adjustRightInd w:val="0"/>
                    <w:jc w:val="center"/>
                    <w:rPr>
                      <w:rFonts w:ascii="Times New Roman" w:hAnsi="Times New Roman"/>
                      <w:color w:val="auto"/>
                      <w:szCs w:val="21"/>
                    </w:rPr>
                  </w:pPr>
                </w:p>
              </w:tc>
              <w:tc>
                <w:tcPr>
                  <w:tcW w:w="706" w:type="pct"/>
                  <w:vAlign w:val="center"/>
                </w:tcPr>
                <w:p>
                  <w:pPr>
                    <w:widowControl w:val="0"/>
                    <w:jc w:val="center"/>
                    <w:rPr>
                      <w:rFonts w:ascii="Times New Roman" w:hAnsi="Times New Roman"/>
                      <w:color w:val="auto"/>
                      <w:kern w:val="0"/>
                      <w:szCs w:val="21"/>
                    </w:rPr>
                  </w:pPr>
                  <w:r>
                    <w:rPr>
                      <w:rFonts w:ascii="Times New Roman" w:hAnsi="Times New Roman"/>
                      <w:color w:val="auto"/>
                      <w:kern w:val="0"/>
                      <w:szCs w:val="21"/>
                    </w:rPr>
                    <w:t>0.00</w:t>
                  </w:r>
                  <w:r>
                    <w:rPr>
                      <w:rFonts w:hint="eastAsia" w:ascii="Times New Roman" w:hAnsi="Times New Roman"/>
                      <w:color w:val="auto"/>
                      <w:kern w:val="0"/>
                      <w:szCs w:val="21"/>
                    </w:rPr>
                    <w:t>096</w:t>
                  </w:r>
                </w:p>
              </w:tc>
              <w:tc>
                <w:tcPr>
                  <w:tcW w:w="819" w:type="pct"/>
                  <w:vMerge w:val="continue"/>
                  <w:shd w:val="clear" w:color="auto" w:fill="auto"/>
                  <w:vAlign w:val="center"/>
                </w:tcPr>
                <w:p>
                  <w:pPr>
                    <w:widowControl w:val="0"/>
                    <w:jc w:val="center"/>
                    <w:rPr>
                      <w:rFonts w:ascii="Times New Roman" w:hAnsi="Times New Roman"/>
                      <w:i/>
                      <w:iCs/>
                      <w:color w:val="auto"/>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875" w:type="pc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富甲烷解析气输送管道</w:t>
                  </w:r>
                </w:p>
              </w:tc>
              <w:tc>
                <w:tcPr>
                  <w:tcW w:w="981" w:type="pct"/>
                  <w:vAlign w:val="center"/>
                </w:tcPr>
                <w:p>
                  <w:pPr>
                    <w:widowControl w:val="0"/>
                    <w:autoSpaceDE w:val="0"/>
                    <w:autoSpaceDN w:val="0"/>
                    <w:adjustRightInd w:val="0"/>
                    <w:jc w:val="center"/>
                    <w:rPr>
                      <w:rFonts w:ascii="Times New Roman" w:hAnsi="Times New Roman"/>
                      <w:color w:val="auto"/>
                      <w:szCs w:val="21"/>
                    </w:rPr>
                  </w:pPr>
                  <w:r>
                    <w:rPr>
                      <w:rFonts w:ascii="Times New Roman" w:hAnsi="Times New Roman"/>
                      <w:color w:val="auto"/>
                      <w:szCs w:val="21"/>
                    </w:rPr>
                    <w:t>甲烷</w:t>
                  </w:r>
                </w:p>
              </w:tc>
              <w:tc>
                <w:tcPr>
                  <w:tcW w:w="803" w:type="pct"/>
                  <w:vAlign w:val="center"/>
                </w:tcPr>
                <w:p>
                  <w:pPr>
                    <w:widowControl w:val="0"/>
                    <w:jc w:val="center"/>
                    <w:rPr>
                      <w:rFonts w:ascii="Times New Roman" w:hAnsi="Times New Roman"/>
                      <w:color w:val="auto"/>
                      <w:szCs w:val="21"/>
                    </w:rPr>
                  </w:pPr>
                  <w:r>
                    <w:rPr>
                      <w:rFonts w:hint="eastAsia" w:ascii="Times New Roman" w:hAnsi="Times New Roman"/>
                      <w:color w:val="auto"/>
                      <w:szCs w:val="21"/>
                    </w:rPr>
                    <w:t>0.01044</w:t>
                  </w:r>
                </w:p>
              </w:tc>
              <w:tc>
                <w:tcPr>
                  <w:tcW w:w="812" w:type="pct"/>
                  <w:vMerge w:val="continue"/>
                  <w:vAlign w:val="center"/>
                </w:tcPr>
                <w:p>
                  <w:pPr>
                    <w:widowControl w:val="0"/>
                    <w:autoSpaceDE w:val="0"/>
                    <w:autoSpaceDN w:val="0"/>
                    <w:adjustRightInd w:val="0"/>
                    <w:jc w:val="center"/>
                    <w:rPr>
                      <w:rFonts w:ascii="Times New Roman" w:hAnsi="Times New Roman"/>
                      <w:color w:val="auto"/>
                      <w:szCs w:val="21"/>
                    </w:rPr>
                  </w:pPr>
                </w:p>
              </w:tc>
              <w:tc>
                <w:tcPr>
                  <w:tcW w:w="706" w:type="pct"/>
                  <w:vAlign w:val="center"/>
                </w:tcPr>
                <w:p>
                  <w:pPr>
                    <w:widowControl w:val="0"/>
                    <w:jc w:val="center"/>
                    <w:rPr>
                      <w:rFonts w:ascii="Times New Roman" w:hAnsi="Times New Roman"/>
                      <w:color w:val="auto"/>
                      <w:kern w:val="0"/>
                      <w:szCs w:val="21"/>
                    </w:rPr>
                  </w:pPr>
                  <w:r>
                    <w:rPr>
                      <w:rFonts w:hint="eastAsia" w:ascii="Times New Roman" w:hAnsi="Times New Roman"/>
                      <w:color w:val="auto"/>
                      <w:kern w:val="0"/>
                      <w:szCs w:val="21"/>
                    </w:rPr>
                    <w:t>0.00104</w:t>
                  </w:r>
                </w:p>
              </w:tc>
              <w:tc>
                <w:tcPr>
                  <w:tcW w:w="819" w:type="pct"/>
                  <w:vMerge w:val="continue"/>
                  <w:shd w:val="clear" w:color="auto" w:fill="auto"/>
                  <w:vAlign w:val="center"/>
                </w:tcPr>
                <w:p>
                  <w:pPr>
                    <w:widowControl w:val="0"/>
                    <w:jc w:val="center"/>
                    <w:rPr>
                      <w:rFonts w:ascii="Times New Roman" w:hAnsi="Times New Roman"/>
                      <w:i/>
                      <w:iCs/>
                      <w:color w:val="auto"/>
                      <w:szCs w:val="21"/>
                    </w:rPr>
                  </w:pPr>
                </w:p>
              </w:tc>
            </w:tr>
          </w:tbl>
          <w:p>
            <w:pPr>
              <w:widowControl w:val="0"/>
              <w:spacing w:line="360" w:lineRule="auto"/>
              <w:ind w:firstLine="480" w:firstLineChars="200"/>
              <w:jc w:val="both"/>
              <w:rPr>
                <w:rFonts w:ascii="Times New Roman" w:hAnsi="Times New Roman"/>
                <w:bCs/>
                <w:color w:val="auto"/>
                <w:sz w:val="24"/>
                <w:szCs w:val="24"/>
              </w:rPr>
            </w:pPr>
            <w:r>
              <w:rPr>
                <w:rFonts w:ascii="Times New Roman" w:hAnsi="Times New Roman"/>
                <w:bCs/>
                <w:color w:val="auto"/>
                <w:sz w:val="24"/>
                <w:szCs w:val="24"/>
              </w:rPr>
              <w:t>经计算，Q=</w:t>
            </w:r>
            <w:r>
              <w:rPr>
                <w:rFonts w:ascii="Times New Roman" w:hAnsi="Times New Roman"/>
                <w:color w:val="auto"/>
                <w:sz w:val="24"/>
                <w:szCs w:val="24"/>
              </w:rPr>
              <w:t>0.</w:t>
            </w:r>
            <w:r>
              <w:rPr>
                <w:rFonts w:hint="eastAsia" w:ascii="Times New Roman" w:hAnsi="Times New Roman"/>
                <w:color w:val="auto"/>
                <w:sz w:val="24"/>
                <w:szCs w:val="24"/>
              </w:rPr>
              <w:t>00265</w:t>
            </w:r>
            <w:r>
              <w:rPr>
                <w:rFonts w:ascii="Times New Roman" w:hAnsi="Times New Roman"/>
                <w:bCs/>
                <w:color w:val="auto"/>
                <w:sz w:val="24"/>
                <w:szCs w:val="24"/>
              </w:rPr>
              <w:t>，Q＜1，即本项目不涉及重大危险源，环境风险潜势为Ⅰ，故本项目环境风险评价只进行简单分析。</w:t>
            </w:r>
          </w:p>
          <w:p>
            <w:pPr>
              <w:widowControl w:val="0"/>
              <w:spacing w:line="360" w:lineRule="auto"/>
              <w:ind w:firstLine="480" w:firstLineChars="200"/>
              <w:jc w:val="both"/>
              <w:rPr>
                <w:rFonts w:ascii="Times New Roman" w:hAnsi="Times New Roman"/>
                <w:color w:val="auto"/>
                <w:kern w:val="0"/>
                <w:sz w:val="24"/>
                <w:szCs w:val="24"/>
              </w:rPr>
            </w:pPr>
            <w:r>
              <w:rPr>
                <w:rFonts w:hint="eastAsia" w:ascii="宋体" w:hAnsi="宋体"/>
                <w:color w:val="auto"/>
                <w:kern w:val="0"/>
                <w:sz w:val="24"/>
                <w:szCs w:val="24"/>
              </w:rPr>
              <w:t>②</w:t>
            </w:r>
            <w:r>
              <w:rPr>
                <w:rFonts w:hint="eastAsia" w:ascii="Times New Roman" w:hAnsi="Times New Roman"/>
                <w:color w:val="auto"/>
                <w:kern w:val="0"/>
                <w:sz w:val="24"/>
                <w:szCs w:val="24"/>
              </w:rPr>
              <w:t>本项目危险物质理化特性见表35。</w:t>
            </w:r>
          </w:p>
          <w:p>
            <w:pPr>
              <w:widowControl w:val="0"/>
              <w:numPr>
                <w:ilvl w:val="0"/>
                <w:numId w:val="13"/>
              </w:numPr>
              <w:jc w:val="center"/>
              <w:rPr>
                <w:rFonts w:ascii="Times New Roman" w:hAnsi="Times New Roman"/>
                <w:b/>
                <w:bCs/>
                <w:color w:val="auto"/>
                <w:sz w:val="24"/>
                <w:szCs w:val="24"/>
              </w:rPr>
            </w:pPr>
            <w:r>
              <w:rPr>
                <w:rFonts w:hint="eastAsia" w:ascii="Times New Roman" w:hAnsi="Times New Roman"/>
                <w:b/>
                <w:bCs/>
                <w:color w:val="auto"/>
                <w:sz w:val="24"/>
                <w:szCs w:val="24"/>
              </w:rPr>
              <w:t>甲烷主要理化性质及危险特性</w:t>
            </w:r>
          </w:p>
          <w:tbl>
            <w:tblPr>
              <w:tblStyle w:val="90"/>
              <w:tblW w:w="82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53"/>
              <w:gridCol w:w="2012"/>
              <w:gridCol w:w="1979"/>
              <w:gridCol w:w="2246"/>
              <w:gridCol w:w="34"/>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53" w:type="dxa"/>
                  <w:vMerge w:val="restart"/>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标识</w:t>
                  </w:r>
                </w:p>
              </w:tc>
              <w:tc>
                <w:tcPr>
                  <w:tcW w:w="3991" w:type="dxa"/>
                  <w:gridSpan w:val="2"/>
                  <w:noWrap/>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中文名：甲烷</w:t>
                  </w:r>
                </w:p>
              </w:tc>
              <w:tc>
                <w:tcPr>
                  <w:tcW w:w="3924" w:type="dxa"/>
                  <w:gridSpan w:val="3"/>
                  <w:noWrap/>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英文名称：</w:t>
                  </w:r>
                  <w:r>
                    <w:rPr>
                      <w:rFonts w:hint="eastAsia" w:ascii="Times New Roman" w:hAnsi="Times New Roman"/>
                      <w:color w:val="auto"/>
                      <w:szCs w:val="21"/>
                      <w:lang w:val="zh-CN" w:bidi="zh-CN"/>
                    </w:rPr>
                    <w:t>me</w:t>
                  </w:r>
                  <w:r>
                    <w:rPr>
                      <w:rFonts w:ascii="Times New Roman" w:hAnsi="Times New Roman"/>
                      <w:color w:val="auto"/>
                      <w:szCs w:val="21"/>
                      <w:lang w:val="zh-CN" w:bidi="zh-CN"/>
                    </w:rPr>
                    <w:t>th</w:t>
                  </w:r>
                  <w:r>
                    <w:rPr>
                      <w:rFonts w:hint="eastAsia" w:ascii="Times New Roman" w:hAnsi="Times New Roman"/>
                      <w:color w:val="auto"/>
                      <w:szCs w:val="21"/>
                      <w:lang w:val="zh-CN" w:bidi="zh-CN"/>
                    </w:rPr>
                    <w:t>a</w:t>
                  </w:r>
                  <w:r>
                    <w:rPr>
                      <w:rFonts w:ascii="Times New Roman" w:hAnsi="Times New Roman"/>
                      <w:color w:val="auto"/>
                      <w:szCs w:val="21"/>
                      <w:lang w:val="zh-CN" w:bidi="zh-CN"/>
                    </w:rPr>
                    <w:t>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continue"/>
                  <w:tcBorders>
                    <w:top w:val="nil"/>
                  </w:tcBorders>
                  <w:noWrap/>
                  <w:vAlign w:val="center"/>
                </w:tcPr>
                <w:p>
                  <w:pPr>
                    <w:spacing w:line="360" w:lineRule="exact"/>
                    <w:jc w:val="center"/>
                    <w:rPr>
                      <w:rFonts w:ascii="Times New Roman" w:hAnsi="Times New Roman"/>
                      <w:color w:val="auto"/>
                      <w:szCs w:val="21"/>
                    </w:rPr>
                  </w:pPr>
                </w:p>
              </w:tc>
              <w:tc>
                <w:tcPr>
                  <w:tcW w:w="3991" w:type="dxa"/>
                  <w:gridSpan w:val="2"/>
                  <w:noWrap/>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分子式</w:t>
                  </w:r>
                  <w:r>
                    <w:rPr>
                      <w:rFonts w:hint="eastAsia" w:ascii="Times New Roman" w:hAnsi="Times New Roman"/>
                      <w:color w:val="auto"/>
                      <w:szCs w:val="21"/>
                      <w:lang w:val="zh-CN" w:bidi="zh-CN"/>
                    </w:rPr>
                    <w:t>：</w:t>
                  </w:r>
                  <w:r>
                    <w:rPr>
                      <w:rFonts w:ascii="Times New Roman" w:hAnsi="Times New Roman"/>
                      <w:color w:val="auto"/>
                      <w:szCs w:val="21"/>
                      <w:lang w:val="zh-CN" w:bidi="zh-CN"/>
                    </w:rPr>
                    <w:t>CH</w:t>
                  </w:r>
                  <w:r>
                    <w:rPr>
                      <w:rFonts w:ascii="Times New Roman" w:hAnsi="Times New Roman"/>
                      <w:color w:val="auto"/>
                      <w:szCs w:val="21"/>
                      <w:vertAlign w:val="subscript"/>
                      <w:lang w:val="zh-CN" w:bidi="zh-CN"/>
                    </w:rPr>
                    <w:t>4</w:t>
                  </w:r>
                </w:p>
              </w:tc>
              <w:tc>
                <w:tcPr>
                  <w:tcW w:w="3924" w:type="dxa"/>
                  <w:gridSpan w:val="3"/>
                  <w:noWrap/>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分子量：</w:t>
                  </w:r>
                  <w:r>
                    <w:rPr>
                      <w:rFonts w:hint="eastAsia" w:ascii="Times New Roman" w:hAnsi="Times New Roman"/>
                      <w:color w:val="auto"/>
                      <w:szCs w:val="21"/>
                      <w:lang w:val="zh-CN" w:bidi="zh-CN"/>
                    </w:rPr>
                    <w:t>16.04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continue"/>
                  <w:tcBorders>
                    <w:top w:val="nil"/>
                  </w:tcBorders>
                  <w:noWrap/>
                  <w:vAlign w:val="center"/>
                </w:tcPr>
                <w:p>
                  <w:pPr>
                    <w:spacing w:line="360" w:lineRule="exact"/>
                    <w:jc w:val="center"/>
                    <w:rPr>
                      <w:rFonts w:ascii="Times New Roman" w:hAnsi="Times New Roman"/>
                      <w:color w:val="auto"/>
                      <w:szCs w:val="21"/>
                    </w:rPr>
                  </w:pPr>
                </w:p>
              </w:tc>
              <w:tc>
                <w:tcPr>
                  <w:tcW w:w="3991" w:type="dxa"/>
                  <w:gridSpan w:val="2"/>
                  <w:noWrap/>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危险货物编号：210</w:t>
                  </w:r>
                  <w:r>
                    <w:rPr>
                      <w:rFonts w:hint="eastAsia" w:ascii="Times New Roman" w:hAnsi="Times New Roman"/>
                      <w:color w:val="auto"/>
                      <w:szCs w:val="21"/>
                      <w:lang w:val="zh-CN" w:bidi="zh-CN"/>
                    </w:rPr>
                    <w:t>07</w:t>
                  </w:r>
                </w:p>
              </w:tc>
              <w:tc>
                <w:tcPr>
                  <w:tcW w:w="3924" w:type="dxa"/>
                  <w:gridSpan w:val="3"/>
                  <w:noWrap/>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CAS 号：74-8</w:t>
                  </w:r>
                  <w:r>
                    <w:rPr>
                      <w:rFonts w:hint="eastAsia" w:ascii="Times New Roman" w:hAnsi="Times New Roman"/>
                      <w:color w:val="auto"/>
                      <w:szCs w:val="21"/>
                      <w:lang w:val="zh-CN" w:bidi="zh-CN"/>
                    </w:rPr>
                    <w:t>2</w:t>
                  </w:r>
                  <w:r>
                    <w:rPr>
                      <w:rFonts w:ascii="Times New Roman" w:hAnsi="Times New Roman"/>
                      <w:color w:val="auto"/>
                      <w:szCs w:val="21"/>
                      <w:lang w:val="zh-CN" w:bidi="zh-CN"/>
                    </w:rPr>
                    <w:t>-</w:t>
                  </w:r>
                  <w:r>
                    <w:rPr>
                      <w:rFonts w:hint="eastAsia" w:ascii="Times New Roman" w:hAnsi="Times New Roman"/>
                      <w:color w:val="auto"/>
                      <w:szCs w:val="21"/>
                      <w:lang w:val="zh-CN" w:bidi="zh-CN"/>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353" w:type="dxa"/>
                  <w:vMerge w:val="restart"/>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理化性质</w:t>
                  </w: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外观与形状</w:t>
                  </w:r>
                </w:p>
              </w:tc>
              <w:tc>
                <w:tcPr>
                  <w:tcW w:w="5903" w:type="dxa"/>
                  <w:gridSpan w:val="4"/>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无色无臭气体。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353" w:type="dxa"/>
                  <w:vMerge w:val="continue"/>
                  <w:noWrap/>
                  <w:vAlign w:val="center"/>
                </w:tcPr>
                <w:p>
                  <w:pPr>
                    <w:spacing w:line="360" w:lineRule="exact"/>
                    <w:jc w:val="center"/>
                    <w:rPr>
                      <w:rFonts w:ascii="Times New Roman" w:hAnsi="Times New Roman"/>
                      <w:color w:val="auto"/>
                      <w:szCs w:val="21"/>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熔点（℃）</w:t>
                  </w:r>
                </w:p>
              </w:tc>
              <w:tc>
                <w:tcPr>
                  <w:tcW w:w="1979" w:type="dxa"/>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-1</w:t>
                  </w:r>
                  <w:r>
                    <w:rPr>
                      <w:rFonts w:hint="eastAsia" w:ascii="Times New Roman" w:hAnsi="Times New Roman"/>
                      <w:color w:val="auto"/>
                      <w:szCs w:val="21"/>
                      <w:lang w:val="zh-CN" w:bidi="zh-CN"/>
                    </w:rPr>
                    <w:t>82.5</w:t>
                  </w:r>
                </w:p>
              </w:tc>
              <w:tc>
                <w:tcPr>
                  <w:tcW w:w="2246" w:type="dxa"/>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沸点（℃）</w:t>
                  </w:r>
                </w:p>
              </w:tc>
              <w:tc>
                <w:tcPr>
                  <w:tcW w:w="1678" w:type="dxa"/>
                  <w:gridSpan w:val="2"/>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-1</w:t>
                  </w:r>
                  <w:r>
                    <w:rPr>
                      <w:rFonts w:hint="eastAsia" w:ascii="Times New Roman" w:hAnsi="Times New Roman"/>
                      <w:color w:val="auto"/>
                      <w:szCs w:val="21"/>
                      <w:lang w:val="zh-CN" w:bidi="zh-CN"/>
                    </w:rPr>
                    <w:t>61.5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jc w:val="center"/>
              </w:trPr>
              <w:tc>
                <w:tcPr>
                  <w:tcW w:w="353" w:type="dxa"/>
                  <w:vMerge w:val="continue"/>
                  <w:noWrap/>
                  <w:vAlign w:val="center"/>
                </w:tcPr>
                <w:p>
                  <w:pPr>
                    <w:spacing w:line="360" w:lineRule="exact"/>
                    <w:jc w:val="center"/>
                    <w:rPr>
                      <w:rFonts w:ascii="Times New Roman" w:hAnsi="Times New Roman"/>
                      <w:color w:val="auto"/>
                      <w:szCs w:val="21"/>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相对密度（水=1）</w:t>
                  </w:r>
                </w:p>
              </w:tc>
              <w:tc>
                <w:tcPr>
                  <w:tcW w:w="1979" w:type="dxa"/>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0.</w:t>
                  </w:r>
                  <w:r>
                    <w:rPr>
                      <w:rFonts w:hint="eastAsia" w:ascii="Times New Roman" w:hAnsi="Times New Roman"/>
                      <w:color w:val="auto"/>
                      <w:szCs w:val="21"/>
                      <w:lang w:val="zh-CN" w:bidi="zh-CN"/>
                    </w:rPr>
                    <w:t>42</w:t>
                  </w:r>
                </w:p>
              </w:tc>
              <w:tc>
                <w:tcPr>
                  <w:tcW w:w="2246" w:type="dxa"/>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相对密度（空气=1）</w:t>
                  </w:r>
                </w:p>
              </w:tc>
              <w:tc>
                <w:tcPr>
                  <w:tcW w:w="1678" w:type="dxa"/>
                  <w:gridSpan w:val="2"/>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0.</w:t>
                  </w:r>
                  <w:r>
                    <w:rPr>
                      <w:rFonts w:hint="eastAsia" w:ascii="Times New Roman" w:hAnsi="Times New Roman"/>
                      <w:color w:val="auto"/>
                      <w:szCs w:val="21"/>
                      <w:lang w:val="zh-CN" w:bidi="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353" w:type="dxa"/>
                  <w:vMerge w:val="continue"/>
                  <w:noWrap/>
                  <w:vAlign w:val="center"/>
                </w:tcPr>
                <w:p>
                  <w:pPr>
                    <w:spacing w:line="360" w:lineRule="exact"/>
                    <w:jc w:val="center"/>
                    <w:rPr>
                      <w:rFonts w:ascii="Times New Roman" w:hAnsi="Times New Roman"/>
                      <w:color w:val="auto"/>
                      <w:szCs w:val="21"/>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饱和蒸汽压（kPa）</w:t>
                  </w:r>
                </w:p>
              </w:tc>
              <w:tc>
                <w:tcPr>
                  <w:tcW w:w="5903" w:type="dxa"/>
                  <w:gridSpan w:val="4"/>
                  <w:vAlign w:val="center"/>
                </w:tcPr>
                <w:p>
                  <w:pPr>
                    <w:spacing w:line="360" w:lineRule="exact"/>
                    <w:ind w:firstLine="210" w:firstLineChars="100"/>
                    <w:jc w:val="both"/>
                    <w:rPr>
                      <w:rFonts w:ascii="Times New Roman" w:hAnsi="Times New Roman"/>
                      <w:color w:val="auto"/>
                      <w:szCs w:val="21"/>
                      <w:lang w:val="zh-CN" w:bidi="zh-CN"/>
                    </w:rPr>
                  </w:pPr>
                  <w:r>
                    <w:rPr>
                      <w:rFonts w:hint="eastAsia" w:ascii="Times New Roman" w:hAnsi="Times New Roman"/>
                      <w:color w:val="auto"/>
                      <w:szCs w:val="21"/>
                      <w:lang w:val="zh-CN" w:bidi="zh-CN"/>
                    </w:rPr>
                    <w:t>53.32</w:t>
                  </w:r>
                  <w:r>
                    <w:rPr>
                      <w:rFonts w:ascii="Times New Roman" w:hAnsi="Times New Roman"/>
                      <w:color w:val="auto"/>
                      <w:szCs w:val="21"/>
                      <w:lang w:val="zh-CN" w:bidi="zh-CN"/>
                    </w:rPr>
                    <w:t>（</w:t>
                  </w:r>
                  <w:r>
                    <w:rPr>
                      <w:rFonts w:hint="eastAsia" w:ascii="Times New Roman" w:hAnsi="Times New Roman"/>
                      <w:color w:val="auto"/>
                      <w:szCs w:val="21"/>
                      <w:lang w:val="zh-CN" w:bidi="zh-CN"/>
                    </w:rPr>
                    <w:t>-168.8</w:t>
                  </w:r>
                  <w:r>
                    <w:rPr>
                      <w:rFonts w:ascii="Times New Roman" w:hAnsi="Times New Roman"/>
                      <w:color w:val="auto"/>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 w:hRule="atLeast"/>
                <w:jc w:val="center"/>
              </w:trPr>
              <w:tc>
                <w:tcPr>
                  <w:tcW w:w="353" w:type="dxa"/>
                  <w:vMerge w:val="continue"/>
                  <w:noWrap/>
                  <w:vAlign w:val="center"/>
                </w:tcPr>
                <w:p>
                  <w:pPr>
                    <w:spacing w:line="360" w:lineRule="exact"/>
                    <w:jc w:val="center"/>
                    <w:rPr>
                      <w:rFonts w:ascii="Times New Roman" w:hAnsi="Times New Roman"/>
                      <w:color w:val="auto"/>
                      <w:szCs w:val="21"/>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溶解性</w:t>
                  </w:r>
                </w:p>
              </w:tc>
              <w:tc>
                <w:tcPr>
                  <w:tcW w:w="5903" w:type="dxa"/>
                  <w:gridSpan w:val="4"/>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微溶于水，溶于乙醇、乙醚。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restart"/>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毒性及健康危</w:t>
                  </w:r>
                  <w:r>
                    <w:rPr>
                      <w:rFonts w:hint="eastAsia" w:ascii="Times New Roman" w:hAnsi="Times New Roman"/>
                      <w:color w:val="auto"/>
                      <w:szCs w:val="21"/>
                      <w:lang w:val="zh-CN" w:bidi="zh-CN"/>
                    </w:rPr>
                    <w:t>害</w:t>
                  </w: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侵入途径</w:t>
                  </w:r>
                </w:p>
              </w:tc>
              <w:tc>
                <w:tcPr>
                  <w:tcW w:w="5903" w:type="dxa"/>
                  <w:gridSpan w:val="4"/>
                  <w:vAlign w:val="center"/>
                </w:tcPr>
                <w:p>
                  <w:pPr>
                    <w:spacing w:line="360" w:lineRule="exact"/>
                    <w:ind w:firstLine="210" w:firstLineChars="100"/>
                    <w:jc w:val="both"/>
                    <w:rPr>
                      <w:rFonts w:ascii="Times New Roman" w:hAnsi="Times New Roman"/>
                      <w:color w:val="auto"/>
                      <w:szCs w:val="21"/>
                      <w:lang w:val="zh-CN" w:bidi="zh-CN"/>
                    </w:rPr>
                  </w:pPr>
                  <w:r>
                    <w:rPr>
                      <w:rFonts w:ascii="Times New Roman" w:hAnsi="Times New Roman"/>
                      <w:color w:val="auto"/>
                      <w:szCs w:val="21"/>
                      <w:lang w:val="zh-CN" w:bidi="zh-CN"/>
                    </w:rPr>
                    <w:t>吸入、皮肤接触。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continue"/>
                  <w:noWrap/>
                  <w:vAlign w:val="center"/>
                </w:tcPr>
                <w:p>
                  <w:pPr>
                    <w:spacing w:line="360" w:lineRule="exact"/>
                    <w:jc w:val="center"/>
                    <w:rPr>
                      <w:rFonts w:ascii="Times New Roman" w:hAnsi="Times New Roman"/>
                      <w:color w:val="auto"/>
                      <w:szCs w:val="21"/>
                      <w:lang w:val="zh-CN" w:bidi="zh-CN"/>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毒性</w:t>
                  </w:r>
                </w:p>
              </w:tc>
              <w:tc>
                <w:tcPr>
                  <w:tcW w:w="5903" w:type="dxa"/>
                  <w:gridSpan w:val="4"/>
                  <w:vAlign w:val="center"/>
                </w:tcPr>
                <w:p>
                  <w:pPr>
                    <w:spacing w:line="360" w:lineRule="exact"/>
                    <w:ind w:firstLine="210" w:firstLineChars="100"/>
                    <w:jc w:val="both"/>
                    <w:rPr>
                      <w:rFonts w:ascii="Times New Roman" w:hAnsi="Times New Roman"/>
                      <w:color w:val="auto"/>
                      <w:szCs w:val="21"/>
                      <w:lang w:val="zh-CN" w:bidi="zh-CN"/>
                    </w:rPr>
                  </w:pPr>
                  <w:r>
                    <w:rPr>
                      <w:rFonts w:hint="eastAsia" w:ascii="Times New Roman" w:hAnsi="Times New Roman"/>
                      <w:color w:val="auto"/>
                      <w:szCs w:val="21"/>
                      <w:lang w:val="zh-CN" w:bidi="zh-CN"/>
                    </w:rPr>
                    <w:t>LD50 ：/ ；   LC50：/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353" w:type="dxa"/>
                  <w:vMerge w:val="continue"/>
                  <w:tcBorders>
                    <w:top w:val="nil"/>
                  </w:tcBorders>
                  <w:noWrap/>
                  <w:vAlign w:val="center"/>
                </w:tcPr>
                <w:p>
                  <w:pPr>
                    <w:spacing w:line="360" w:lineRule="exact"/>
                    <w:jc w:val="center"/>
                    <w:rPr>
                      <w:rFonts w:ascii="Times New Roman" w:hAnsi="Times New Roman"/>
                      <w:color w:val="auto"/>
                      <w:szCs w:val="21"/>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健康危害</w:t>
                  </w:r>
                </w:p>
              </w:tc>
              <w:tc>
                <w:tcPr>
                  <w:tcW w:w="5903" w:type="dxa"/>
                  <w:gridSpan w:val="4"/>
                  <w:vAlign w:val="center"/>
                </w:tcPr>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属微毒类，允许气体安全地扩散到大气中或当作燃料使用。有单纯性窒息作用，在高浓度时因缺氧窒息而引起中毒。空气中达到</w:t>
                  </w:r>
                  <w:r>
                    <w:rPr>
                      <w:rFonts w:hint="eastAsia" w:ascii="Times New Roman" w:hAnsi="Times New Roman"/>
                      <w:color w:val="auto"/>
                      <w:szCs w:val="21"/>
                      <w:lang w:val="zh-CN" w:bidi="zh-CN"/>
                    </w:rPr>
                    <w:t>25~30%出现头昏、呼吸加速、运动失调。</w:t>
                  </w:r>
                </w:p>
                <w:p>
                  <w:pPr>
                    <w:spacing w:line="360" w:lineRule="exact"/>
                    <w:jc w:val="both"/>
                    <w:rPr>
                      <w:rFonts w:ascii="Times New Roman" w:hAnsi="Times New Roman"/>
                      <w:color w:val="auto"/>
                      <w:szCs w:val="21"/>
                      <w:lang w:val="zh-CN" w:bidi="zh-CN"/>
                    </w:rPr>
                  </w:pPr>
                  <w:r>
                    <w:rPr>
                      <w:rFonts w:hint="eastAsia" w:ascii="Times New Roman" w:hAnsi="Times New Roman"/>
                      <w:color w:val="auto"/>
                      <w:szCs w:val="21"/>
                      <w:lang w:val="zh-CN" w:bidi="zh-CN"/>
                    </w:rPr>
                    <w:t>急性毒性：小鼠或兔子吸入42%浓度60分钟有麻痹作用。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jc w:val="center"/>
              </w:trPr>
              <w:tc>
                <w:tcPr>
                  <w:tcW w:w="353" w:type="dxa"/>
                  <w:vMerge w:val="continue"/>
                  <w:tcBorders>
                    <w:top w:val="nil"/>
                  </w:tcBorders>
                  <w:noWrap/>
                  <w:vAlign w:val="center"/>
                </w:tcPr>
                <w:p>
                  <w:pPr>
                    <w:spacing w:line="360" w:lineRule="exact"/>
                    <w:jc w:val="center"/>
                    <w:rPr>
                      <w:rFonts w:ascii="Times New Roman" w:hAnsi="Times New Roman"/>
                      <w:color w:val="auto"/>
                      <w:szCs w:val="21"/>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急救方法</w:t>
                  </w:r>
                </w:p>
              </w:tc>
              <w:tc>
                <w:tcPr>
                  <w:tcW w:w="5903" w:type="dxa"/>
                  <w:gridSpan w:val="4"/>
                  <w:vAlign w:val="center"/>
                </w:tcPr>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皮肤接触：若有冻伤，就医治疗。</w:t>
                  </w:r>
                </w:p>
                <w:p>
                  <w:pPr>
                    <w:spacing w:line="360" w:lineRule="exact"/>
                    <w:jc w:val="both"/>
                    <w:rPr>
                      <w:rFonts w:ascii="Times New Roman" w:hAnsi="Times New Roman"/>
                      <w:color w:val="auto"/>
                      <w:szCs w:val="21"/>
                      <w:lang w:val="zh-CN" w:bidi="zh-CN"/>
                    </w:rPr>
                  </w:pPr>
                  <w:r>
                    <w:rPr>
                      <w:rFonts w:hint="eastAsia" w:ascii="Times New Roman" w:hAnsi="Times New Roman"/>
                      <w:color w:val="auto"/>
                      <w:szCs w:val="21"/>
                      <w:lang w:val="zh-CN" w:bidi="zh-CN"/>
                    </w:rPr>
                    <w:t>吸入：迅速脱离现场至空气新鲜处；保持呼吸道通畅；如呼吸困难，给输氧；如停止呼吸，立即进行人工呼吸，并及时就医。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353" w:type="dxa"/>
                  <w:vMerge w:val="continue"/>
                  <w:tcBorders>
                    <w:top w:val="nil"/>
                  </w:tcBorders>
                  <w:noWrap/>
                  <w:vAlign w:val="center"/>
                </w:tcPr>
                <w:p>
                  <w:pPr>
                    <w:spacing w:line="360" w:lineRule="exact"/>
                    <w:jc w:val="center"/>
                    <w:rPr>
                      <w:rFonts w:ascii="Times New Roman" w:hAnsi="Times New Roman"/>
                      <w:color w:val="auto"/>
                      <w:szCs w:val="21"/>
                    </w:rPr>
                  </w:pPr>
                </w:p>
              </w:tc>
              <w:tc>
                <w:tcPr>
                  <w:tcW w:w="7915" w:type="dxa"/>
                  <w:gridSpan w:val="5"/>
                  <w:noWrap/>
                  <w:vAlign w:val="center"/>
                </w:tcPr>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危险特性：易燃，与空气混合能形成爆炸性混合物。遇明火、高热或与氧化剂接触，有引起燃烧爆炸的危险。与氟、氯等接触会发生剧烈的化学反应。液态乙烯可致皮肤冻伤。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 w:hRule="atLeast"/>
                <w:jc w:val="center"/>
              </w:trPr>
              <w:tc>
                <w:tcPr>
                  <w:tcW w:w="353" w:type="dxa"/>
                  <w:vMerge w:val="restart"/>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燃烧爆炸危险性</w:t>
                  </w: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燃烧性</w:t>
                  </w:r>
                </w:p>
              </w:tc>
              <w:tc>
                <w:tcPr>
                  <w:tcW w:w="1979" w:type="dxa"/>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易燃</w:t>
                  </w:r>
                </w:p>
              </w:tc>
              <w:tc>
                <w:tcPr>
                  <w:tcW w:w="2280" w:type="dxa"/>
                  <w:gridSpan w:val="2"/>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燃烧分解物</w:t>
                  </w:r>
                </w:p>
              </w:tc>
              <w:tc>
                <w:tcPr>
                  <w:tcW w:w="1644" w:type="dxa"/>
                  <w:vAlign w:val="center"/>
                </w:tcPr>
                <w:p>
                  <w:pPr>
                    <w:spacing w:line="360" w:lineRule="exact"/>
                    <w:jc w:val="center"/>
                    <w:rPr>
                      <w:rFonts w:ascii="Times New Roman" w:hAnsi="Times New Roman"/>
                      <w:color w:val="auto"/>
                      <w:szCs w:val="21"/>
                      <w:lang w:val="zh-CN" w:bidi="zh-CN"/>
                    </w:rPr>
                  </w:pPr>
                  <w:r>
                    <w:rPr>
                      <w:rFonts w:hint="eastAsia" w:ascii="Times New Roman" w:hAnsi="Times New Roman"/>
                      <w:color w:val="auto"/>
                      <w:szCs w:val="21"/>
                      <w:lang w:val="zh-CN" w:bidi="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 w:hRule="atLeast"/>
                <w:jc w:val="center"/>
              </w:trPr>
              <w:tc>
                <w:tcPr>
                  <w:tcW w:w="353" w:type="dxa"/>
                  <w:vMerge w:val="continue"/>
                  <w:noWrap/>
                  <w:vAlign w:val="center"/>
                </w:tcPr>
                <w:p>
                  <w:pPr>
                    <w:spacing w:line="360" w:lineRule="exact"/>
                    <w:jc w:val="center"/>
                    <w:rPr>
                      <w:rFonts w:ascii="Times New Roman" w:hAnsi="Times New Roman"/>
                      <w:color w:val="auto"/>
                      <w:szCs w:val="21"/>
                      <w:lang w:val="zh-CN" w:bidi="zh-CN"/>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闪点（℃）</w:t>
                  </w:r>
                </w:p>
              </w:tc>
              <w:tc>
                <w:tcPr>
                  <w:tcW w:w="1979" w:type="dxa"/>
                  <w:vAlign w:val="center"/>
                </w:tcPr>
                <w:p>
                  <w:pPr>
                    <w:spacing w:line="360" w:lineRule="exact"/>
                    <w:jc w:val="center"/>
                    <w:rPr>
                      <w:rFonts w:ascii="Times New Roman" w:hAnsi="Times New Roman"/>
                      <w:color w:val="auto"/>
                      <w:szCs w:val="21"/>
                      <w:lang w:val="zh-CN" w:bidi="zh-CN"/>
                    </w:rPr>
                  </w:pPr>
                  <w:r>
                    <w:rPr>
                      <w:rFonts w:hint="eastAsia" w:ascii="Times New Roman" w:hAnsi="Times New Roman"/>
                      <w:color w:val="auto"/>
                      <w:szCs w:val="21"/>
                      <w:lang w:val="zh-CN" w:bidi="zh-CN"/>
                    </w:rPr>
                    <w:t>-188</w:t>
                  </w:r>
                </w:p>
              </w:tc>
              <w:tc>
                <w:tcPr>
                  <w:tcW w:w="2280" w:type="dxa"/>
                  <w:gridSpan w:val="2"/>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引燃温度（℃）</w:t>
                  </w:r>
                </w:p>
              </w:tc>
              <w:tc>
                <w:tcPr>
                  <w:tcW w:w="1644" w:type="dxa"/>
                  <w:vAlign w:val="center"/>
                </w:tcPr>
                <w:p>
                  <w:pPr>
                    <w:spacing w:line="360" w:lineRule="exact"/>
                    <w:jc w:val="center"/>
                    <w:rPr>
                      <w:rFonts w:ascii="Times New Roman" w:hAnsi="Times New Roman"/>
                      <w:color w:val="auto"/>
                      <w:szCs w:val="21"/>
                      <w:lang w:val="zh-CN" w:bidi="zh-CN"/>
                    </w:rPr>
                  </w:pPr>
                  <w:r>
                    <w:rPr>
                      <w:rFonts w:hint="eastAsia" w:ascii="Times New Roman" w:hAnsi="Times New Roman"/>
                      <w:color w:val="auto"/>
                      <w:szCs w:val="21"/>
                      <w:lang w:val="zh-CN" w:bidi="zh-CN"/>
                    </w:rPr>
                    <w:t>537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 w:hRule="atLeast"/>
                <w:jc w:val="center"/>
              </w:trPr>
              <w:tc>
                <w:tcPr>
                  <w:tcW w:w="353" w:type="dxa"/>
                  <w:vMerge w:val="continue"/>
                  <w:noWrap/>
                  <w:vAlign w:val="center"/>
                </w:tcPr>
                <w:p>
                  <w:pPr>
                    <w:spacing w:line="360" w:lineRule="exact"/>
                    <w:jc w:val="center"/>
                    <w:rPr>
                      <w:rFonts w:ascii="Times New Roman" w:hAnsi="Times New Roman"/>
                      <w:color w:val="auto"/>
                      <w:szCs w:val="21"/>
                      <w:lang w:val="zh-CN" w:bidi="zh-CN"/>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爆炸上限（</w:t>
                  </w:r>
                  <w:r>
                    <w:rPr>
                      <w:rFonts w:hint="eastAsia" w:ascii="Times New Roman" w:hAnsi="Times New Roman"/>
                      <w:color w:val="auto"/>
                      <w:szCs w:val="21"/>
                      <w:lang w:val="zh-CN" w:bidi="zh-CN"/>
                    </w:rPr>
                    <w:t>v%</w:t>
                  </w:r>
                  <w:r>
                    <w:rPr>
                      <w:rFonts w:ascii="Times New Roman" w:hAnsi="Times New Roman"/>
                      <w:color w:val="auto"/>
                      <w:szCs w:val="21"/>
                      <w:lang w:val="zh-CN" w:bidi="zh-CN"/>
                    </w:rPr>
                    <w:t>）</w:t>
                  </w:r>
                </w:p>
              </w:tc>
              <w:tc>
                <w:tcPr>
                  <w:tcW w:w="1979" w:type="dxa"/>
                  <w:vAlign w:val="center"/>
                </w:tcPr>
                <w:p>
                  <w:pPr>
                    <w:spacing w:line="360" w:lineRule="exact"/>
                    <w:jc w:val="center"/>
                    <w:rPr>
                      <w:rFonts w:ascii="Times New Roman" w:hAnsi="Times New Roman"/>
                      <w:color w:val="auto"/>
                      <w:szCs w:val="21"/>
                      <w:lang w:val="zh-CN" w:bidi="zh-CN"/>
                    </w:rPr>
                  </w:pPr>
                  <w:r>
                    <w:rPr>
                      <w:rFonts w:hint="eastAsia" w:ascii="Times New Roman" w:hAnsi="Times New Roman"/>
                      <w:color w:val="auto"/>
                      <w:szCs w:val="21"/>
                      <w:lang w:val="zh-CN" w:bidi="zh-CN"/>
                    </w:rPr>
                    <w:t>15</w:t>
                  </w:r>
                </w:p>
              </w:tc>
              <w:tc>
                <w:tcPr>
                  <w:tcW w:w="2280" w:type="dxa"/>
                  <w:gridSpan w:val="2"/>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爆炸</w:t>
                  </w:r>
                  <w:r>
                    <w:rPr>
                      <w:rFonts w:hint="eastAsia" w:ascii="Times New Roman" w:hAnsi="Times New Roman"/>
                      <w:color w:val="auto"/>
                      <w:szCs w:val="21"/>
                      <w:lang w:val="zh-CN" w:bidi="zh-CN"/>
                    </w:rPr>
                    <w:t>下</w:t>
                  </w:r>
                  <w:r>
                    <w:rPr>
                      <w:rFonts w:ascii="Times New Roman" w:hAnsi="Times New Roman"/>
                      <w:color w:val="auto"/>
                      <w:szCs w:val="21"/>
                      <w:lang w:val="zh-CN" w:bidi="zh-CN"/>
                    </w:rPr>
                    <w:t>限（</w:t>
                  </w:r>
                  <w:r>
                    <w:rPr>
                      <w:rFonts w:hint="eastAsia" w:ascii="Times New Roman" w:hAnsi="Times New Roman"/>
                      <w:color w:val="auto"/>
                      <w:szCs w:val="21"/>
                      <w:lang w:val="zh-CN" w:bidi="zh-CN"/>
                    </w:rPr>
                    <w:t>v%</w:t>
                  </w:r>
                  <w:r>
                    <w:rPr>
                      <w:rFonts w:ascii="Times New Roman" w:hAnsi="Times New Roman"/>
                      <w:color w:val="auto"/>
                      <w:szCs w:val="21"/>
                      <w:lang w:val="zh-CN" w:bidi="zh-CN"/>
                    </w:rPr>
                    <w:t>）</w:t>
                  </w:r>
                </w:p>
              </w:tc>
              <w:tc>
                <w:tcPr>
                  <w:tcW w:w="1644" w:type="dxa"/>
                  <w:vAlign w:val="center"/>
                </w:tcPr>
                <w:p>
                  <w:pPr>
                    <w:spacing w:line="360" w:lineRule="exact"/>
                    <w:jc w:val="center"/>
                    <w:rPr>
                      <w:rFonts w:ascii="Times New Roman" w:hAnsi="Times New Roman"/>
                      <w:color w:val="auto"/>
                      <w:szCs w:val="21"/>
                      <w:lang w:val="zh-CN" w:bidi="zh-CN"/>
                    </w:rPr>
                  </w:pPr>
                  <w:r>
                    <w:rPr>
                      <w:rFonts w:hint="eastAsia" w:ascii="Times New Roman" w:hAnsi="Times New Roman"/>
                      <w:color w:val="auto"/>
                      <w:szCs w:val="21"/>
                      <w:lang w:val="zh-CN" w:bidi="zh-CN"/>
                    </w:rPr>
                    <w:t>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continue"/>
                  <w:noWrap/>
                  <w:vAlign w:val="center"/>
                </w:tcPr>
                <w:p>
                  <w:pPr>
                    <w:spacing w:line="360" w:lineRule="exact"/>
                    <w:jc w:val="center"/>
                    <w:rPr>
                      <w:rFonts w:ascii="Times New Roman" w:hAnsi="Times New Roman"/>
                      <w:color w:val="auto"/>
                      <w:szCs w:val="21"/>
                      <w:lang w:val="zh-CN" w:bidi="zh-CN"/>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燃烧热（MJ/mol）</w:t>
                  </w:r>
                </w:p>
              </w:tc>
              <w:tc>
                <w:tcPr>
                  <w:tcW w:w="5903" w:type="dxa"/>
                  <w:gridSpan w:val="4"/>
                  <w:vAlign w:val="center"/>
                </w:tcPr>
                <w:p>
                  <w:pPr>
                    <w:spacing w:line="360" w:lineRule="exact"/>
                    <w:jc w:val="both"/>
                    <w:rPr>
                      <w:rFonts w:ascii="Times New Roman" w:hAnsi="Times New Roman"/>
                      <w:color w:val="auto"/>
                      <w:szCs w:val="21"/>
                      <w:lang w:val="zh-CN" w:bidi="zh-CN"/>
                    </w:rPr>
                  </w:pPr>
                  <w:r>
                    <w:rPr>
                      <w:rFonts w:hint="eastAsia" w:ascii="Times New Roman" w:hAnsi="Times New Roman"/>
                      <w:color w:val="auto"/>
                      <w:szCs w:val="21"/>
                      <w:lang w:val="zh-CN" w:bidi="zh-CN"/>
                    </w:rPr>
                    <w:t xml:space="preserve"> 889.5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continue"/>
                  <w:noWrap/>
                  <w:vAlign w:val="center"/>
                </w:tcPr>
                <w:p>
                  <w:pPr>
                    <w:spacing w:line="360" w:lineRule="exact"/>
                    <w:jc w:val="center"/>
                    <w:rPr>
                      <w:rFonts w:ascii="Times New Roman" w:hAnsi="Times New Roman"/>
                      <w:color w:val="auto"/>
                      <w:szCs w:val="21"/>
                      <w:lang w:val="zh-CN" w:bidi="zh-CN"/>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储运条件与泄露处理</w:t>
                  </w:r>
                </w:p>
              </w:tc>
              <w:tc>
                <w:tcPr>
                  <w:tcW w:w="5903" w:type="dxa"/>
                  <w:gridSpan w:val="4"/>
                  <w:vAlign w:val="center"/>
                </w:tcPr>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储运条件：用钢瓶；液化甲烷用特别绝热的容器。储存于阴凉、通风良好的不燃材料结构的库房或大型气柜。远离容易起火的地方。与五氟化溴、氯气、二氧化氯、三氟化氮、液氧、二氟化氧、氧化剂隔离储运。液化甲烷必须在很低的温度下装运，这种低温通过液化气体蒸发来保持或用甲烷专用罐车保温运输。</w:t>
                  </w:r>
                </w:p>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泄露处理：迅速撤离泄漏污染区人员至上风处，并进行隔离，严格限制人员出入。切断火源。建议应急处理人员戴上自给正压式呼吸器，穿消防防护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353" w:type="dxa"/>
                  <w:vMerge w:val="continue"/>
                  <w:noWrap/>
                  <w:vAlign w:val="center"/>
                </w:tcPr>
                <w:p>
                  <w:pPr>
                    <w:spacing w:line="360" w:lineRule="exact"/>
                    <w:jc w:val="center"/>
                    <w:rPr>
                      <w:rFonts w:ascii="Times New Roman" w:hAnsi="Times New Roman"/>
                      <w:color w:val="auto"/>
                      <w:szCs w:val="21"/>
                      <w:lang w:val="zh-CN" w:bidi="zh-CN"/>
                    </w:rPr>
                  </w:pPr>
                </w:p>
              </w:tc>
              <w:tc>
                <w:tcPr>
                  <w:tcW w:w="2012" w:type="dxa"/>
                  <w:noWrap/>
                  <w:vAlign w:val="center"/>
                </w:tcPr>
                <w:p>
                  <w:pPr>
                    <w:spacing w:line="360" w:lineRule="exact"/>
                    <w:jc w:val="center"/>
                    <w:rPr>
                      <w:rFonts w:ascii="Times New Roman" w:hAnsi="Times New Roman"/>
                      <w:color w:val="auto"/>
                      <w:szCs w:val="21"/>
                      <w:lang w:val="zh-CN" w:bidi="zh-CN"/>
                    </w:rPr>
                  </w:pPr>
                  <w:r>
                    <w:rPr>
                      <w:rFonts w:ascii="Times New Roman" w:hAnsi="Times New Roman"/>
                      <w:color w:val="auto"/>
                      <w:szCs w:val="21"/>
                      <w:lang w:val="zh-CN" w:bidi="zh-CN"/>
                    </w:rPr>
                    <w:t>灭火方法</w:t>
                  </w:r>
                </w:p>
              </w:tc>
              <w:tc>
                <w:tcPr>
                  <w:tcW w:w="5903" w:type="dxa"/>
                  <w:gridSpan w:val="4"/>
                  <w:vAlign w:val="center"/>
                </w:tcPr>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切断气源。若不能立即切断气源，则不允许熄灭正在燃烧的气体。喷水冷却容器，可能的话将容器从火场移至空旷处。</w:t>
                  </w:r>
                </w:p>
                <w:p>
                  <w:pPr>
                    <w:spacing w:line="360" w:lineRule="exact"/>
                    <w:jc w:val="both"/>
                    <w:rPr>
                      <w:rFonts w:ascii="Times New Roman" w:hAnsi="Times New Roman"/>
                      <w:color w:val="auto"/>
                      <w:szCs w:val="21"/>
                      <w:lang w:val="zh-CN" w:bidi="zh-CN"/>
                    </w:rPr>
                  </w:pPr>
                  <w:r>
                    <w:rPr>
                      <w:rFonts w:ascii="Times New Roman" w:hAnsi="Times New Roman"/>
                      <w:color w:val="auto"/>
                      <w:szCs w:val="21"/>
                      <w:lang w:val="zh-CN" w:bidi="zh-CN"/>
                    </w:rPr>
                    <w:t>灭火剂：雾状水、泡沫、二氧化碳、干粉。</w:t>
                  </w:r>
                </w:p>
              </w:tc>
            </w:tr>
          </w:tbl>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③可能影响途径</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本技改项目可能影响途径主要为：项目原料气来自于现有厂区BOG储罐，通过设置管线通向本项目提氦装置，富甲烷解析气主要位于解析气缓冲罐以及相关管线内，一旦BOG管线或解析气管线破损、解析气缓冲罐破损或者泄露，可能会对厂房造成火灾爆炸事故，对厂区周围大气环境造成污染；灭火以及处理泄露事故会产生大量污水，如果处理不当，会对地下水造成污染。</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（2）环境风险</w:t>
            </w:r>
            <w:r>
              <w:rPr>
                <w:rFonts w:hint="eastAsia" w:ascii="宋体" w:hAnsi="宋体" w:cs="宋体"/>
                <w:color w:val="auto"/>
                <w:kern w:val="0"/>
                <w:sz w:val="24"/>
                <w:szCs w:val="24"/>
                <w:highlight w:val="none"/>
              </w:rPr>
              <w:t>防范措施</w:t>
            </w:r>
          </w:p>
          <w:p>
            <w:pPr>
              <w:widowControl w:val="0"/>
              <w:spacing w:line="360" w:lineRule="auto"/>
              <w:ind w:firstLine="480" w:firstLineChars="200"/>
              <w:jc w:val="both"/>
              <w:rPr>
                <w:rFonts w:hint="eastAsia" w:ascii="宋体" w:hAnsi="宋体" w:cs="宋体"/>
                <w:color w:val="auto"/>
                <w:sz w:val="24"/>
                <w:szCs w:val="24"/>
                <w:lang w:val="en-US" w:eastAsia="zh-CN"/>
              </w:rPr>
            </w:pPr>
            <w:r>
              <w:rPr>
                <w:rFonts w:ascii="宋体" w:hAnsi="宋体" w:eastAsia="宋体" w:cs="宋体"/>
                <w:color w:val="auto"/>
                <w:sz w:val="24"/>
                <w:szCs w:val="24"/>
              </w:rPr>
              <w:t>突发环境风险一般由自然灾害或事故引发，具有次生灾害风险的 特点，风险概率较低，风险防范以预防措施为主。公司对环境风险源 进行全面监控，确保各类风险源在可控状态，减少风险事故发生率， 减轻事故危害。</w:t>
            </w:r>
            <w:r>
              <w:rPr>
                <w:rFonts w:hint="eastAsia" w:ascii="宋体" w:hAnsi="宋体" w:cs="宋体"/>
                <w:color w:val="auto"/>
                <w:sz w:val="24"/>
                <w:szCs w:val="24"/>
                <w:lang w:val="en-US" w:eastAsia="zh-CN"/>
              </w:rPr>
              <w:t>厂区现有环境风险防控情况如下：</w:t>
            </w:r>
          </w:p>
          <w:p>
            <w:pPr>
              <w:widowControl w:val="0"/>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⑴ 制定风险监控管理制度，按照“谁使用，谁管理”的原则，完善责任制度，确保风险源的日常监控。</w:t>
            </w:r>
          </w:p>
          <w:p>
            <w:pPr>
              <w:widowControl w:val="0"/>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⑵ 定期组织进行环境安全检查工作，建立环保安全检查制度，每月组织检查一次，各部门以自查为主，互查为辅，实时监控对环境可能构成危害的重点危险源。</w:t>
            </w:r>
          </w:p>
          <w:p>
            <w:pPr>
              <w:widowControl w:val="0"/>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⑶ 强化环保安全生产教育，企业所有职工必须具备环保安全生产基本知识，熟知生产危险区域及其环保防护的基本知识和注意事项。</w:t>
            </w:r>
          </w:p>
          <w:p>
            <w:pPr>
              <w:widowControl w:val="0"/>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⑷ 建立相应的环境及环境次生灾害监控预报预警联动机制，实现相关灾情、险情等信息的共享。</w:t>
            </w:r>
          </w:p>
          <w:p>
            <w:pPr>
              <w:widowControl w:val="0"/>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⑸ 每年定期进行设备检验和维修</w:t>
            </w:r>
          </w:p>
          <w:p>
            <w:pPr>
              <w:widowControl w:val="0"/>
              <w:spacing w:line="360" w:lineRule="auto"/>
              <w:ind w:firstLine="480" w:firstLineChars="200"/>
              <w:jc w:val="both"/>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并针对液化天然气储罐泄漏、管道输送气体泄漏、</w:t>
            </w:r>
            <w:r>
              <w:rPr>
                <w:rFonts w:ascii="宋体" w:hAnsi="宋体" w:eastAsia="宋体" w:cs="宋体"/>
                <w:color w:val="auto"/>
                <w:sz w:val="24"/>
                <w:szCs w:val="24"/>
              </w:rPr>
              <w:t>冷剂储罐泄漏</w:t>
            </w:r>
            <w:r>
              <w:rPr>
                <w:rFonts w:hint="eastAsia" w:ascii="宋体" w:hAnsi="宋体" w:cs="宋体"/>
                <w:color w:val="auto"/>
                <w:sz w:val="24"/>
                <w:szCs w:val="24"/>
                <w:lang w:eastAsia="zh-CN"/>
              </w:rPr>
              <w:t>、</w:t>
            </w:r>
            <w:r>
              <w:rPr>
                <w:rFonts w:ascii="宋体" w:hAnsi="宋体" w:eastAsia="宋体" w:cs="宋体"/>
                <w:color w:val="auto"/>
                <w:sz w:val="24"/>
                <w:szCs w:val="24"/>
              </w:rPr>
              <w:t>重烃泄漏</w:t>
            </w:r>
            <w:r>
              <w:rPr>
                <w:rFonts w:hint="eastAsia" w:ascii="宋体" w:hAnsi="宋体" w:cs="宋体"/>
                <w:color w:val="auto"/>
                <w:sz w:val="24"/>
                <w:szCs w:val="24"/>
                <w:lang w:eastAsia="zh-CN"/>
              </w:rPr>
              <w:t>、</w:t>
            </w:r>
            <w:r>
              <w:rPr>
                <w:rFonts w:ascii="宋体" w:hAnsi="宋体" w:eastAsia="宋体" w:cs="宋体"/>
                <w:color w:val="auto"/>
                <w:sz w:val="24"/>
                <w:szCs w:val="24"/>
              </w:rPr>
              <w:t>脱碳溶液（MDEA）泄漏</w:t>
            </w:r>
            <w:r>
              <w:rPr>
                <w:rFonts w:hint="eastAsia" w:ascii="宋体" w:hAnsi="宋体" w:cs="宋体"/>
                <w:color w:val="auto"/>
                <w:sz w:val="24"/>
                <w:szCs w:val="24"/>
                <w:lang w:eastAsia="zh-CN"/>
              </w:rPr>
              <w:t>、</w:t>
            </w:r>
            <w:r>
              <w:rPr>
                <w:rFonts w:ascii="宋体" w:hAnsi="宋体" w:eastAsia="宋体" w:cs="宋体"/>
                <w:color w:val="auto"/>
                <w:sz w:val="24"/>
                <w:szCs w:val="24"/>
              </w:rPr>
              <w:t>危险废物泄漏</w:t>
            </w:r>
            <w:r>
              <w:rPr>
                <w:rFonts w:hint="eastAsia" w:ascii="宋体" w:hAnsi="宋体" w:cs="宋体"/>
                <w:color w:val="auto"/>
                <w:sz w:val="24"/>
                <w:szCs w:val="24"/>
                <w:lang w:eastAsia="zh-CN"/>
              </w:rPr>
              <w:t>、</w:t>
            </w:r>
            <w:r>
              <w:rPr>
                <w:rFonts w:ascii="宋体" w:hAnsi="宋体" w:eastAsia="宋体" w:cs="宋体"/>
                <w:color w:val="auto"/>
                <w:sz w:val="24"/>
                <w:szCs w:val="24"/>
              </w:rPr>
              <w:t>极端天气引发的突发环境风险</w:t>
            </w:r>
            <w:r>
              <w:rPr>
                <w:rFonts w:hint="eastAsia" w:ascii="宋体" w:hAnsi="宋体" w:cs="宋体"/>
                <w:color w:val="auto"/>
                <w:sz w:val="24"/>
                <w:szCs w:val="24"/>
                <w:lang w:val="en-US" w:eastAsia="zh-CN"/>
              </w:rPr>
              <w:t>等情况制定了具体的防范措施。</w:t>
            </w:r>
          </w:p>
          <w:p>
            <w:pPr>
              <w:widowControl w:val="0"/>
              <w:spacing w:line="360" w:lineRule="auto"/>
              <w:ind w:firstLine="480" w:firstLineChars="200"/>
              <w:jc w:val="both"/>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参考厂区现有环境风险评估报告，针对提氦装置区，本报告提出以下三方面措施应对提氦装置区带来的环境风险。</w:t>
            </w:r>
          </w:p>
          <w:p>
            <w:pPr>
              <w:widowControl w:val="0"/>
              <w:spacing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①工程措施</w:t>
            </w:r>
          </w:p>
          <w:p>
            <w:pPr>
              <w:widowControl w:val="0"/>
              <w:numPr>
                <w:ilvl w:val="0"/>
                <w:numId w:val="23"/>
              </w:numPr>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管理区应与生产区之间明显分隔，辅助生产区和仓库都应尽可能集中设置；提氦装置区域应留有足够的消防环形通道，并保证消防、急救车辆到达该区域畅通无阻，道路宽度应符合有关规范要求；设突发事件人员应急疏散通道，根据项目所在地主导风向情况，应急疏散通道应通向风险源的上风向。第二，合理布置工艺设备，要有利于安全生产和便于操作、控制，加强局部通风；对具有危险和有害因素的生产过程，应合理地采用集中控制技术，提高自动控制水平，应选用较好的设备、先进的工艺及操作系统，进行生产工序以及公用工程各工序的过程控制，提氦装置区设置可燃气体泄漏探测器等；第三，针对物料泄露事故，应选用较好的设备、先进的工艺</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并</w:t>
            </w:r>
            <w:r>
              <w:rPr>
                <w:rFonts w:hint="eastAsia" w:ascii="宋体" w:hAnsi="宋体" w:cs="宋体"/>
                <w:color w:val="auto"/>
                <w:kern w:val="0"/>
                <w:sz w:val="24"/>
                <w:szCs w:val="24"/>
              </w:rPr>
              <w:t xml:space="preserve">经常对各类阀门进行检查和维修，以保证其严密性和灵活性；同时在项目提氦装置区、装车及储存单元周边设置防渗漏收集管沟，与现有事故废水收集系统连通。第四，针对火灾爆炸事故，应根据设备的安全性、危险性设定定期对设备进行安全检测并设计监测频次，检测内容、时间、人员应有记录保存；严禁工作人员在装置区使用火柴、打火机等明火工具；控制维修用火；对设备进行维修检查时，如需进行焊接维修，应上报相关部门，经确认、准许后作业，并有记录在案；工作人员进入装置区检修时应配备携带式可燃气体泄漏检查报警仪。 </w:t>
            </w:r>
            <w:r>
              <w:rPr>
                <w:rFonts w:hint="eastAsia" w:ascii="宋体" w:hAnsi="宋体" w:cs="宋体"/>
                <w:color w:val="auto"/>
                <w:kern w:val="0"/>
                <w:sz w:val="24"/>
                <w:szCs w:val="24"/>
                <w:lang w:val="en-US" w:eastAsia="zh-CN"/>
              </w:rPr>
              <w:t>第五，</w:t>
            </w:r>
            <w:r>
              <w:rPr>
                <w:rFonts w:hint="eastAsia" w:ascii="宋体" w:hAnsi="宋体" w:cs="宋体"/>
                <w:color w:val="auto"/>
                <w:kern w:val="0"/>
                <w:sz w:val="24"/>
                <w:szCs w:val="24"/>
              </w:rPr>
              <w:t>提氦装置区配备必要的防护设施，如防毒面罩、空气呼吸器等，在必要的地方设梯子、平台、护拦等器具；</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②管理措施</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为了降低和避免特殊情况下突发环境事件所造成的损失，确保有组织、有计划、快速地应对突发环境事件，及时地组织抢险和救援，结合各部门职能分工，</w:t>
            </w:r>
            <w:r>
              <w:rPr>
                <w:rFonts w:hint="eastAsia" w:ascii="宋体" w:hAnsi="宋体" w:cs="宋体"/>
                <w:color w:val="auto"/>
                <w:kern w:val="0"/>
                <w:sz w:val="24"/>
                <w:szCs w:val="24"/>
                <w:lang w:val="en-US" w:eastAsia="zh-CN"/>
              </w:rPr>
              <w:t>公司</w:t>
            </w:r>
            <w:r>
              <w:rPr>
                <w:rFonts w:hint="eastAsia" w:ascii="宋体" w:hAnsi="宋体" w:cs="宋体"/>
                <w:color w:val="auto"/>
                <w:kern w:val="0"/>
                <w:sz w:val="24"/>
                <w:szCs w:val="24"/>
              </w:rPr>
              <w:t>成立</w:t>
            </w:r>
            <w:r>
              <w:rPr>
                <w:rFonts w:hint="eastAsia" w:ascii="宋体" w:hAnsi="宋体" w:cs="宋体"/>
                <w:color w:val="auto"/>
                <w:kern w:val="0"/>
                <w:sz w:val="24"/>
                <w:szCs w:val="24"/>
                <w:lang w:val="en-US" w:eastAsia="zh-CN"/>
              </w:rPr>
              <w:t>有相应的</w:t>
            </w:r>
            <w:r>
              <w:rPr>
                <w:rFonts w:hint="eastAsia" w:ascii="宋体" w:hAnsi="宋体" w:cs="宋体"/>
                <w:color w:val="auto"/>
                <w:kern w:val="0"/>
                <w:sz w:val="24"/>
                <w:szCs w:val="24"/>
              </w:rPr>
              <w:t>应急指挥部，并明确职责分工和工作计划等，负责指导、协调突发性环境污染事故的应对工作</w:t>
            </w:r>
            <w:r>
              <w:rPr>
                <w:rFonts w:hint="eastAsia" w:ascii="宋体" w:hAnsi="宋体" w:cs="宋体"/>
                <w:color w:val="auto"/>
                <w:kern w:val="0"/>
                <w:sz w:val="24"/>
                <w:szCs w:val="24"/>
                <w:lang w:eastAsia="zh-CN"/>
              </w:rPr>
              <w:t>。</w:t>
            </w:r>
            <w:r>
              <w:rPr>
                <w:rFonts w:hint="eastAsia" w:ascii="宋体" w:hAnsi="宋体" w:cs="宋体"/>
                <w:color w:val="auto"/>
                <w:kern w:val="0"/>
                <w:sz w:val="24"/>
                <w:szCs w:val="24"/>
                <w:lang w:val="en-US" w:eastAsia="zh-CN"/>
              </w:rPr>
              <w:t>针对厂区生产装置区，公司</w:t>
            </w:r>
            <w:r>
              <w:rPr>
                <w:rFonts w:hint="eastAsia" w:ascii="宋体" w:hAnsi="宋体" w:cs="宋体"/>
                <w:color w:val="auto"/>
                <w:kern w:val="0"/>
                <w:sz w:val="24"/>
                <w:szCs w:val="24"/>
              </w:rPr>
              <w:t>建立了严格的规章制度和操作规程，</w:t>
            </w:r>
            <w:r>
              <w:rPr>
                <w:rFonts w:hint="eastAsia" w:ascii="宋体" w:hAnsi="宋体" w:cs="宋体"/>
                <w:color w:val="auto"/>
                <w:kern w:val="0"/>
                <w:sz w:val="24"/>
                <w:szCs w:val="24"/>
                <w:lang w:val="en-US" w:eastAsia="zh-CN"/>
              </w:rPr>
              <w:t>并</w:t>
            </w:r>
            <w:r>
              <w:rPr>
                <w:rFonts w:hint="eastAsia" w:ascii="宋体" w:hAnsi="宋体" w:cs="宋体"/>
                <w:color w:val="auto"/>
                <w:kern w:val="0"/>
                <w:sz w:val="24"/>
                <w:szCs w:val="24"/>
              </w:rPr>
              <w:t>设置专门的安全管理机构和专人负责日常安全管理工作。</w:t>
            </w:r>
            <w:r>
              <w:rPr>
                <w:rFonts w:hint="eastAsia" w:ascii="宋体" w:hAnsi="宋体" w:cs="宋体"/>
                <w:color w:val="auto"/>
                <w:kern w:val="0"/>
                <w:sz w:val="24"/>
                <w:szCs w:val="24"/>
                <w:lang w:val="en-US" w:eastAsia="zh-CN"/>
              </w:rPr>
              <w:t>基于公司已有的突发环境事件应急工作安排，报告建议本项目采取以下措施完善提氦装置区管理工作。第一，在保证设备精良的</w:t>
            </w:r>
            <w:r>
              <w:rPr>
                <w:rFonts w:hint="eastAsia" w:ascii="宋体" w:hAnsi="宋体" w:cs="宋体"/>
                <w:color w:val="auto"/>
                <w:kern w:val="0"/>
                <w:sz w:val="24"/>
                <w:szCs w:val="24"/>
              </w:rPr>
              <w:t>基础上严格管理和提高操作人员的安全意识</w:t>
            </w:r>
            <w:r>
              <w:rPr>
                <w:rFonts w:hint="eastAsia" w:ascii="宋体" w:hAnsi="宋体" w:cs="宋体"/>
                <w:color w:val="auto"/>
                <w:kern w:val="0"/>
                <w:sz w:val="24"/>
                <w:szCs w:val="24"/>
                <w:lang w:val="en-US" w:eastAsia="zh-CN"/>
              </w:rPr>
              <w:t>和</w:t>
            </w:r>
            <w:r>
              <w:rPr>
                <w:rFonts w:hint="eastAsia" w:ascii="宋体" w:hAnsi="宋体" w:cs="宋体"/>
                <w:color w:val="auto"/>
                <w:kern w:val="0"/>
                <w:sz w:val="24"/>
                <w:szCs w:val="24"/>
              </w:rPr>
              <w:t>责任心，对储运管理人员和技术人员必须进行有关法律、法规、规章和安全知识、专业技术、职业卫生防护和应急救援知识的系统教育培训，并经考核合格，才可以上岗作业。</w:t>
            </w:r>
            <w:r>
              <w:rPr>
                <w:rFonts w:hint="eastAsia" w:ascii="宋体" w:hAnsi="宋体" w:cs="宋体"/>
                <w:color w:val="auto"/>
                <w:kern w:val="0"/>
                <w:sz w:val="24"/>
                <w:szCs w:val="24"/>
                <w:lang w:val="en-US" w:eastAsia="zh-CN"/>
              </w:rPr>
              <w:t>第二，要求</w:t>
            </w:r>
            <w:r>
              <w:rPr>
                <w:rFonts w:hint="eastAsia" w:ascii="宋体" w:hAnsi="宋体" w:cs="宋体"/>
                <w:color w:val="auto"/>
                <w:kern w:val="0"/>
                <w:sz w:val="24"/>
                <w:szCs w:val="24"/>
              </w:rPr>
              <w:t>操作人员严格按操作规程进行操作，严禁违章作业并定期进行安全作业培训</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在日常的工作中要求操作人员严格按照规定执行</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提高安全操作</w:t>
            </w:r>
            <w:r>
              <w:rPr>
                <w:rFonts w:hint="eastAsia" w:ascii="宋体" w:hAnsi="宋体" w:cs="宋体"/>
                <w:color w:val="auto"/>
                <w:kern w:val="0"/>
                <w:sz w:val="24"/>
                <w:szCs w:val="24"/>
                <w:lang w:val="en-US" w:eastAsia="zh-CN"/>
              </w:rPr>
              <w:t>技能</w:t>
            </w:r>
            <w:r>
              <w:rPr>
                <w:rFonts w:hint="eastAsia" w:ascii="宋体" w:hAnsi="宋体" w:cs="宋体"/>
                <w:color w:val="auto"/>
                <w:kern w:val="0"/>
                <w:sz w:val="24"/>
                <w:szCs w:val="24"/>
              </w:rPr>
              <w:t>和事故应急处理能力；</w:t>
            </w:r>
            <w:r>
              <w:rPr>
                <w:rFonts w:hint="eastAsia" w:ascii="宋体" w:hAnsi="宋体" w:cs="宋体"/>
                <w:color w:val="auto"/>
                <w:kern w:val="0"/>
                <w:sz w:val="24"/>
                <w:szCs w:val="24"/>
                <w:lang w:val="en-US" w:eastAsia="zh-CN"/>
              </w:rPr>
              <w:t>第三，</w:t>
            </w:r>
            <w:r>
              <w:rPr>
                <w:rFonts w:hint="eastAsia" w:ascii="宋体" w:hAnsi="宋体" w:cs="宋体"/>
                <w:color w:val="auto"/>
                <w:kern w:val="0"/>
                <w:sz w:val="24"/>
                <w:szCs w:val="24"/>
              </w:rPr>
              <w:t>在生产过程中注意劳动保护，定制专门的工作服并要求工作人员着工作服作业，避免危险物直接与皮肤接触而造成损伤；厂区要求相关部门加强安全检查，禁止工作人员在罐区吸烟或使用电子通信设备，在罐区严禁使用非防爆电器，并加强对防爆电器的安全性检查；告诫全体员工严格遵守并执行厂区动火规章制度；</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③事故应急措施</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陕西靖边星源实业有限公司已根据厂区</w:t>
            </w:r>
            <w:r>
              <w:rPr>
                <w:rFonts w:hint="eastAsia" w:ascii="宋体" w:hAnsi="宋体" w:cs="宋体"/>
                <w:color w:val="auto"/>
                <w:kern w:val="0"/>
                <w:sz w:val="24"/>
                <w:szCs w:val="24"/>
                <w:lang w:val="en-US" w:eastAsia="zh-CN"/>
              </w:rPr>
              <w:t>现有项目</w:t>
            </w:r>
            <w:r>
              <w:rPr>
                <w:rFonts w:hint="eastAsia" w:ascii="宋体" w:hAnsi="宋体" w:cs="宋体"/>
                <w:color w:val="auto"/>
                <w:kern w:val="0"/>
                <w:sz w:val="24"/>
                <w:szCs w:val="24"/>
              </w:rPr>
              <w:t>情况制定了环境风险应急预案，并于2022年8月更新应急预案并备案，应急预案备案见附件8。现有的应急预案未将本项目纳入，项目建成后建设单位应及时修订应急预案，</w:t>
            </w:r>
            <w:r>
              <w:rPr>
                <w:rFonts w:hint="eastAsia" w:ascii="宋体" w:hAnsi="宋体" w:cs="宋体"/>
                <w:color w:val="auto"/>
                <w:kern w:val="0"/>
                <w:sz w:val="24"/>
                <w:szCs w:val="24"/>
                <w:lang w:val="en-US" w:eastAsia="zh-CN"/>
              </w:rPr>
              <w:t>将本项目的环境风险情况纳入现有应急预案内，</w:t>
            </w:r>
            <w:r>
              <w:rPr>
                <w:rFonts w:hint="eastAsia" w:ascii="宋体" w:hAnsi="宋体" w:cs="宋体"/>
                <w:color w:val="auto"/>
                <w:kern w:val="0"/>
                <w:sz w:val="24"/>
                <w:szCs w:val="24"/>
              </w:rPr>
              <w:t>并以修订后的应急预案作为建设单位在发生突发环境事件的应急指导，并组织员工进行必要的培训演练，以备事故发生后冷静、机智地将事故危害控制到最小，同时，企业应急预案应与工业园区以及当地政府的《突发环境事件应急预案》实施对接及联动。</w:t>
            </w:r>
          </w:p>
          <w:p>
            <w:pPr>
              <w:widowControl w:val="0"/>
              <w:spacing w:line="360" w:lineRule="auto"/>
              <w:ind w:firstLine="480" w:firstLineChars="200"/>
              <w:jc w:val="both"/>
              <w:rPr>
                <w:rFonts w:ascii="宋体" w:hAnsi="宋体" w:cs="宋体"/>
                <w:color w:val="auto"/>
                <w:kern w:val="0"/>
                <w:sz w:val="24"/>
                <w:szCs w:val="24"/>
              </w:rPr>
            </w:pPr>
            <w:r>
              <w:rPr>
                <w:rFonts w:hint="eastAsia" w:ascii="宋体" w:hAnsi="宋体" w:cs="宋体"/>
                <w:color w:val="auto"/>
                <w:kern w:val="0"/>
                <w:sz w:val="24"/>
                <w:szCs w:val="24"/>
              </w:rPr>
              <w:t>综上，本技改项目在采取环评提出的风险防范措施，并采取有效的综合管理措施的前提下，所产生的环境风险可以控制在可接受风险水平之内。</w:t>
            </w:r>
          </w:p>
          <w:p>
            <w:pPr>
              <w:widowControl w:val="0"/>
              <w:numPr>
                <w:ilvl w:val="3"/>
                <w:numId w:val="21"/>
              </w:numPr>
              <w:tabs>
                <w:tab w:val="left" w:pos="735"/>
              </w:tabs>
              <w:spacing w:line="360" w:lineRule="auto"/>
              <w:ind w:left="0" w:firstLine="482" w:firstLineChars="200"/>
              <w:jc w:val="both"/>
              <w:rPr>
                <w:rFonts w:ascii="Times New Roman" w:hAnsi="Times New Roman"/>
                <w:b/>
                <w:color w:val="auto"/>
                <w:sz w:val="24"/>
                <w:szCs w:val="24"/>
              </w:rPr>
            </w:pPr>
            <w:r>
              <w:rPr>
                <w:rFonts w:ascii="Times New Roman" w:hAnsi="Times New Roman"/>
                <w:b/>
                <w:color w:val="auto"/>
                <w:sz w:val="24"/>
                <w:szCs w:val="24"/>
              </w:rPr>
              <w:t>环保投资</w:t>
            </w:r>
          </w:p>
          <w:p>
            <w:pPr>
              <w:spacing w:line="360" w:lineRule="auto"/>
              <w:ind w:firstLine="480" w:firstLineChars="200"/>
              <w:jc w:val="both"/>
              <w:textAlignment w:val="baseline"/>
              <w:rPr>
                <w:rFonts w:ascii="Times New Roman" w:hAnsi="Times New Roman"/>
                <w:color w:val="auto"/>
                <w:kern w:val="0"/>
                <w:sz w:val="24"/>
                <w:szCs w:val="20"/>
              </w:rPr>
            </w:pPr>
            <w:r>
              <w:rPr>
                <w:rFonts w:ascii="Times New Roman" w:hAnsi="Times New Roman"/>
                <w:color w:val="auto"/>
                <w:kern w:val="0"/>
                <w:sz w:val="24"/>
                <w:szCs w:val="20"/>
              </w:rPr>
              <w:t>本技改项目</w:t>
            </w:r>
            <w:r>
              <w:rPr>
                <w:rFonts w:hint="eastAsia" w:ascii="Times New Roman" w:hAnsi="Times New Roman"/>
                <w:color w:val="auto"/>
                <w:kern w:val="0"/>
                <w:sz w:val="24"/>
                <w:szCs w:val="20"/>
              </w:rPr>
              <w:t>总投资</w:t>
            </w:r>
            <w:r>
              <w:rPr>
                <w:rFonts w:ascii="Times New Roman" w:hAnsi="Times New Roman"/>
                <w:color w:val="auto"/>
                <w:kern w:val="0"/>
                <w:sz w:val="24"/>
                <w:szCs w:val="20"/>
              </w:rPr>
              <w:t>2000万元</w:t>
            </w:r>
            <w:r>
              <w:rPr>
                <w:rFonts w:hint="eastAsia" w:ascii="Times New Roman" w:hAnsi="Times New Roman"/>
                <w:color w:val="auto"/>
                <w:kern w:val="0"/>
                <w:sz w:val="24"/>
                <w:szCs w:val="20"/>
              </w:rPr>
              <w:t>，其中</w:t>
            </w:r>
            <w:r>
              <w:rPr>
                <w:rFonts w:ascii="Times New Roman" w:hAnsi="Times New Roman"/>
                <w:color w:val="auto"/>
                <w:kern w:val="0"/>
                <w:sz w:val="24"/>
                <w:szCs w:val="20"/>
              </w:rPr>
              <w:t>环保投资43万元，占总投资的2.15%，</w:t>
            </w:r>
            <w:r>
              <w:rPr>
                <w:rFonts w:hint="eastAsia" w:ascii="Times New Roman" w:hAnsi="Times New Roman"/>
                <w:color w:val="auto"/>
                <w:kern w:val="0"/>
                <w:sz w:val="24"/>
                <w:szCs w:val="20"/>
              </w:rPr>
              <w:t>主要用于废水、噪声、危险废物的治理等。环保投资详见表36</w:t>
            </w:r>
            <w:r>
              <w:rPr>
                <w:rFonts w:ascii="Times New Roman" w:hAnsi="Times New Roman"/>
                <w:color w:val="auto"/>
                <w:kern w:val="0"/>
                <w:sz w:val="24"/>
                <w:szCs w:val="20"/>
              </w:rPr>
              <w:t>。</w:t>
            </w:r>
          </w:p>
          <w:p>
            <w:pPr>
              <w:widowControl w:val="0"/>
              <w:numPr>
                <w:ilvl w:val="0"/>
                <w:numId w:val="13"/>
              </w:numPr>
              <w:jc w:val="center"/>
              <w:rPr>
                <w:rFonts w:ascii="Times New Roman" w:hAnsi="Times New Roman"/>
                <w:b/>
                <w:color w:val="auto"/>
                <w:sz w:val="24"/>
              </w:rPr>
            </w:pPr>
            <w:r>
              <w:rPr>
                <w:rFonts w:ascii="Times New Roman" w:hAnsi="Times New Roman"/>
                <w:b/>
                <w:color w:val="auto"/>
                <w:sz w:val="24"/>
              </w:rPr>
              <w:t>项目环保投入估算表</w:t>
            </w:r>
            <w:r>
              <w:rPr>
                <w:rFonts w:ascii="Times New Roman" w:hAnsi="Times New Roman"/>
                <w:bCs/>
                <w:color w:val="auto"/>
                <w:sz w:val="24"/>
              </w:rPr>
              <w:t xml:space="preserve">             </w:t>
            </w:r>
          </w:p>
          <w:tbl>
            <w:tblPr>
              <w:tblStyle w:val="90"/>
              <w:tblW w:w="4998"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26"/>
              <w:gridCol w:w="997"/>
              <w:gridCol w:w="1201"/>
              <w:gridCol w:w="1303"/>
              <w:gridCol w:w="3382"/>
              <w:gridCol w:w="9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68" w:hRule="atLeast"/>
              </w:trPr>
              <w:tc>
                <w:tcPr>
                  <w:tcW w:w="257" w:type="pct"/>
                  <w:vAlign w:val="center"/>
                </w:tcPr>
                <w:p>
                  <w:pPr>
                    <w:jc w:val="center"/>
                    <w:rPr>
                      <w:rFonts w:ascii="Times New Roman" w:hAnsi="Times New Roman"/>
                      <w:bCs/>
                      <w:color w:val="auto"/>
                      <w:szCs w:val="21"/>
                    </w:rPr>
                  </w:pPr>
                  <w:r>
                    <w:rPr>
                      <w:rFonts w:hint="eastAsia" w:ascii="Times New Roman" w:hAnsi="Times New Roman"/>
                      <w:bCs/>
                      <w:color w:val="auto"/>
                      <w:szCs w:val="21"/>
                    </w:rPr>
                    <w:t>序号</w:t>
                  </w:r>
                </w:p>
              </w:tc>
              <w:tc>
                <w:tcPr>
                  <w:tcW w:w="603" w:type="pct"/>
                  <w:vAlign w:val="center"/>
                </w:tcPr>
                <w:p>
                  <w:pPr>
                    <w:jc w:val="center"/>
                    <w:rPr>
                      <w:rFonts w:ascii="Times New Roman" w:hAnsi="Times New Roman"/>
                      <w:bCs/>
                      <w:color w:val="auto"/>
                      <w:szCs w:val="21"/>
                    </w:rPr>
                  </w:pPr>
                  <w:r>
                    <w:rPr>
                      <w:rFonts w:ascii="Times New Roman" w:hAnsi="Times New Roman"/>
                      <w:bCs/>
                      <w:color w:val="auto"/>
                      <w:szCs w:val="21"/>
                    </w:rPr>
                    <w:t>环保投资项目</w:t>
                  </w:r>
                </w:p>
              </w:tc>
              <w:tc>
                <w:tcPr>
                  <w:tcW w:w="726" w:type="pct"/>
                  <w:vAlign w:val="center"/>
                </w:tcPr>
                <w:p>
                  <w:pPr>
                    <w:jc w:val="center"/>
                    <w:rPr>
                      <w:rFonts w:ascii="Times New Roman" w:hAnsi="Times New Roman"/>
                      <w:color w:val="auto"/>
                      <w:szCs w:val="21"/>
                    </w:rPr>
                  </w:pPr>
                  <w:r>
                    <w:rPr>
                      <w:rFonts w:hint="eastAsia" w:ascii="Times New Roman" w:hAnsi="Times New Roman"/>
                      <w:color w:val="auto"/>
                      <w:szCs w:val="21"/>
                    </w:rPr>
                    <w:t>污染源</w:t>
                  </w:r>
                </w:p>
              </w:tc>
              <w:tc>
                <w:tcPr>
                  <w:tcW w:w="788" w:type="pct"/>
                  <w:vAlign w:val="center"/>
                </w:tcPr>
                <w:p>
                  <w:pPr>
                    <w:jc w:val="center"/>
                    <w:rPr>
                      <w:rFonts w:ascii="Times New Roman" w:hAnsi="Times New Roman"/>
                      <w:bCs/>
                      <w:color w:val="auto"/>
                      <w:szCs w:val="21"/>
                    </w:rPr>
                  </w:pPr>
                  <w:r>
                    <w:rPr>
                      <w:rFonts w:hint="eastAsia" w:ascii="Times New Roman" w:hAnsi="Times New Roman"/>
                      <w:bCs/>
                      <w:color w:val="auto"/>
                      <w:szCs w:val="21"/>
                    </w:rPr>
                    <w:t>污染物</w:t>
                  </w:r>
                </w:p>
              </w:tc>
              <w:tc>
                <w:tcPr>
                  <w:tcW w:w="2045" w:type="pct"/>
                  <w:vAlign w:val="center"/>
                </w:tcPr>
                <w:p>
                  <w:pPr>
                    <w:jc w:val="center"/>
                    <w:rPr>
                      <w:rFonts w:ascii="Times New Roman" w:hAnsi="Times New Roman"/>
                      <w:bCs/>
                      <w:color w:val="auto"/>
                      <w:szCs w:val="21"/>
                    </w:rPr>
                  </w:pPr>
                  <w:r>
                    <w:rPr>
                      <w:rFonts w:hint="eastAsia" w:ascii="Times New Roman" w:hAnsi="Times New Roman"/>
                      <w:bCs/>
                      <w:color w:val="auto"/>
                      <w:szCs w:val="21"/>
                    </w:rPr>
                    <w:t>环保措施</w:t>
                  </w:r>
                </w:p>
              </w:tc>
              <w:tc>
                <w:tcPr>
                  <w:tcW w:w="578" w:type="pct"/>
                  <w:vAlign w:val="center"/>
                </w:tcPr>
                <w:p>
                  <w:pPr>
                    <w:jc w:val="center"/>
                    <w:rPr>
                      <w:rFonts w:ascii="Times New Roman" w:hAnsi="Times New Roman"/>
                      <w:bCs/>
                      <w:color w:val="auto"/>
                      <w:szCs w:val="21"/>
                    </w:rPr>
                  </w:pPr>
                  <w:r>
                    <w:rPr>
                      <w:rFonts w:ascii="Times New Roman" w:hAnsi="Times New Roman"/>
                      <w:bCs/>
                      <w:color w:val="auto"/>
                      <w:szCs w:val="21"/>
                    </w:rPr>
                    <w:t>投资</w:t>
                  </w:r>
                  <w:r>
                    <w:rPr>
                      <w:rFonts w:hint="eastAsia" w:ascii="Times New Roman" w:hAnsi="Times New Roman"/>
                      <w:bCs/>
                      <w:color w:val="auto"/>
                      <w:szCs w:val="21"/>
                    </w:rPr>
                    <w:t>额（</w:t>
                  </w:r>
                  <w:r>
                    <w:rPr>
                      <w:rFonts w:ascii="Times New Roman" w:hAnsi="Times New Roman"/>
                      <w:color w:val="auto"/>
                      <w:szCs w:val="21"/>
                    </w:rPr>
                    <w:t>万元</w:t>
                  </w:r>
                  <w:r>
                    <w:rPr>
                      <w:rFonts w:hint="eastAsia" w:ascii="Times New Roman" w:hAnsi="Times New Roman"/>
                      <w:bCs/>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6" w:hRule="atLeast"/>
              </w:trPr>
              <w:tc>
                <w:tcPr>
                  <w:tcW w:w="257" w:type="pct"/>
                  <w:vAlign w:val="center"/>
                </w:tcPr>
                <w:p>
                  <w:pPr>
                    <w:jc w:val="center"/>
                    <w:rPr>
                      <w:rFonts w:ascii="Times New Roman" w:hAnsi="Times New Roman"/>
                      <w:color w:val="auto"/>
                      <w:szCs w:val="21"/>
                    </w:rPr>
                  </w:pPr>
                  <w:r>
                    <w:rPr>
                      <w:rFonts w:hint="eastAsia" w:ascii="Times New Roman" w:hAnsi="Times New Roman"/>
                      <w:color w:val="auto"/>
                      <w:szCs w:val="21"/>
                    </w:rPr>
                    <w:t>1</w:t>
                  </w:r>
                </w:p>
              </w:tc>
              <w:tc>
                <w:tcPr>
                  <w:tcW w:w="603" w:type="pct"/>
                  <w:vAlign w:val="center"/>
                </w:tcPr>
                <w:p>
                  <w:pPr>
                    <w:jc w:val="center"/>
                    <w:rPr>
                      <w:rFonts w:ascii="Times New Roman" w:hAnsi="Times New Roman"/>
                      <w:color w:val="auto"/>
                      <w:szCs w:val="21"/>
                    </w:rPr>
                  </w:pPr>
                  <w:r>
                    <w:rPr>
                      <w:rFonts w:hint="eastAsia" w:ascii="Times New Roman" w:hAnsi="Times New Roman"/>
                      <w:color w:val="auto"/>
                      <w:szCs w:val="21"/>
                    </w:rPr>
                    <w:t>废气</w:t>
                  </w:r>
                </w:p>
              </w:tc>
              <w:tc>
                <w:tcPr>
                  <w:tcW w:w="726" w:type="pct"/>
                  <w:vAlign w:val="center"/>
                </w:tcPr>
                <w:p>
                  <w:pPr>
                    <w:jc w:val="center"/>
                    <w:rPr>
                      <w:rFonts w:ascii="Times New Roman" w:hAnsi="Times New Roman"/>
                      <w:color w:val="auto"/>
                      <w:szCs w:val="21"/>
                    </w:rPr>
                  </w:pPr>
                  <w:r>
                    <w:rPr>
                      <w:rFonts w:hint="eastAsia" w:ascii="Times New Roman" w:hAnsi="Times New Roman"/>
                      <w:color w:val="auto"/>
                      <w:szCs w:val="21"/>
                    </w:rPr>
                    <w:t>粗氦提取、氦气精制单元</w:t>
                  </w:r>
                </w:p>
              </w:tc>
              <w:tc>
                <w:tcPr>
                  <w:tcW w:w="788" w:type="pct"/>
                  <w:vAlign w:val="center"/>
                </w:tcPr>
                <w:p>
                  <w:pPr>
                    <w:jc w:val="center"/>
                    <w:rPr>
                      <w:rFonts w:ascii="Times New Roman" w:hAnsi="Times New Roman"/>
                      <w:color w:val="auto"/>
                      <w:szCs w:val="21"/>
                    </w:rPr>
                  </w:pPr>
                  <w:r>
                    <w:rPr>
                      <w:rFonts w:hint="eastAsia" w:ascii="Times New Roman" w:hAnsi="Times New Roman"/>
                      <w:color w:val="auto"/>
                      <w:szCs w:val="21"/>
                    </w:rPr>
                    <w:t>污氮气，微量杂质气体</w:t>
                  </w:r>
                </w:p>
              </w:tc>
              <w:tc>
                <w:tcPr>
                  <w:tcW w:w="2045" w:type="pct"/>
                  <w:vAlign w:val="center"/>
                </w:tcPr>
                <w:p>
                  <w:pPr>
                    <w:jc w:val="center"/>
                    <w:rPr>
                      <w:rFonts w:hint="eastAsia" w:ascii="Times New Roman" w:hAnsi="Times New Roman" w:eastAsia="宋体"/>
                      <w:color w:val="auto"/>
                      <w:szCs w:val="21"/>
                      <w:lang w:eastAsia="zh-CN"/>
                    </w:rPr>
                  </w:pPr>
                  <w:r>
                    <w:rPr>
                      <w:rFonts w:hint="eastAsia" w:ascii="Times New Roman" w:hAnsi="Times New Roman"/>
                      <w:color w:val="auto"/>
                      <w:szCs w:val="21"/>
                    </w:rPr>
                    <w:t>项目产生的富甲烷解析气排放至现有厂区燃料气系统充当燃料气，氮气</w:t>
                  </w:r>
                  <w:r>
                    <w:rPr>
                      <w:rFonts w:hint="eastAsia" w:ascii="Times New Roman" w:hAnsi="Times New Roman"/>
                      <w:color w:val="auto"/>
                      <w:szCs w:val="21"/>
                      <w:lang w:eastAsia="zh-CN"/>
                    </w:rPr>
                    <w:t>、</w:t>
                  </w:r>
                  <w:r>
                    <w:rPr>
                      <w:rFonts w:hint="eastAsia" w:ascii="Times New Roman" w:hAnsi="Times New Roman"/>
                      <w:color w:val="auto"/>
                      <w:szCs w:val="21"/>
                    </w:rPr>
                    <w:t>微量杂质气体排放至</w:t>
                  </w:r>
                  <w:r>
                    <w:rPr>
                      <w:rFonts w:hint="eastAsia" w:ascii="Times New Roman" w:hAnsi="Times New Roman"/>
                      <w:color w:val="auto"/>
                      <w:szCs w:val="21"/>
                      <w:lang w:eastAsia="zh-CN"/>
                    </w:rPr>
                    <w:t>就地</w:t>
                  </w:r>
                  <w:r>
                    <w:rPr>
                      <w:rFonts w:hint="eastAsia" w:ascii="Times New Roman" w:hAnsi="Times New Roman"/>
                      <w:color w:val="auto"/>
                      <w:szCs w:val="21"/>
                    </w:rPr>
                    <w:t>高位放空管</w:t>
                  </w:r>
                  <w:r>
                    <w:rPr>
                      <w:rFonts w:hint="eastAsia" w:ascii="Times New Roman" w:hAnsi="Times New Roman"/>
                      <w:color w:val="auto"/>
                      <w:szCs w:val="21"/>
                      <w:lang w:eastAsia="zh-CN"/>
                    </w:rPr>
                    <w:t>直接放空</w:t>
                  </w:r>
                </w:p>
              </w:tc>
              <w:tc>
                <w:tcPr>
                  <w:tcW w:w="578" w:type="pct"/>
                  <w:vAlign w:val="center"/>
                </w:tcPr>
                <w:p>
                  <w:pPr>
                    <w:jc w:val="center"/>
                    <w:rPr>
                      <w:rFonts w:ascii="Times New Roman" w:hAnsi="Times New Roman"/>
                      <w:color w:val="auto"/>
                      <w:szCs w:val="21"/>
                    </w:rPr>
                  </w:pPr>
                  <w:r>
                    <w:rPr>
                      <w:rFonts w:hint="eastAsia" w:ascii="Times New Roman" w:hAnsi="Times New Roman"/>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6" w:hRule="atLeast"/>
              </w:trPr>
              <w:tc>
                <w:tcPr>
                  <w:tcW w:w="257" w:type="pct"/>
                  <w:vAlign w:val="center"/>
                </w:tcPr>
                <w:p>
                  <w:pPr>
                    <w:jc w:val="center"/>
                    <w:rPr>
                      <w:rFonts w:ascii="Times New Roman" w:hAnsi="Times New Roman"/>
                      <w:color w:val="auto"/>
                      <w:szCs w:val="21"/>
                    </w:rPr>
                  </w:pPr>
                  <w:r>
                    <w:rPr>
                      <w:rFonts w:hint="eastAsia" w:ascii="Times New Roman" w:hAnsi="Times New Roman"/>
                      <w:color w:val="auto"/>
                      <w:szCs w:val="21"/>
                    </w:rPr>
                    <w:t>2</w:t>
                  </w:r>
                </w:p>
              </w:tc>
              <w:tc>
                <w:tcPr>
                  <w:tcW w:w="603" w:type="pct"/>
                  <w:vAlign w:val="center"/>
                </w:tcPr>
                <w:p>
                  <w:pPr>
                    <w:jc w:val="center"/>
                    <w:rPr>
                      <w:rFonts w:ascii="Times New Roman" w:hAnsi="Times New Roman"/>
                      <w:color w:val="auto"/>
                      <w:szCs w:val="21"/>
                    </w:rPr>
                  </w:pPr>
                  <w:r>
                    <w:rPr>
                      <w:rFonts w:hint="eastAsia" w:ascii="Times New Roman" w:hAnsi="Times New Roman"/>
                      <w:color w:val="auto"/>
                      <w:szCs w:val="21"/>
                    </w:rPr>
                    <w:t>废水</w:t>
                  </w:r>
                </w:p>
              </w:tc>
              <w:tc>
                <w:tcPr>
                  <w:tcW w:w="726" w:type="pct"/>
                  <w:vAlign w:val="center"/>
                </w:tcPr>
                <w:p>
                  <w:pPr>
                    <w:jc w:val="center"/>
                    <w:rPr>
                      <w:rFonts w:ascii="Times New Roman" w:hAnsi="Times New Roman"/>
                      <w:color w:val="auto"/>
                      <w:szCs w:val="21"/>
                    </w:rPr>
                  </w:pPr>
                  <w:r>
                    <w:rPr>
                      <w:rFonts w:hint="eastAsia" w:ascii="Times New Roman" w:hAnsi="Times New Roman"/>
                      <w:color w:val="auto"/>
                      <w:szCs w:val="21"/>
                    </w:rPr>
                    <w:t>催化脱氢单元</w:t>
                  </w:r>
                </w:p>
              </w:tc>
              <w:tc>
                <w:tcPr>
                  <w:tcW w:w="788" w:type="pct"/>
                  <w:vAlign w:val="center"/>
                </w:tcPr>
                <w:p>
                  <w:pPr>
                    <w:jc w:val="center"/>
                    <w:rPr>
                      <w:rFonts w:ascii="Times New Roman" w:hAnsi="Times New Roman"/>
                      <w:color w:val="auto"/>
                      <w:szCs w:val="21"/>
                    </w:rPr>
                  </w:pPr>
                  <w:r>
                    <w:rPr>
                      <w:rFonts w:hint="eastAsia" w:ascii="Times New Roman" w:hAnsi="Times New Roman"/>
                      <w:color w:val="auto"/>
                      <w:szCs w:val="21"/>
                    </w:rPr>
                    <w:t>脱氢冷凝水</w:t>
                  </w:r>
                </w:p>
              </w:tc>
              <w:tc>
                <w:tcPr>
                  <w:tcW w:w="2045" w:type="pct"/>
                  <w:vAlign w:val="center"/>
                </w:tcPr>
                <w:p>
                  <w:pPr>
                    <w:jc w:val="center"/>
                    <w:rPr>
                      <w:rFonts w:ascii="Times New Roman" w:hAnsi="Times New Roman"/>
                      <w:color w:val="auto"/>
                      <w:szCs w:val="21"/>
                    </w:rPr>
                  </w:pPr>
                  <w:r>
                    <w:rPr>
                      <w:rFonts w:hint="eastAsia" w:ascii="Times New Roman" w:hAnsi="Times New Roman"/>
                      <w:color w:val="auto"/>
                      <w:szCs w:val="21"/>
                    </w:rPr>
                    <w:t>项目产生的脱氢冷凝废水</w:t>
                  </w:r>
                  <w:r>
                    <w:rPr>
                      <w:rFonts w:hint="eastAsia" w:ascii="Times New Roman" w:hAnsi="Times New Roman"/>
                      <w:color w:val="auto"/>
                      <w:szCs w:val="21"/>
                      <w:lang w:eastAsia="zh-CN"/>
                    </w:rPr>
                    <w:t>用水桶盛装后回用于厂区绿化或洒扫</w:t>
                  </w:r>
                </w:p>
              </w:tc>
              <w:tc>
                <w:tcPr>
                  <w:tcW w:w="578" w:type="pct"/>
                  <w:vAlign w:val="center"/>
                </w:tcPr>
                <w:p>
                  <w:pPr>
                    <w:jc w:val="center"/>
                    <w:rPr>
                      <w:rFonts w:ascii="Times New Roman" w:hAnsi="Times New Roman"/>
                      <w:color w:val="auto"/>
                      <w:szCs w:val="21"/>
                    </w:rPr>
                  </w:pPr>
                  <w:r>
                    <w:rPr>
                      <w:rFonts w:hint="eastAsia" w:ascii="Times New Roman" w:hAnsi="Times New Roman"/>
                      <w:color w:val="auto"/>
                      <w:szCs w:val="21"/>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6" w:hRule="atLeast"/>
              </w:trPr>
              <w:tc>
                <w:tcPr>
                  <w:tcW w:w="257" w:type="pct"/>
                  <w:vAlign w:val="center"/>
                </w:tcPr>
                <w:p>
                  <w:pPr>
                    <w:jc w:val="center"/>
                    <w:rPr>
                      <w:rFonts w:ascii="Times New Roman" w:hAnsi="Times New Roman"/>
                      <w:color w:val="auto"/>
                      <w:szCs w:val="21"/>
                    </w:rPr>
                  </w:pPr>
                  <w:r>
                    <w:rPr>
                      <w:rFonts w:hint="eastAsia" w:ascii="Times New Roman" w:hAnsi="Times New Roman"/>
                      <w:color w:val="auto"/>
                      <w:szCs w:val="21"/>
                    </w:rPr>
                    <w:t>3</w:t>
                  </w:r>
                </w:p>
              </w:tc>
              <w:tc>
                <w:tcPr>
                  <w:tcW w:w="603" w:type="pct"/>
                  <w:vAlign w:val="center"/>
                </w:tcPr>
                <w:p>
                  <w:pPr>
                    <w:jc w:val="center"/>
                    <w:rPr>
                      <w:rFonts w:ascii="Times New Roman" w:hAnsi="Times New Roman"/>
                      <w:color w:val="auto"/>
                      <w:szCs w:val="21"/>
                    </w:rPr>
                  </w:pPr>
                  <w:r>
                    <w:rPr>
                      <w:rFonts w:hint="eastAsia" w:ascii="Times New Roman" w:hAnsi="Times New Roman"/>
                      <w:color w:val="auto"/>
                      <w:szCs w:val="21"/>
                    </w:rPr>
                    <w:t>噪声</w:t>
                  </w:r>
                </w:p>
              </w:tc>
              <w:tc>
                <w:tcPr>
                  <w:tcW w:w="726" w:type="pct"/>
                  <w:vAlign w:val="center"/>
                </w:tcPr>
                <w:p>
                  <w:pPr>
                    <w:jc w:val="center"/>
                    <w:rPr>
                      <w:rFonts w:ascii="Times New Roman" w:hAnsi="Times New Roman"/>
                      <w:color w:val="auto"/>
                      <w:szCs w:val="21"/>
                    </w:rPr>
                  </w:pPr>
                  <w:r>
                    <w:rPr>
                      <w:rFonts w:hint="eastAsia" w:ascii="Times New Roman" w:hAnsi="Times New Roman"/>
                      <w:color w:val="auto"/>
                      <w:szCs w:val="21"/>
                    </w:rPr>
                    <w:t>压缩机、泵类</w:t>
                  </w:r>
                </w:p>
              </w:tc>
              <w:tc>
                <w:tcPr>
                  <w:tcW w:w="788" w:type="pct"/>
                  <w:vAlign w:val="center"/>
                </w:tcPr>
                <w:p>
                  <w:pPr>
                    <w:jc w:val="center"/>
                    <w:rPr>
                      <w:rFonts w:ascii="Times New Roman" w:hAnsi="Times New Roman"/>
                      <w:color w:val="auto"/>
                      <w:szCs w:val="21"/>
                    </w:rPr>
                  </w:pPr>
                  <w:r>
                    <w:rPr>
                      <w:rFonts w:hint="eastAsia" w:ascii="Times New Roman" w:hAnsi="Times New Roman"/>
                      <w:color w:val="auto"/>
                      <w:szCs w:val="21"/>
                    </w:rPr>
                    <w:t>噪声</w:t>
                  </w:r>
                </w:p>
              </w:tc>
              <w:tc>
                <w:tcPr>
                  <w:tcW w:w="2045" w:type="pct"/>
                  <w:vAlign w:val="center"/>
                </w:tcPr>
                <w:p>
                  <w:pPr>
                    <w:jc w:val="center"/>
                    <w:rPr>
                      <w:rFonts w:ascii="Times New Roman" w:hAnsi="Times New Roman"/>
                      <w:color w:val="auto"/>
                      <w:szCs w:val="21"/>
                    </w:rPr>
                  </w:pPr>
                  <w:r>
                    <w:rPr>
                      <w:rFonts w:hint="eastAsia" w:ascii="Times New Roman" w:hAnsi="Times New Roman"/>
                      <w:color w:val="auto"/>
                      <w:szCs w:val="21"/>
                    </w:rPr>
                    <w:t>选用低噪声设备；对高噪声设备进行基础减振、柔性连接等措施处置</w:t>
                  </w:r>
                </w:p>
              </w:tc>
              <w:tc>
                <w:tcPr>
                  <w:tcW w:w="578" w:type="pct"/>
                  <w:vAlign w:val="center"/>
                </w:tcPr>
                <w:p>
                  <w:pPr>
                    <w:jc w:val="center"/>
                    <w:rPr>
                      <w:rFonts w:ascii="Times New Roman" w:hAnsi="Times New Roman"/>
                      <w:color w:val="auto"/>
                      <w:szCs w:val="21"/>
                    </w:rPr>
                  </w:pPr>
                  <w:r>
                    <w:rPr>
                      <w:rFonts w:hint="eastAsia" w:ascii="Times New Roman" w:hAnsi="Times New Roman"/>
                      <w:color w:val="auto"/>
                      <w:szCs w:val="21"/>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86" w:hRule="atLeast"/>
              </w:trPr>
              <w:tc>
                <w:tcPr>
                  <w:tcW w:w="257" w:type="pct"/>
                  <w:vAlign w:val="center"/>
                </w:tcPr>
                <w:p>
                  <w:pPr>
                    <w:jc w:val="center"/>
                    <w:rPr>
                      <w:rFonts w:ascii="Times New Roman" w:hAnsi="Times New Roman"/>
                      <w:color w:val="auto"/>
                      <w:szCs w:val="21"/>
                    </w:rPr>
                  </w:pPr>
                  <w:r>
                    <w:rPr>
                      <w:rFonts w:hint="eastAsia" w:ascii="Times New Roman" w:hAnsi="Times New Roman"/>
                      <w:color w:val="auto"/>
                      <w:szCs w:val="21"/>
                    </w:rPr>
                    <w:t>4</w:t>
                  </w:r>
                </w:p>
              </w:tc>
              <w:tc>
                <w:tcPr>
                  <w:tcW w:w="603" w:type="pct"/>
                  <w:vAlign w:val="center"/>
                </w:tcPr>
                <w:p>
                  <w:pPr>
                    <w:jc w:val="center"/>
                    <w:rPr>
                      <w:rFonts w:ascii="Times New Roman" w:hAnsi="Times New Roman"/>
                      <w:color w:val="auto"/>
                      <w:szCs w:val="21"/>
                    </w:rPr>
                  </w:pPr>
                  <w:r>
                    <w:rPr>
                      <w:rFonts w:hint="eastAsia" w:ascii="Times New Roman" w:hAnsi="Times New Roman"/>
                      <w:color w:val="auto"/>
                      <w:szCs w:val="21"/>
                    </w:rPr>
                    <w:t>固废</w:t>
                  </w:r>
                </w:p>
              </w:tc>
              <w:tc>
                <w:tcPr>
                  <w:tcW w:w="726" w:type="pct"/>
                  <w:vAlign w:val="center"/>
                </w:tcPr>
                <w:p>
                  <w:pPr>
                    <w:jc w:val="center"/>
                    <w:rPr>
                      <w:rFonts w:ascii="Times New Roman" w:hAnsi="Times New Roman"/>
                      <w:color w:val="auto"/>
                      <w:szCs w:val="21"/>
                    </w:rPr>
                  </w:pPr>
                  <w:r>
                    <w:rPr>
                      <w:rFonts w:hint="eastAsia" w:ascii="Times New Roman" w:hAnsi="Times New Roman"/>
                      <w:color w:val="auto"/>
                      <w:szCs w:val="21"/>
                    </w:rPr>
                    <w:t>粗氦提取、催化脱氢、氦气精制单元</w:t>
                  </w:r>
                </w:p>
              </w:tc>
              <w:tc>
                <w:tcPr>
                  <w:tcW w:w="788" w:type="pct"/>
                  <w:vAlign w:val="center"/>
                </w:tcPr>
                <w:p>
                  <w:pPr>
                    <w:jc w:val="center"/>
                    <w:rPr>
                      <w:rFonts w:ascii="Times New Roman" w:hAnsi="Times New Roman"/>
                      <w:color w:val="auto"/>
                      <w:szCs w:val="21"/>
                    </w:rPr>
                  </w:pPr>
                  <w:r>
                    <w:rPr>
                      <w:rFonts w:hint="eastAsia" w:ascii="Times New Roman" w:hAnsi="Times New Roman"/>
                      <w:color w:val="auto"/>
                      <w:szCs w:val="21"/>
                    </w:rPr>
                    <w:t>废分子筛、废催化剂、废活性炭、废润滑油</w:t>
                  </w:r>
                </w:p>
              </w:tc>
              <w:tc>
                <w:tcPr>
                  <w:tcW w:w="2045" w:type="pct"/>
                  <w:vAlign w:val="center"/>
                </w:tcPr>
                <w:p>
                  <w:pPr>
                    <w:jc w:val="center"/>
                    <w:rPr>
                      <w:rFonts w:ascii="Times New Roman" w:hAnsi="Times New Roman"/>
                      <w:color w:val="auto"/>
                      <w:szCs w:val="21"/>
                    </w:rPr>
                  </w:pPr>
                  <w:r>
                    <w:rPr>
                      <w:rFonts w:hint="eastAsia" w:ascii="Times New Roman" w:hAnsi="Times New Roman"/>
                      <w:color w:val="auto"/>
                      <w:szCs w:val="21"/>
                    </w:rPr>
                    <w:t>项目产生的废润滑油立即送往有资质单位处置，除废润滑油外的危险废物均</w:t>
                  </w:r>
                  <w:r>
                    <w:rPr>
                      <w:rFonts w:hint="eastAsia" w:ascii="Times New Roman" w:hAnsi="Times New Roman"/>
                      <w:color w:val="auto"/>
                      <w:szCs w:val="21"/>
                      <w:lang w:eastAsia="zh-CN"/>
                    </w:rPr>
                    <w:t>由</w:t>
                  </w:r>
                  <w:r>
                    <w:rPr>
                      <w:rFonts w:hint="eastAsia" w:ascii="Times New Roman" w:hAnsi="Times New Roman"/>
                      <w:color w:val="auto"/>
                      <w:szCs w:val="21"/>
                    </w:rPr>
                    <w:t>厂家更换后直接回收</w:t>
                  </w:r>
                  <w:r>
                    <w:rPr>
                      <w:rFonts w:hint="eastAsia" w:ascii="Times New Roman" w:hAnsi="Times New Roman"/>
                      <w:color w:val="auto"/>
                      <w:szCs w:val="21"/>
                      <w:lang w:eastAsia="zh-CN"/>
                    </w:rPr>
                    <w:t>，危险废物不在</w:t>
                  </w:r>
                  <w:r>
                    <w:rPr>
                      <w:rFonts w:hint="eastAsia" w:ascii="Times New Roman" w:hAnsi="Times New Roman"/>
                      <w:color w:val="auto"/>
                      <w:szCs w:val="21"/>
                    </w:rPr>
                    <w:t>厂区</w:t>
                  </w:r>
                  <w:r>
                    <w:rPr>
                      <w:rFonts w:hint="eastAsia" w:ascii="Times New Roman" w:hAnsi="Times New Roman"/>
                      <w:color w:val="auto"/>
                      <w:szCs w:val="21"/>
                      <w:lang w:eastAsia="zh-CN"/>
                    </w:rPr>
                    <w:t>内</w:t>
                  </w:r>
                  <w:r>
                    <w:rPr>
                      <w:rFonts w:hint="eastAsia" w:ascii="Times New Roman" w:hAnsi="Times New Roman"/>
                      <w:color w:val="auto"/>
                      <w:szCs w:val="21"/>
                    </w:rPr>
                    <w:t>暂存</w:t>
                  </w:r>
                </w:p>
              </w:tc>
              <w:tc>
                <w:tcPr>
                  <w:tcW w:w="578" w:type="pct"/>
                  <w:vAlign w:val="center"/>
                </w:tcPr>
                <w:p>
                  <w:pPr>
                    <w:jc w:val="center"/>
                    <w:rPr>
                      <w:rFonts w:ascii="Times New Roman" w:hAnsi="Times New Roman"/>
                      <w:color w:val="auto"/>
                      <w:szCs w:val="21"/>
                    </w:rPr>
                  </w:pPr>
                  <w:r>
                    <w:rPr>
                      <w:rFonts w:hint="eastAsia" w:ascii="Times New Roman" w:hAnsi="Times New Roman"/>
                      <w:color w:val="auto"/>
                      <w:szCs w:val="21"/>
                    </w:rPr>
                    <w:t>8</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8" w:hRule="atLeast"/>
              </w:trPr>
              <w:tc>
                <w:tcPr>
                  <w:tcW w:w="257" w:type="pct"/>
                  <w:vAlign w:val="center"/>
                </w:tcPr>
                <w:p>
                  <w:pPr>
                    <w:jc w:val="center"/>
                    <w:rPr>
                      <w:rFonts w:ascii="Times New Roman" w:hAnsi="Times New Roman"/>
                      <w:color w:val="auto"/>
                      <w:szCs w:val="21"/>
                    </w:rPr>
                  </w:pPr>
                  <w:r>
                    <w:rPr>
                      <w:rFonts w:hint="eastAsia" w:ascii="Times New Roman" w:hAnsi="Times New Roman"/>
                      <w:color w:val="auto"/>
                      <w:szCs w:val="21"/>
                    </w:rPr>
                    <w:t>5</w:t>
                  </w:r>
                </w:p>
              </w:tc>
              <w:tc>
                <w:tcPr>
                  <w:tcW w:w="603" w:type="pct"/>
                  <w:vAlign w:val="center"/>
                </w:tcPr>
                <w:p>
                  <w:pPr>
                    <w:jc w:val="center"/>
                    <w:rPr>
                      <w:rFonts w:ascii="Times New Roman" w:hAnsi="Times New Roman"/>
                      <w:color w:val="auto"/>
                      <w:szCs w:val="21"/>
                    </w:rPr>
                  </w:pPr>
                  <w:r>
                    <w:rPr>
                      <w:rFonts w:hint="eastAsia" w:ascii="Times New Roman" w:hAnsi="Times New Roman"/>
                      <w:color w:val="auto"/>
                      <w:szCs w:val="21"/>
                    </w:rPr>
                    <w:t>风险</w:t>
                  </w:r>
                </w:p>
              </w:tc>
              <w:tc>
                <w:tcPr>
                  <w:tcW w:w="726" w:type="pct"/>
                  <w:vMerge w:val="restart"/>
                  <w:vAlign w:val="center"/>
                </w:tcPr>
                <w:p>
                  <w:pPr>
                    <w:jc w:val="center"/>
                    <w:rPr>
                      <w:rFonts w:ascii="Times New Roman" w:hAnsi="Times New Roman"/>
                      <w:color w:val="auto"/>
                      <w:szCs w:val="21"/>
                    </w:rPr>
                  </w:pPr>
                  <w:r>
                    <w:rPr>
                      <w:rFonts w:hint="eastAsia" w:ascii="Times New Roman" w:hAnsi="Times New Roman"/>
                      <w:color w:val="auto"/>
                      <w:szCs w:val="21"/>
                    </w:rPr>
                    <w:t>提氦装置区</w:t>
                  </w:r>
                </w:p>
              </w:tc>
              <w:tc>
                <w:tcPr>
                  <w:tcW w:w="788" w:type="pct"/>
                  <w:vMerge w:val="restart"/>
                  <w:vAlign w:val="center"/>
                </w:tcPr>
                <w:p>
                  <w:pPr>
                    <w:jc w:val="center"/>
                    <w:rPr>
                      <w:rFonts w:ascii="Times New Roman" w:hAnsi="Times New Roman"/>
                      <w:color w:val="auto"/>
                      <w:szCs w:val="21"/>
                    </w:rPr>
                  </w:pPr>
                  <w:r>
                    <w:rPr>
                      <w:rFonts w:hint="eastAsia" w:ascii="Times New Roman" w:hAnsi="Times New Roman"/>
                      <w:color w:val="auto"/>
                      <w:szCs w:val="21"/>
                    </w:rPr>
                    <w:t>火灾爆炸等</w:t>
                  </w:r>
                </w:p>
              </w:tc>
              <w:tc>
                <w:tcPr>
                  <w:tcW w:w="2045" w:type="pct"/>
                  <w:vAlign w:val="center"/>
                </w:tcPr>
                <w:p>
                  <w:pPr>
                    <w:jc w:val="center"/>
                    <w:rPr>
                      <w:rFonts w:ascii="Times New Roman" w:hAnsi="Times New Roman"/>
                      <w:color w:val="auto"/>
                      <w:szCs w:val="21"/>
                    </w:rPr>
                  </w:pPr>
                  <w:r>
                    <w:rPr>
                      <w:rFonts w:hint="eastAsia" w:ascii="Times New Roman" w:hAnsi="Times New Roman"/>
                      <w:color w:val="auto"/>
                      <w:szCs w:val="21"/>
                    </w:rPr>
                    <w:t>装置区设置可燃气体检测报警装置</w:t>
                  </w:r>
                </w:p>
              </w:tc>
              <w:tc>
                <w:tcPr>
                  <w:tcW w:w="578" w:type="pct"/>
                  <w:vAlign w:val="center"/>
                </w:tcPr>
                <w:p>
                  <w:pPr>
                    <w:jc w:val="center"/>
                    <w:rPr>
                      <w:rFonts w:ascii="Times New Roman" w:hAnsi="Times New Roman"/>
                      <w:color w:val="auto"/>
                      <w:szCs w:val="21"/>
                    </w:rPr>
                  </w:pPr>
                  <w:r>
                    <w:rPr>
                      <w:rFonts w:hint="eastAsia" w:ascii="Times New Roman" w:hAnsi="Times New Roman"/>
                      <w:color w:val="auto"/>
                      <w:szCs w:val="21"/>
                    </w:rPr>
                    <w:t>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 w:hRule="atLeast"/>
              </w:trPr>
              <w:tc>
                <w:tcPr>
                  <w:tcW w:w="257" w:type="pct"/>
                  <w:vAlign w:val="center"/>
                </w:tcPr>
                <w:p>
                  <w:pPr>
                    <w:jc w:val="center"/>
                    <w:rPr>
                      <w:rFonts w:ascii="Times New Roman" w:hAnsi="Times New Roman"/>
                      <w:color w:val="auto"/>
                      <w:szCs w:val="21"/>
                    </w:rPr>
                  </w:pPr>
                  <w:r>
                    <w:rPr>
                      <w:rFonts w:hint="eastAsia" w:ascii="Times New Roman" w:hAnsi="Times New Roman"/>
                      <w:color w:val="auto"/>
                      <w:szCs w:val="21"/>
                    </w:rPr>
                    <w:t>6</w:t>
                  </w:r>
                </w:p>
              </w:tc>
              <w:tc>
                <w:tcPr>
                  <w:tcW w:w="603" w:type="pct"/>
                  <w:vAlign w:val="center"/>
                </w:tcPr>
                <w:p>
                  <w:pPr>
                    <w:jc w:val="center"/>
                    <w:rPr>
                      <w:rFonts w:ascii="Times New Roman" w:hAnsi="Times New Roman"/>
                      <w:color w:val="auto"/>
                      <w:szCs w:val="21"/>
                    </w:rPr>
                  </w:pPr>
                  <w:r>
                    <w:rPr>
                      <w:rFonts w:hint="eastAsia" w:ascii="Times New Roman" w:hAnsi="Times New Roman"/>
                      <w:color w:val="auto"/>
                      <w:szCs w:val="21"/>
                    </w:rPr>
                    <w:t>消防</w:t>
                  </w:r>
                </w:p>
              </w:tc>
              <w:tc>
                <w:tcPr>
                  <w:tcW w:w="726" w:type="pct"/>
                  <w:vMerge w:val="continue"/>
                  <w:vAlign w:val="center"/>
                </w:tcPr>
                <w:p>
                  <w:pPr>
                    <w:jc w:val="center"/>
                    <w:rPr>
                      <w:rFonts w:ascii="Times New Roman" w:hAnsi="Times New Roman"/>
                      <w:color w:val="auto"/>
                      <w:szCs w:val="21"/>
                    </w:rPr>
                  </w:pPr>
                </w:p>
              </w:tc>
              <w:tc>
                <w:tcPr>
                  <w:tcW w:w="788" w:type="pct"/>
                  <w:vMerge w:val="continue"/>
                  <w:vAlign w:val="center"/>
                </w:tcPr>
                <w:p>
                  <w:pPr>
                    <w:jc w:val="center"/>
                    <w:rPr>
                      <w:rFonts w:ascii="Times New Roman" w:hAnsi="Times New Roman"/>
                      <w:color w:val="auto"/>
                      <w:szCs w:val="21"/>
                    </w:rPr>
                  </w:pPr>
                </w:p>
              </w:tc>
              <w:tc>
                <w:tcPr>
                  <w:tcW w:w="2045" w:type="pct"/>
                  <w:vAlign w:val="center"/>
                </w:tcPr>
                <w:p>
                  <w:pPr>
                    <w:jc w:val="center"/>
                    <w:rPr>
                      <w:rFonts w:ascii="Times New Roman" w:hAnsi="Times New Roman"/>
                      <w:color w:val="auto"/>
                      <w:szCs w:val="21"/>
                    </w:rPr>
                  </w:pPr>
                  <w:r>
                    <w:rPr>
                      <w:rFonts w:hint="eastAsia" w:ascii="Times New Roman" w:hAnsi="Times New Roman"/>
                      <w:color w:val="auto"/>
                      <w:szCs w:val="21"/>
                    </w:rPr>
                    <w:t>装置区设置各类灭火器</w:t>
                  </w:r>
                </w:p>
              </w:tc>
              <w:tc>
                <w:tcPr>
                  <w:tcW w:w="578" w:type="pct"/>
                  <w:vAlign w:val="center"/>
                </w:tcPr>
                <w:p>
                  <w:pPr>
                    <w:jc w:val="center"/>
                    <w:rPr>
                      <w:rFonts w:ascii="Times New Roman" w:hAnsi="Times New Roman"/>
                      <w:color w:val="auto"/>
                      <w:szCs w:val="21"/>
                    </w:rPr>
                  </w:pPr>
                  <w:r>
                    <w:rPr>
                      <w:rFonts w:hint="eastAsia" w:ascii="Times New Roman" w:hAnsi="Times New Roman"/>
                      <w:color w:val="auto"/>
                      <w:szCs w:val="21"/>
                    </w:rPr>
                    <w:t>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8" w:hRule="atLeast"/>
              </w:trPr>
              <w:tc>
                <w:tcPr>
                  <w:tcW w:w="257" w:type="pct"/>
                  <w:vAlign w:val="center"/>
                </w:tcPr>
                <w:p>
                  <w:pPr>
                    <w:jc w:val="center"/>
                    <w:rPr>
                      <w:rFonts w:ascii="Times New Roman" w:hAnsi="Times New Roman"/>
                      <w:color w:val="auto"/>
                      <w:szCs w:val="21"/>
                    </w:rPr>
                  </w:pPr>
                </w:p>
              </w:tc>
              <w:tc>
                <w:tcPr>
                  <w:tcW w:w="603" w:type="pct"/>
                  <w:vAlign w:val="center"/>
                </w:tcPr>
                <w:p>
                  <w:pPr>
                    <w:jc w:val="center"/>
                    <w:rPr>
                      <w:rFonts w:ascii="Times New Roman" w:hAnsi="Times New Roman"/>
                      <w:color w:val="auto"/>
                      <w:szCs w:val="21"/>
                    </w:rPr>
                  </w:pPr>
                  <w:r>
                    <w:rPr>
                      <w:rFonts w:ascii="Times New Roman" w:hAnsi="Times New Roman"/>
                      <w:color w:val="auto"/>
                      <w:szCs w:val="21"/>
                    </w:rPr>
                    <w:t>合计</w:t>
                  </w:r>
                </w:p>
              </w:tc>
              <w:tc>
                <w:tcPr>
                  <w:tcW w:w="726" w:type="pct"/>
                  <w:vAlign w:val="center"/>
                </w:tcPr>
                <w:p>
                  <w:pPr>
                    <w:jc w:val="center"/>
                    <w:rPr>
                      <w:rFonts w:ascii="Times New Roman" w:hAnsi="Times New Roman"/>
                      <w:color w:val="auto"/>
                      <w:szCs w:val="21"/>
                    </w:rPr>
                  </w:pPr>
                </w:p>
              </w:tc>
              <w:tc>
                <w:tcPr>
                  <w:tcW w:w="788" w:type="pct"/>
                  <w:vAlign w:val="center"/>
                </w:tcPr>
                <w:p>
                  <w:pPr>
                    <w:jc w:val="center"/>
                    <w:rPr>
                      <w:rFonts w:ascii="Times New Roman" w:hAnsi="Times New Roman"/>
                      <w:color w:val="auto"/>
                      <w:szCs w:val="21"/>
                    </w:rPr>
                  </w:pPr>
                </w:p>
              </w:tc>
              <w:tc>
                <w:tcPr>
                  <w:tcW w:w="2045" w:type="pct"/>
                  <w:vAlign w:val="center"/>
                </w:tcPr>
                <w:p>
                  <w:pPr>
                    <w:jc w:val="center"/>
                    <w:rPr>
                      <w:rFonts w:ascii="Times New Roman" w:hAnsi="Times New Roman"/>
                      <w:color w:val="auto"/>
                      <w:szCs w:val="21"/>
                    </w:rPr>
                  </w:pPr>
                </w:p>
              </w:tc>
              <w:tc>
                <w:tcPr>
                  <w:tcW w:w="578" w:type="pct"/>
                  <w:vAlign w:val="center"/>
                </w:tcPr>
                <w:p>
                  <w:pPr>
                    <w:jc w:val="center"/>
                    <w:rPr>
                      <w:rFonts w:ascii="Times New Roman" w:hAnsi="Times New Roman"/>
                      <w:color w:val="auto"/>
                      <w:szCs w:val="21"/>
                    </w:rPr>
                  </w:pPr>
                  <w:r>
                    <w:rPr>
                      <w:rFonts w:ascii="Times New Roman" w:hAnsi="Times New Roman"/>
                      <w:color w:val="auto"/>
                      <w:szCs w:val="21"/>
                    </w:rPr>
                    <w:t>43</w:t>
                  </w:r>
                </w:p>
              </w:tc>
            </w:tr>
          </w:tbl>
          <w:p>
            <w:pPr>
              <w:widowControl w:val="0"/>
              <w:numPr>
                <w:ilvl w:val="3"/>
                <w:numId w:val="21"/>
              </w:numPr>
              <w:tabs>
                <w:tab w:val="left" w:pos="735"/>
              </w:tabs>
              <w:spacing w:line="360" w:lineRule="auto"/>
              <w:ind w:left="0" w:firstLine="482" w:firstLineChars="200"/>
              <w:jc w:val="both"/>
              <w:rPr>
                <w:rFonts w:ascii="Times New Roman" w:hAnsi="Times New Roman"/>
                <w:b/>
                <w:color w:val="auto"/>
                <w:sz w:val="24"/>
                <w:szCs w:val="24"/>
              </w:rPr>
            </w:pPr>
            <w:r>
              <w:rPr>
                <w:rFonts w:hint="eastAsia" w:ascii="Times New Roman" w:hAnsi="Times New Roman"/>
                <w:b/>
                <w:color w:val="auto"/>
                <w:sz w:val="24"/>
                <w:szCs w:val="24"/>
              </w:rPr>
              <w:t>环境管理</w:t>
            </w:r>
          </w:p>
          <w:p>
            <w:pPr>
              <w:wordWrap w:val="0"/>
              <w:spacing w:line="360" w:lineRule="auto"/>
              <w:ind w:firstLine="480" w:firstLineChars="200"/>
              <w:rPr>
                <w:snapToGrid w:val="0"/>
                <w:color w:val="auto"/>
                <w:kern w:val="0"/>
                <w:sz w:val="24"/>
                <w:szCs w:val="20"/>
              </w:rPr>
            </w:pPr>
            <w:r>
              <w:rPr>
                <w:snapToGrid w:val="0"/>
                <w:color w:val="auto"/>
                <w:kern w:val="0"/>
                <w:sz w:val="24"/>
                <w:szCs w:val="20"/>
              </w:rPr>
              <w:fldChar w:fldCharType="begin"/>
            </w:r>
            <w:r>
              <w:rPr>
                <w:snapToGrid w:val="0"/>
                <w:color w:val="auto"/>
                <w:kern w:val="0"/>
                <w:sz w:val="24"/>
                <w:szCs w:val="20"/>
              </w:rPr>
              <w:instrText xml:space="preserve"> = 1 \* GB3 </w:instrText>
            </w:r>
            <w:r>
              <w:rPr>
                <w:snapToGrid w:val="0"/>
                <w:color w:val="auto"/>
                <w:kern w:val="0"/>
                <w:sz w:val="24"/>
                <w:szCs w:val="20"/>
              </w:rPr>
              <w:fldChar w:fldCharType="separate"/>
            </w:r>
            <w:r>
              <w:rPr>
                <w:rFonts w:hint="eastAsia" w:ascii="宋体" w:hAnsi="宋体" w:cs="宋体"/>
                <w:snapToGrid w:val="0"/>
                <w:color w:val="auto"/>
                <w:kern w:val="0"/>
                <w:sz w:val="24"/>
                <w:szCs w:val="20"/>
              </w:rPr>
              <w:t>①</w:t>
            </w:r>
            <w:r>
              <w:rPr>
                <w:snapToGrid w:val="0"/>
                <w:color w:val="auto"/>
                <w:kern w:val="0"/>
                <w:sz w:val="24"/>
                <w:szCs w:val="20"/>
              </w:rPr>
              <w:fldChar w:fldCharType="end"/>
            </w:r>
            <w:r>
              <w:rPr>
                <w:snapToGrid w:val="0"/>
                <w:color w:val="auto"/>
                <w:kern w:val="0"/>
                <w:sz w:val="24"/>
                <w:szCs w:val="20"/>
              </w:rPr>
              <w:t>贯彻执行国家和地方各项环保方针、政策和法规，将环境指标纳入生产计划指标，建立企业内部的环境保护机构，制订与其相适应的管理规章制度及细则；</w:t>
            </w:r>
          </w:p>
          <w:p>
            <w:pPr>
              <w:wordWrap w:val="0"/>
              <w:spacing w:line="360" w:lineRule="auto"/>
              <w:ind w:firstLine="480" w:firstLineChars="200"/>
              <w:rPr>
                <w:snapToGrid w:val="0"/>
                <w:color w:val="auto"/>
                <w:kern w:val="0"/>
                <w:sz w:val="24"/>
                <w:szCs w:val="20"/>
              </w:rPr>
            </w:pPr>
            <w:r>
              <w:rPr>
                <w:rFonts w:hint="eastAsia" w:ascii="宋体" w:hAnsi="宋体" w:cs="宋体"/>
                <w:snapToGrid w:val="0"/>
                <w:color w:val="auto"/>
                <w:kern w:val="0"/>
                <w:sz w:val="24"/>
                <w:szCs w:val="20"/>
              </w:rPr>
              <w:t>②</w:t>
            </w:r>
            <w:r>
              <w:rPr>
                <w:snapToGrid w:val="0"/>
                <w:color w:val="auto"/>
                <w:kern w:val="0"/>
                <w:sz w:val="24"/>
                <w:szCs w:val="20"/>
              </w:rPr>
              <w:t>加强对生产人员的环保教育，包括业务能力、操作技术、环保管理知识的教育，以增强他们的环保意识，提高管理水平；</w:t>
            </w:r>
          </w:p>
          <w:p>
            <w:pPr>
              <w:wordWrap w:val="0"/>
              <w:spacing w:line="360" w:lineRule="auto"/>
              <w:ind w:firstLine="480" w:firstLineChars="200"/>
              <w:rPr>
                <w:snapToGrid w:val="0"/>
                <w:color w:val="auto"/>
                <w:kern w:val="0"/>
                <w:sz w:val="24"/>
                <w:szCs w:val="20"/>
              </w:rPr>
            </w:pPr>
            <w:r>
              <w:rPr>
                <w:rFonts w:hint="eastAsia" w:ascii="宋体" w:hAnsi="宋体" w:cs="宋体"/>
                <w:snapToGrid w:val="0"/>
                <w:color w:val="auto"/>
                <w:kern w:val="0"/>
                <w:sz w:val="24"/>
                <w:szCs w:val="20"/>
              </w:rPr>
              <w:t>③</w:t>
            </w:r>
            <w:r>
              <w:rPr>
                <w:snapToGrid w:val="0"/>
                <w:color w:val="auto"/>
                <w:kern w:val="0"/>
                <w:sz w:val="24"/>
                <w:szCs w:val="20"/>
              </w:rPr>
              <w:t>建立全厂设备维护、维修制度，定期检查各设备运行情况，杜绝事故发生；</w:t>
            </w:r>
          </w:p>
          <w:p>
            <w:pPr>
              <w:wordWrap w:val="0"/>
              <w:spacing w:line="360" w:lineRule="auto"/>
              <w:ind w:firstLine="480" w:firstLineChars="200"/>
              <w:rPr>
                <w:snapToGrid w:val="0"/>
                <w:color w:val="auto"/>
                <w:kern w:val="0"/>
                <w:sz w:val="24"/>
                <w:szCs w:val="20"/>
              </w:rPr>
            </w:pPr>
            <w:r>
              <w:rPr>
                <w:rFonts w:hint="eastAsia" w:ascii="宋体" w:hAnsi="宋体" w:cs="宋体"/>
                <w:snapToGrid w:val="0"/>
                <w:color w:val="auto"/>
                <w:kern w:val="0"/>
                <w:sz w:val="24"/>
                <w:szCs w:val="20"/>
              </w:rPr>
              <w:t>④</w:t>
            </w:r>
            <w:r>
              <w:rPr>
                <w:snapToGrid w:val="0"/>
                <w:color w:val="auto"/>
                <w:kern w:val="0"/>
                <w:sz w:val="24"/>
                <w:szCs w:val="20"/>
              </w:rPr>
              <w:t>应按规范进行台账记录，主要内容包括生产信息、原辅材料使用情况、污染防治设施运行记录、监测数据等；</w:t>
            </w:r>
          </w:p>
          <w:p>
            <w:pPr>
              <w:wordWrap w:val="0"/>
              <w:spacing w:line="360" w:lineRule="auto"/>
              <w:ind w:firstLine="480" w:firstLineChars="200"/>
              <w:rPr>
                <w:color w:val="auto"/>
              </w:rPr>
            </w:pPr>
            <w:r>
              <w:rPr>
                <w:rFonts w:hint="eastAsia"/>
                <w:snapToGrid w:val="0"/>
                <w:color w:val="auto"/>
                <w:kern w:val="0"/>
                <w:sz w:val="24"/>
                <w:szCs w:val="20"/>
              </w:rPr>
              <w:t>⑤</w:t>
            </w:r>
            <w:r>
              <w:rPr>
                <w:snapToGrid w:val="0"/>
                <w:color w:val="auto"/>
                <w:kern w:val="0"/>
                <w:sz w:val="24"/>
                <w:szCs w:val="20"/>
              </w:rPr>
              <w:t>定期在国家排污许可证管理信息平台填报信息，编制排污许可证执行报告，及时报送有核发权的环境保护主管部门并公开，执行报告主要内容包括生产信息、污染防治设施运行情况、污染物按证排放情况等。</w:t>
            </w:r>
          </w:p>
        </w:tc>
      </w:tr>
    </w:tbl>
    <w:p>
      <w:pPr>
        <w:pStyle w:val="329"/>
        <w:keepNext/>
        <w:keepLines/>
        <w:pageBreakBefore/>
        <w:numPr>
          <w:ilvl w:val="0"/>
          <w:numId w:val="12"/>
        </w:numPr>
        <w:snapToGrid w:val="0"/>
        <w:ind w:firstLineChars="0"/>
        <w:jc w:val="center"/>
        <w:outlineLvl w:val="0"/>
        <w:rPr>
          <w:rFonts w:ascii="Times New Roman" w:hAnsi="Times New Roman"/>
          <w:b/>
          <w:bCs/>
          <w:color w:val="auto"/>
          <w:sz w:val="32"/>
          <w:szCs w:val="32"/>
        </w:rPr>
      </w:pPr>
      <w:r>
        <w:rPr>
          <w:rFonts w:ascii="Times New Roman" w:hAnsi="Times New Roman"/>
          <w:b/>
          <w:bCs/>
          <w:color w:val="auto"/>
          <w:sz w:val="32"/>
          <w:szCs w:val="32"/>
        </w:rPr>
        <w:t>环境保护措施监督检查清单</w:t>
      </w:r>
    </w:p>
    <w:tbl>
      <w:tblPr>
        <w:tblStyle w:val="90"/>
        <w:tblW w:w="93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8"/>
        <w:gridCol w:w="1784"/>
        <w:gridCol w:w="1238"/>
        <w:gridCol w:w="2027"/>
        <w:gridCol w:w="30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tcBorders>
              <w:top w:val="single" w:color="auto" w:sz="12" w:space="0"/>
              <w:bottom w:val="single" w:color="auto" w:sz="6" w:space="0"/>
              <w:tl2br w:val="single" w:color="auto" w:sz="4" w:space="0"/>
            </w:tcBorders>
            <w:shd w:val="clear" w:color="auto" w:fill="auto"/>
            <w:vAlign w:val="center"/>
          </w:tcPr>
          <w:p>
            <w:pPr>
              <w:widowControl w:val="0"/>
              <w:adjustRightInd w:val="0"/>
              <w:ind w:firstLine="510"/>
              <w:jc w:val="center"/>
              <w:rPr>
                <w:rFonts w:ascii="Times New Roman" w:hAnsi="Times New Roman"/>
                <w:b/>
                <w:bCs/>
                <w:color w:val="auto"/>
                <w:sz w:val="24"/>
                <w:szCs w:val="24"/>
              </w:rPr>
            </w:pPr>
            <w:r>
              <w:rPr>
                <w:rFonts w:ascii="Times New Roman" w:hAnsi="Times New Roman"/>
                <w:b/>
                <w:bCs/>
                <w:color w:val="auto"/>
                <w:sz w:val="24"/>
                <w:szCs w:val="24"/>
              </w:rPr>
              <w:t>内容</w:t>
            </w:r>
          </w:p>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要素</w:t>
            </w:r>
          </w:p>
        </w:tc>
        <w:tc>
          <w:tcPr>
            <w:tcW w:w="1784" w:type="dxa"/>
            <w:shd w:val="clear" w:color="auto" w:fill="auto"/>
            <w:tcMar>
              <w:left w:w="0" w:type="dxa"/>
              <w:right w:w="0" w:type="dxa"/>
            </w:tcMar>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排放口(编号、名称)/污染源</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污染物</w:t>
            </w:r>
          </w:p>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项目</w:t>
            </w:r>
          </w:p>
        </w:tc>
        <w:tc>
          <w:tcPr>
            <w:tcW w:w="2027" w:type="dxa"/>
            <w:shd w:val="clear" w:color="auto" w:fill="auto"/>
            <w:tcMar>
              <w:left w:w="0" w:type="dxa"/>
              <w:right w:w="0" w:type="dxa"/>
            </w:tcMar>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环境保护措施</w:t>
            </w:r>
          </w:p>
        </w:tc>
        <w:tc>
          <w:tcPr>
            <w:tcW w:w="3003" w:type="dxa"/>
            <w:shd w:val="clear" w:color="auto" w:fill="auto"/>
            <w:tcMar>
              <w:left w:w="0" w:type="dxa"/>
              <w:right w:w="0" w:type="dxa"/>
            </w:tcMar>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248" w:type="dxa"/>
            <w:vMerge w:val="restart"/>
            <w:tcBorders>
              <w:top w:val="single" w:color="auto" w:sz="6" w:space="0"/>
            </w:tcBorders>
            <w:shd w:val="clear" w:color="auto" w:fill="auto"/>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大气环境</w:t>
            </w: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hint="eastAsia" w:ascii="Times New Roman" w:hAnsi="Times New Roman"/>
                <w:color w:val="auto"/>
                <w:sz w:val="24"/>
                <w:szCs w:val="24"/>
              </w:rPr>
              <w:t>粗氦提取</w:t>
            </w:r>
            <w:r>
              <w:rPr>
                <w:rFonts w:ascii="Times New Roman" w:hAnsi="Times New Roman"/>
                <w:color w:val="auto"/>
                <w:sz w:val="24"/>
                <w:szCs w:val="24"/>
              </w:rPr>
              <w:t>单元废气</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氮气</w:t>
            </w:r>
          </w:p>
        </w:tc>
        <w:tc>
          <w:tcPr>
            <w:tcW w:w="2027" w:type="dxa"/>
            <w:vMerge w:val="restart"/>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直接放空</w:t>
            </w:r>
          </w:p>
        </w:tc>
        <w:tc>
          <w:tcPr>
            <w:tcW w:w="3003" w:type="dxa"/>
            <w:vMerge w:val="restart"/>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bCs/>
                <w:color w:val="auto"/>
                <w:sz w:val="24"/>
                <w:szCs w:val="24"/>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氦气精制单元废气</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氮气</w:t>
            </w:r>
            <w:r>
              <w:rPr>
                <w:rFonts w:hint="eastAsia" w:ascii="Times New Roman" w:hAnsi="Times New Roman"/>
                <w:color w:val="auto"/>
                <w:sz w:val="24"/>
                <w:szCs w:val="24"/>
              </w:rPr>
              <w:t>、微量杂质气体</w:t>
            </w:r>
          </w:p>
        </w:tc>
        <w:tc>
          <w:tcPr>
            <w:tcW w:w="2027"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c>
          <w:tcPr>
            <w:tcW w:w="3003"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9" w:hRule="atLeast"/>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hint="eastAsia" w:ascii="Times New Roman" w:hAnsi="Times New Roman"/>
                <w:color w:val="auto"/>
                <w:sz w:val="24"/>
                <w:szCs w:val="24"/>
              </w:rPr>
              <w:t>粗氦提取单元废气</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甲烷</w:t>
            </w:r>
          </w:p>
        </w:tc>
        <w:tc>
          <w:tcPr>
            <w:tcW w:w="2027"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排放至厂区现有</w:t>
            </w:r>
            <w:r>
              <w:rPr>
                <w:rFonts w:hint="eastAsia" w:ascii="Times New Roman" w:hAnsi="Times New Roman"/>
                <w:color w:val="auto"/>
                <w:sz w:val="24"/>
                <w:szCs w:val="24"/>
              </w:rPr>
              <w:t>燃料气</w:t>
            </w:r>
            <w:r>
              <w:rPr>
                <w:rFonts w:ascii="Times New Roman" w:hAnsi="Times New Roman"/>
                <w:color w:val="auto"/>
                <w:sz w:val="24"/>
                <w:szCs w:val="24"/>
              </w:rPr>
              <w:t>系统充当燃料气使用</w:t>
            </w:r>
          </w:p>
        </w:tc>
        <w:tc>
          <w:tcPr>
            <w:tcW w:w="3003"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vMerge w:val="restart"/>
            <w:shd w:val="clear" w:color="auto" w:fill="auto"/>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地表水</w:t>
            </w:r>
          </w:p>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环境</w:t>
            </w: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生活污水</w:t>
            </w:r>
          </w:p>
        </w:tc>
        <w:tc>
          <w:tcPr>
            <w:tcW w:w="1238" w:type="dxa"/>
            <w:shd w:val="clear" w:color="auto" w:fill="auto"/>
            <w:tcMar>
              <w:left w:w="0" w:type="dxa"/>
              <w:right w:w="0" w:type="dxa"/>
            </w:tcMar>
            <w:vAlign w:val="center"/>
          </w:tcPr>
          <w:p>
            <w:pPr>
              <w:widowControl w:val="0"/>
              <w:jc w:val="center"/>
              <w:rPr>
                <w:rFonts w:ascii="Times New Roman" w:hAnsi="Times New Roman"/>
                <w:color w:val="auto"/>
                <w:sz w:val="24"/>
                <w:szCs w:val="24"/>
              </w:rPr>
            </w:pPr>
            <w:r>
              <w:rPr>
                <w:rFonts w:ascii="Times New Roman" w:hAnsi="Times New Roman"/>
                <w:color w:val="auto"/>
                <w:sz w:val="24"/>
                <w:szCs w:val="24"/>
              </w:rPr>
              <w:t>COD、SS、BOD</w:t>
            </w:r>
            <w:r>
              <w:rPr>
                <w:rFonts w:ascii="Times New Roman" w:hAnsi="Times New Roman"/>
                <w:color w:val="auto"/>
                <w:sz w:val="24"/>
                <w:szCs w:val="24"/>
                <w:vertAlign w:val="subscript"/>
              </w:rPr>
              <w:t>5</w:t>
            </w:r>
            <w:r>
              <w:rPr>
                <w:rFonts w:ascii="Times New Roman" w:hAnsi="Times New Roman"/>
                <w:color w:val="auto"/>
                <w:sz w:val="24"/>
                <w:szCs w:val="24"/>
              </w:rPr>
              <w:t>、氨氮等</w:t>
            </w:r>
          </w:p>
        </w:tc>
        <w:tc>
          <w:tcPr>
            <w:tcW w:w="2027"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隔油池/化粪池+CASS处理系统，灌溉季节用于绿化，</w:t>
            </w:r>
            <w:r>
              <w:rPr>
                <w:rFonts w:hint="eastAsia" w:ascii="Times New Roman" w:hAnsi="Times New Roman"/>
                <w:color w:val="auto"/>
                <w:sz w:val="24"/>
                <w:szCs w:val="24"/>
              </w:rPr>
              <w:t>非灌溉</w:t>
            </w:r>
            <w:r>
              <w:rPr>
                <w:rFonts w:ascii="Times New Roman" w:hAnsi="Times New Roman"/>
                <w:color w:val="auto"/>
                <w:sz w:val="24"/>
                <w:szCs w:val="24"/>
              </w:rPr>
              <w:t>季节外运靖边污水处理厂</w:t>
            </w:r>
          </w:p>
        </w:tc>
        <w:tc>
          <w:tcPr>
            <w:tcW w:w="3003" w:type="dxa"/>
            <w:vMerge w:val="restart"/>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《城市污水再生利用绿地灌溉水质》(GB/T25499-2010)，</w:t>
            </w:r>
          </w:p>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《污水排入城镇下水道水质标准》（GB/T31962-2015）表1中B级标准及园区污水厂进水水质要求，《污水综合排放标准》三级标准。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bCs/>
                <w:color w:val="auto"/>
                <w:sz w:val="24"/>
                <w:szCs w:val="24"/>
              </w:rPr>
              <w:t>生产废水</w:t>
            </w:r>
          </w:p>
        </w:tc>
        <w:tc>
          <w:tcPr>
            <w:tcW w:w="1238" w:type="dxa"/>
            <w:shd w:val="clear" w:color="auto" w:fill="auto"/>
            <w:tcMar>
              <w:left w:w="0" w:type="dxa"/>
              <w:right w:w="0" w:type="dxa"/>
            </w:tcMar>
            <w:vAlign w:val="center"/>
          </w:tcPr>
          <w:p>
            <w:pPr>
              <w:widowControl w:val="0"/>
              <w:jc w:val="center"/>
              <w:rPr>
                <w:rFonts w:hint="eastAsia" w:ascii="Times New Roman" w:hAnsi="Times New Roman" w:eastAsia="宋体"/>
                <w:color w:val="auto"/>
                <w:sz w:val="24"/>
                <w:szCs w:val="24"/>
                <w:lang w:eastAsia="zh-CN"/>
              </w:rPr>
            </w:pPr>
            <w:r>
              <w:rPr>
                <w:rFonts w:hint="eastAsia" w:ascii="Times New Roman" w:hAnsi="Times New Roman"/>
                <w:color w:val="auto"/>
                <w:sz w:val="24"/>
                <w:szCs w:val="24"/>
                <w:lang w:val="en-US" w:eastAsia="zh-CN"/>
              </w:rPr>
              <w:t>/</w:t>
            </w:r>
          </w:p>
        </w:tc>
        <w:tc>
          <w:tcPr>
            <w:tcW w:w="2027"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hint="eastAsia" w:ascii="Times New Roman" w:hAnsi="Times New Roman"/>
                <w:color w:val="auto"/>
                <w:sz w:val="24"/>
                <w:szCs w:val="24"/>
              </w:rPr>
              <w:t>用水桶盛装后回用于厂区绿化或洒扫</w:t>
            </w:r>
          </w:p>
        </w:tc>
        <w:tc>
          <w:tcPr>
            <w:tcW w:w="3003"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shd w:val="clear" w:color="auto" w:fill="auto"/>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声环境</w:t>
            </w: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压缩机及泵类设备</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Leq(A)</w:t>
            </w:r>
          </w:p>
        </w:tc>
        <w:tc>
          <w:tcPr>
            <w:tcW w:w="2027"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选用低噪设备、基础减振</w:t>
            </w:r>
          </w:p>
        </w:tc>
        <w:tc>
          <w:tcPr>
            <w:tcW w:w="3003"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《工业企业厂界环境噪声排放标准》(GB12348-2008)表1中3类标准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atLeast"/>
          <w:jc w:val="center"/>
        </w:trPr>
        <w:tc>
          <w:tcPr>
            <w:tcW w:w="1248" w:type="dxa"/>
            <w:vMerge w:val="restart"/>
            <w:shd w:val="clear" w:color="auto" w:fill="auto"/>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固体废物</w:t>
            </w: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脱水干燥器</w:t>
            </w:r>
          </w:p>
        </w:tc>
        <w:tc>
          <w:tcPr>
            <w:tcW w:w="1238" w:type="dxa"/>
            <w:vMerge w:val="restart"/>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废分子筛、废润滑油</w:t>
            </w:r>
          </w:p>
        </w:tc>
        <w:tc>
          <w:tcPr>
            <w:tcW w:w="2027" w:type="dxa"/>
            <w:vMerge w:val="restart"/>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hint="eastAsia" w:ascii="Times New Roman" w:hAnsi="Times New Roman"/>
                <w:color w:val="auto"/>
                <w:sz w:val="24"/>
                <w:szCs w:val="24"/>
              </w:rPr>
              <w:t>废润滑油立即送往有资质单位处置，除废润滑油外的危险废物均由厂家更换后</w:t>
            </w:r>
            <w:r>
              <w:rPr>
                <w:rFonts w:hint="eastAsia" w:ascii="Times New Roman" w:hAnsi="Times New Roman"/>
                <w:color w:val="auto"/>
                <w:sz w:val="24"/>
                <w:szCs w:val="24"/>
                <w:lang w:eastAsia="zh-CN"/>
              </w:rPr>
              <w:t>送往有资质的单位处置，</w:t>
            </w:r>
            <w:r>
              <w:rPr>
                <w:rFonts w:hint="eastAsia" w:ascii="Times New Roman" w:hAnsi="Times New Roman"/>
                <w:color w:val="auto"/>
                <w:sz w:val="24"/>
                <w:szCs w:val="24"/>
              </w:rPr>
              <w:t>危险废物不在厂区内暂存</w:t>
            </w:r>
          </w:p>
        </w:tc>
        <w:tc>
          <w:tcPr>
            <w:tcW w:w="3003" w:type="dxa"/>
            <w:vMerge w:val="restart"/>
            <w:shd w:val="clear" w:color="auto" w:fill="auto"/>
            <w:tcMar>
              <w:left w:w="0" w:type="dxa"/>
              <w:right w:w="0" w:type="dxa"/>
            </w:tcMar>
            <w:vAlign w:val="center"/>
          </w:tcPr>
          <w:p>
            <w:pPr>
              <w:widowControl w:val="0"/>
              <w:adjustRightInd w:val="0"/>
              <w:jc w:val="center"/>
              <w:rPr>
                <w:rFonts w:ascii="Times New Roman" w:hAnsi="Times New Roman"/>
                <w:bCs/>
                <w:color w:val="auto"/>
                <w:sz w:val="24"/>
                <w:szCs w:val="24"/>
              </w:rPr>
            </w:pPr>
            <w:r>
              <w:rPr>
                <w:rFonts w:ascii="Times New Roman" w:hAnsi="Times New Roman"/>
                <w:color w:val="auto"/>
                <w:sz w:val="24"/>
                <w:szCs w:val="24"/>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hint="eastAsia" w:ascii="Times New Roman" w:hAnsi="Times New Roman"/>
                <w:color w:val="auto"/>
                <w:sz w:val="24"/>
                <w:szCs w:val="24"/>
              </w:rPr>
              <w:t>变压</w:t>
            </w:r>
            <w:r>
              <w:rPr>
                <w:rFonts w:ascii="Times New Roman" w:hAnsi="Times New Roman"/>
                <w:color w:val="auto"/>
                <w:sz w:val="24"/>
                <w:szCs w:val="24"/>
              </w:rPr>
              <w:t>吸附</w:t>
            </w:r>
            <w:r>
              <w:rPr>
                <w:rFonts w:hint="eastAsia" w:ascii="Times New Roman" w:hAnsi="Times New Roman"/>
                <w:color w:val="auto"/>
                <w:sz w:val="24"/>
                <w:szCs w:val="24"/>
              </w:rPr>
              <w:t>装置</w:t>
            </w:r>
          </w:p>
        </w:tc>
        <w:tc>
          <w:tcPr>
            <w:tcW w:w="1238"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c>
          <w:tcPr>
            <w:tcW w:w="2027"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c>
          <w:tcPr>
            <w:tcW w:w="3003" w:type="dxa"/>
            <w:vMerge w:val="continue"/>
            <w:shd w:val="clear" w:color="auto" w:fill="auto"/>
            <w:tcMar>
              <w:left w:w="0" w:type="dxa"/>
              <w:right w:w="0" w:type="dxa"/>
            </w:tcMar>
            <w:vAlign w:val="center"/>
          </w:tcPr>
          <w:p>
            <w:pPr>
              <w:widowControl w:val="0"/>
              <w:adjustRightInd w:val="0"/>
              <w:jc w:val="center"/>
              <w:rPr>
                <w:rFonts w:ascii="Times New Roman" w:hAnsi="Times New Roman"/>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氦气纯化器</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废活性炭、废润滑油</w:t>
            </w:r>
          </w:p>
        </w:tc>
        <w:tc>
          <w:tcPr>
            <w:tcW w:w="2027"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c>
          <w:tcPr>
            <w:tcW w:w="3003" w:type="dxa"/>
            <w:vMerge w:val="continue"/>
            <w:shd w:val="clear" w:color="auto" w:fill="auto"/>
            <w:tcMar>
              <w:left w:w="0" w:type="dxa"/>
              <w:right w:w="0" w:type="dxa"/>
            </w:tcMar>
            <w:vAlign w:val="center"/>
          </w:tcPr>
          <w:p>
            <w:pPr>
              <w:widowControl w:val="0"/>
              <w:adjustRightInd w:val="0"/>
              <w:jc w:val="center"/>
              <w:rPr>
                <w:rFonts w:ascii="Times New Roman" w:hAnsi="Times New Roman"/>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催化氧化脱氢反应器</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废催化剂、废润滑油</w:t>
            </w:r>
          </w:p>
        </w:tc>
        <w:tc>
          <w:tcPr>
            <w:tcW w:w="2027" w:type="dxa"/>
            <w:vMerge w:val="continue"/>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p>
        </w:tc>
        <w:tc>
          <w:tcPr>
            <w:tcW w:w="3003" w:type="dxa"/>
            <w:vMerge w:val="continue"/>
            <w:shd w:val="clear" w:color="auto" w:fill="auto"/>
            <w:tcMar>
              <w:left w:w="0" w:type="dxa"/>
              <w:right w:w="0" w:type="dxa"/>
            </w:tcMar>
            <w:vAlign w:val="center"/>
          </w:tcPr>
          <w:p>
            <w:pPr>
              <w:widowControl w:val="0"/>
              <w:adjustRightInd w:val="0"/>
              <w:jc w:val="center"/>
              <w:rPr>
                <w:rFonts w:ascii="Times New Roman" w:hAnsi="Times New Roman"/>
                <w:bCs/>
                <w:color w:val="auto"/>
                <w:sz w:val="24"/>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vMerge w:val="continue"/>
            <w:shd w:val="clear" w:color="auto" w:fill="auto"/>
            <w:vAlign w:val="center"/>
          </w:tcPr>
          <w:p>
            <w:pPr>
              <w:widowControl w:val="0"/>
              <w:adjustRightInd w:val="0"/>
              <w:jc w:val="center"/>
              <w:rPr>
                <w:rFonts w:ascii="Times New Roman" w:hAnsi="Times New Roman"/>
                <w:b/>
                <w:bCs/>
                <w:color w:val="auto"/>
                <w:sz w:val="24"/>
                <w:szCs w:val="24"/>
              </w:rPr>
            </w:pPr>
          </w:p>
        </w:tc>
        <w:tc>
          <w:tcPr>
            <w:tcW w:w="1784" w:type="dxa"/>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职工办公</w:t>
            </w:r>
          </w:p>
        </w:tc>
        <w:tc>
          <w:tcPr>
            <w:tcW w:w="1238"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生活垃圾</w:t>
            </w:r>
          </w:p>
        </w:tc>
        <w:tc>
          <w:tcPr>
            <w:tcW w:w="2027" w:type="dxa"/>
            <w:shd w:val="clear" w:color="auto" w:fill="auto"/>
            <w:tcMar>
              <w:left w:w="0" w:type="dxa"/>
              <w:right w:w="0" w:type="dxa"/>
            </w:tcMar>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经厂区内设置防渗垃圾桶（箱）集中收集后，再由园区环卫部门统一清运至城市生活垃圾处理厂进行卫生填埋处置</w:t>
            </w:r>
          </w:p>
        </w:tc>
        <w:tc>
          <w:tcPr>
            <w:tcW w:w="3003" w:type="dxa"/>
            <w:shd w:val="clear" w:color="auto" w:fill="auto"/>
            <w:tcMar>
              <w:left w:w="0" w:type="dxa"/>
              <w:right w:w="0" w:type="dxa"/>
            </w:tcMar>
            <w:vAlign w:val="center"/>
          </w:tcPr>
          <w:p>
            <w:pPr>
              <w:widowControl w:val="0"/>
              <w:adjustRightInd w:val="0"/>
              <w:jc w:val="center"/>
              <w:rPr>
                <w:rFonts w:ascii="Times New Roman" w:hAnsi="Times New Roman"/>
                <w:bCs/>
                <w:color w:val="auto"/>
                <w:sz w:val="24"/>
                <w:szCs w:val="24"/>
              </w:rPr>
            </w:pPr>
            <w:r>
              <w:rPr>
                <w:rFonts w:ascii="Times New Roman" w:hAnsi="Times New Roman"/>
                <w:bCs/>
                <w:color w:val="auto"/>
                <w:sz w:val="24"/>
                <w:szCs w:val="24"/>
              </w:rPr>
              <w:t>合理处置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shd w:val="clear" w:color="auto" w:fill="auto"/>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土壤及地下水污染防治措施</w:t>
            </w:r>
          </w:p>
        </w:tc>
        <w:tc>
          <w:tcPr>
            <w:tcW w:w="8052" w:type="dxa"/>
            <w:gridSpan w:val="4"/>
            <w:shd w:val="clear" w:color="auto" w:fill="auto"/>
            <w:vAlign w:val="center"/>
          </w:tcPr>
          <w:p>
            <w:pPr>
              <w:widowControl w:val="0"/>
              <w:adjustRightInd w:val="0"/>
              <w:jc w:val="center"/>
              <w:rPr>
                <w:rFonts w:ascii="Times New Roman" w:hAnsi="Times New Roman"/>
                <w:color w:val="auto"/>
                <w:sz w:val="24"/>
                <w:szCs w:val="24"/>
              </w:rPr>
            </w:pPr>
            <w:r>
              <w:rPr>
                <w:rFonts w:hint="eastAsia" w:ascii="Times New Roman" w:hAnsi="Times New Roman"/>
                <w:color w:val="auto"/>
                <w:sz w:val="24"/>
                <w:szCs w:val="24"/>
                <w:lang w:eastAsia="zh-CN"/>
              </w:rPr>
              <w:t>生产装置区</w:t>
            </w:r>
            <w:r>
              <w:rPr>
                <w:rFonts w:ascii="Times New Roman" w:hAnsi="Times New Roman"/>
                <w:color w:val="auto"/>
                <w:sz w:val="24"/>
                <w:szCs w:val="24"/>
              </w:rPr>
              <w:t>按照一般防渗区</w:t>
            </w:r>
            <w:r>
              <w:rPr>
                <w:rFonts w:hint="eastAsia" w:ascii="Times New Roman" w:hAnsi="Times New Roman"/>
                <w:color w:val="auto"/>
                <w:sz w:val="24"/>
                <w:szCs w:val="24"/>
                <w:lang w:eastAsia="zh-CN"/>
              </w:rPr>
              <w:t>相关要求</w:t>
            </w:r>
            <w:r>
              <w:rPr>
                <w:rFonts w:ascii="Times New Roman" w:hAnsi="Times New Roman"/>
                <w:color w:val="auto"/>
                <w:sz w:val="24"/>
                <w:szCs w:val="24"/>
              </w:rPr>
              <w:t>进行防渗，</w:t>
            </w:r>
            <w:r>
              <w:rPr>
                <w:rFonts w:hint="eastAsia" w:ascii="Times New Roman" w:hAnsi="Times New Roman"/>
                <w:color w:val="auto"/>
                <w:sz w:val="24"/>
                <w:szCs w:val="24"/>
              </w:rPr>
              <w:t>生产装置区周边道路</w:t>
            </w:r>
            <w:r>
              <w:rPr>
                <w:rFonts w:hint="eastAsia" w:ascii="Times New Roman" w:hAnsi="Times New Roman"/>
                <w:color w:val="auto"/>
                <w:sz w:val="24"/>
                <w:szCs w:val="24"/>
                <w:lang w:eastAsia="zh-CN"/>
              </w:rPr>
              <w:t>及</w:t>
            </w:r>
            <w:r>
              <w:rPr>
                <w:rFonts w:ascii="Times New Roman" w:hAnsi="Times New Roman"/>
                <w:color w:val="auto"/>
                <w:sz w:val="24"/>
                <w:szCs w:val="24"/>
              </w:rPr>
              <w:t>其它区域地面硬化设置即可。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shd w:val="clear" w:color="auto" w:fill="auto"/>
            <w:vAlign w:val="center"/>
          </w:tcPr>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生态保护</w:t>
            </w:r>
          </w:p>
          <w:p>
            <w:pPr>
              <w:widowControl w:val="0"/>
              <w:adjustRightInd w:val="0"/>
              <w:jc w:val="center"/>
              <w:rPr>
                <w:rFonts w:ascii="Times New Roman" w:hAnsi="Times New Roman"/>
                <w:b/>
                <w:bCs/>
                <w:color w:val="auto"/>
                <w:sz w:val="24"/>
                <w:szCs w:val="24"/>
              </w:rPr>
            </w:pPr>
            <w:r>
              <w:rPr>
                <w:rFonts w:ascii="Times New Roman" w:hAnsi="Times New Roman"/>
                <w:b/>
                <w:bCs/>
                <w:color w:val="auto"/>
                <w:sz w:val="24"/>
                <w:szCs w:val="24"/>
              </w:rPr>
              <w:t>措施</w:t>
            </w:r>
          </w:p>
        </w:tc>
        <w:tc>
          <w:tcPr>
            <w:tcW w:w="8052" w:type="dxa"/>
            <w:gridSpan w:val="4"/>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依托现有厂区，四周设有围墙，绿化面积达到136735m</w:t>
            </w:r>
            <w:r>
              <w:rPr>
                <w:rFonts w:ascii="Times New Roman" w:hAnsi="Times New Roman"/>
                <w:color w:val="auto"/>
                <w:sz w:val="24"/>
                <w:szCs w:val="24"/>
                <w:vertAlign w:val="superscript"/>
              </w:rPr>
              <w:t>2</w:t>
            </w:r>
            <w:r>
              <w:rPr>
                <w:rFonts w:ascii="Times New Roman" w:hAnsi="Times New Roman"/>
                <w:color w:val="auto"/>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shd w:val="clear" w:color="auto" w:fill="auto"/>
            <w:vAlign w:val="center"/>
          </w:tcPr>
          <w:p>
            <w:pPr>
              <w:widowControl w:val="0"/>
              <w:adjustRightInd w:val="0"/>
              <w:jc w:val="center"/>
              <w:rPr>
                <w:rFonts w:ascii="Times New Roman" w:hAnsi="Times New Roman"/>
                <w:b/>
                <w:bCs/>
                <w:color w:val="auto"/>
                <w:spacing w:val="-8"/>
                <w:sz w:val="24"/>
                <w:szCs w:val="24"/>
              </w:rPr>
            </w:pPr>
            <w:r>
              <w:rPr>
                <w:rFonts w:ascii="Times New Roman" w:hAnsi="Times New Roman"/>
                <w:b/>
                <w:bCs/>
                <w:color w:val="auto"/>
                <w:spacing w:val="-8"/>
                <w:sz w:val="24"/>
                <w:szCs w:val="24"/>
              </w:rPr>
              <w:t>环境风险</w:t>
            </w:r>
          </w:p>
          <w:p>
            <w:pPr>
              <w:widowControl w:val="0"/>
              <w:adjustRightInd w:val="0"/>
              <w:jc w:val="center"/>
              <w:rPr>
                <w:rFonts w:ascii="Times New Roman" w:hAnsi="Times New Roman"/>
                <w:b/>
                <w:bCs/>
                <w:color w:val="auto"/>
                <w:spacing w:val="-8"/>
                <w:sz w:val="24"/>
                <w:szCs w:val="24"/>
              </w:rPr>
            </w:pPr>
            <w:r>
              <w:rPr>
                <w:rFonts w:ascii="Times New Roman" w:hAnsi="Times New Roman"/>
                <w:b/>
                <w:bCs/>
                <w:color w:val="auto"/>
                <w:spacing w:val="-8"/>
                <w:sz w:val="24"/>
                <w:szCs w:val="24"/>
              </w:rPr>
              <w:t>防范措施</w:t>
            </w:r>
          </w:p>
        </w:tc>
        <w:tc>
          <w:tcPr>
            <w:tcW w:w="8052" w:type="dxa"/>
            <w:gridSpan w:val="4"/>
            <w:shd w:val="clear" w:color="auto" w:fill="auto"/>
            <w:vAlign w:val="center"/>
          </w:tcPr>
          <w:p>
            <w:pPr>
              <w:widowControl w:val="0"/>
              <w:adjustRightInd w:val="0"/>
              <w:jc w:val="center"/>
              <w:rPr>
                <w:rFonts w:ascii="Times New Roman" w:hAnsi="Times New Roman"/>
                <w:color w:val="auto"/>
                <w:sz w:val="24"/>
                <w:szCs w:val="24"/>
              </w:rPr>
            </w:pPr>
            <w:r>
              <w:rPr>
                <w:rFonts w:ascii="Times New Roman" w:hAnsi="Times New Roman"/>
                <w:color w:val="auto"/>
                <w:sz w:val="24"/>
                <w:szCs w:val="24"/>
              </w:rPr>
              <w:t>厂区设可燃气体探测器、火灾自动报警系统等，根据项目特点建立完善的环境应急管理体系，编制完善的、有针对性的环境风险应急预案。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48" w:type="dxa"/>
            <w:shd w:val="clear" w:color="auto" w:fill="auto"/>
            <w:vAlign w:val="center"/>
          </w:tcPr>
          <w:p>
            <w:pPr>
              <w:widowControl w:val="0"/>
              <w:adjustRightInd w:val="0"/>
              <w:jc w:val="center"/>
              <w:rPr>
                <w:rFonts w:ascii="Times New Roman" w:hAnsi="Times New Roman"/>
                <w:b/>
                <w:bCs/>
                <w:color w:val="auto"/>
                <w:spacing w:val="-8"/>
                <w:sz w:val="24"/>
                <w:szCs w:val="24"/>
              </w:rPr>
            </w:pPr>
            <w:r>
              <w:rPr>
                <w:rFonts w:ascii="Times New Roman" w:hAnsi="Times New Roman"/>
                <w:b/>
                <w:bCs/>
                <w:color w:val="auto"/>
                <w:spacing w:val="-8"/>
                <w:sz w:val="24"/>
                <w:szCs w:val="24"/>
              </w:rPr>
              <w:t>其他环境</w:t>
            </w:r>
          </w:p>
          <w:p>
            <w:pPr>
              <w:widowControl w:val="0"/>
              <w:adjustRightInd w:val="0"/>
              <w:jc w:val="center"/>
              <w:rPr>
                <w:rFonts w:ascii="Times New Roman" w:hAnsi="Times New Roman"/>
                <w:b/>
                <w:bCs/>
                <w:color w:val="auto"/>
                <w:spacing w:val="-8"/>
                <w:sz w:val="24"/>
                <w:szCs w:val="24"/>
              </w:rPr>
            </w:pPr>
            <w:r>
              <w:rPr>
                <w:rFonts w:ascii="Times New Roman" w:hAnsi="Times New Roman"/>
                <w:b/>
                <w:bCs/>
                <w:color w:val="auto"/>
                <w:spacing w:val="-8"/>
                <w:sz w:val="24"/>
                <w:szCs w:val="24"/>
              </w:rPr>
              <w:t>管理要求</w:t>
            </w:r>
          </w:p>
        </w:tc>
        <w:tc>
          <w:tcPr>
            <w:tcW w:w="8052" w:type="dxa"/>
            <w:gridSpan w:val="4"/>
            <w:shd w:val="clear" w:color="auto" w:fill="auto"/>
            <w:vAlign w:val="center"/>
          </w:tcPr>
          <w:p>
            <w:pPr>
              <w:widowControl w:val="0"/>
              <w:adjustRightInd w:val="0"/>
              <w:jc w:val="center"/>
              <w:rPr>
                <w:rFonts w:ascii="Times New Roman" w:hAnsi="Times New Roman"/>
                <w:color w:val="auto"/>
                <w:sz w:val="24"/>
                <w:szCs w:val="24"/>
              </w:rPr>
            </w:pPr>
            <w:r>
              <w:rPr>
                <w:snapToGrid w:val="0"/>
                <w:color w:val="auto"/>
                <w:kern w:val="0"/>
                <w:sz w:val="24"/>
                <w:szCs w:val="20"/>
              </w:rPr>
              <w:t>应按规范进行台账记录，定期在国家排污许可证管理信息平台填报信息，编制排污许可证执行报告，及时报送有核发权的环境保护主管部门并公开</w:t>
            </w:r>
            <w:r>
              <w:rPr>
                <w:color w:val="auto"/>
                <w:sz w:val="24"/>
                <w:szCs w:val="24"/>
              </w:rPr>
              <w:t>。</w:t>
            </w:r>
          </w:p>
        </w:tc>
      </w:tr>
    </w:tbl>
    <w:p>
      <w:pPr>
        <w:pStyle w:val="329"/>
        <w:keepNext/>
        <w:keepLines/>
        <w:pageBreakBefore/>
        <w:numPr>
          <w:ilvl w:val="0"/>
          <w:numId w:val="12"/>
        </w:numPr>
        <w:snapToGrid w:val="0"/>
        <w:ind w:firstLineChars="0"/>
        <w:jc w:val="center"/>
        <w:outlineLvl w:val="0"/>
        <w:rPr>
          <w:rFonts w:ascii="Times New Roman" w:hAnsi="Times New Roman"/>
          <w:b/>
          <w:bCs/>
          <w:color w:val="auto"/>
          <w:sz w:val="32"/>
          <w:szCs w:val="32"/>
        </w:rPr>
      </w:pPr>
      <w:r>
        <w:rPr>
          <w:rFonts w:ascii="Times New Roman" w:hAnsi="Times New Roman"/>
          <w:b/>
          <w:bCs/>
          <w:color w:val="auto"/>
          <w:sz w:val="32"/>
          <w:szCs w:val="32"/>
        </w:rPr>
        <w:t>结论</w:t>
      </w:r>
    </w:p>
    <w:tbl>
      <w:tblPr>
        <w:tblStyle w:val="90"/>
        <w:tblW w:w="904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386" w:hRule="atLeast"/>
          <w:jc w:val="center"/>
        </w:trPr>
        <w:tc>
          <w:tcPr>
            <w:tcW w:w="9040" w:type="dxa"/>
          </w:tcPr>
          <w:p>
            <w:pPr>
              <w:widowControl w:val="0"/>
              <w:spacing w:line="360" w:lineRule="auto"/>
              <w:ind w:firstLine="480" w:firstLineChars="200"/>
              <w:jc w:val="both"/>
              <w:rPr>
                <w:rFonts w:ascii="Times New Roman" w:hAnsi="Times New Roman"/>
                <w:color w:val="auto"/>
                <w:sz w:val="24"/>
                <w:szCs w:val="24"/>
              </w:rPr>
            </w:pPr>
            <w:r>
              <w:rPr>
                <w:rFonts w:ascii="Times New Roman" w:hAnsi="Times New Roman"/>
                <w:color w:val="auto"/>
                <w:sz w:val="24"/>
                <w:szCs w:val="24"/>
              </w:rPr>
              <w:t>本技改项目符合国家及地方产业政策、满足相关环境管理</w:t>
            </w:r>
            <w:r>
              <w:rPr>
                <w:rFonts w:ascii="Times New Roman" w:hAnsi="Times New Roman"/>
                <w:bCs/>
                <w:color w:val="auto"/>
                <w:sz w:val="24"/>
                <w:szCs w:val="24"/>
              </w:rPr>
              <w:t>政策</w:t>
            </w:r>
            <w:r>
              <w:rPr>
                <w:rFonts w:ascii="Times New Roman" w:hAnsi="Times New Roman"/>
                <w:color w:val="auto"/>
                <w:sz w:val="24"/>
                <w:szCs w:val="24"/>
              </w:rPr>
              <w:t>要求。在确保环保设施与主体工程“三同时”的基础上，同时在认真落实本报告提出的各项污染防治措施，加强各项环保措施的运行管理后，各项污染物均能达标排放，对周围环境影响较小。从环境保护角度分析，本建设项目环境影响可行。</w:t>
            </w:r>
          </w:p>
        </w:tc>
      </w:tr>
    </w:tbl>
    <w:p>
      <w:pPr>
        <w:widowControl w:val="0"/>
        <w:spacing w:line="360" w:lineRule="auto"/>
        <w:jc w:val="both"/>
        <w:rPr>
          <w:rFonts w:ascii="Times New Roman" w:hAnsi="Times New Roman"/>
          <w:color w:val="auto"/>
          <w:kern w:val="0"/>
          <w:sz w:val="18"/>
          <w:szCs w:val="18"/>
        </w:rPr>
        <w:sectPr>
          <w:footerReference r:id="rId6" w:type="default"/>
          <w:footerReference r:id="rId7" w:type="even"/>
          <w:pgSz w:w="11906" w:h="16838"/>
          <w:pgMar w:top="1418" w:right="1418" w:bottom="1418" w:left="1418" w:header="851" w:footer="992" w:gutter="0"/>
          <w:pgNumType w:fmt="numberInDash" w:start="1"/>
          <w:cols w:space="720" w:num="1"/>
          <w:docGrid w:type="lines" w:linePitch="342" w:charSpace="0"/>
        </w:sectPr>
      </w:pPr>
    </w:p>
    <w:p>
      <w:pPr>
        <w:keepNext/>
        <w:keepLines/>
        <w:pageBreakBefore/>
        <w:snapToGrid w:val="0"/>
        <w:outlineLvl w:val="0"/>
        <w:rPr>
          <w:rFonts w:ascii="Times New Roman" w:hAnsi="Times New Roman"/>
          <w:b/>
          <w:bCs/>
          <w:color w:val="auto"/>
          <w:sz w:val="32"/>
          <w:szCs w:val="32"/>
        </w:rPr>
      </w:pPr>
      <w:r>
        <w:rPr>
          <w:rFonts w:ascii="Times New Roman" w:hAnsi="Times New Roman"/>
          <w:b/>
          <w:bCs/>
          <w:color w:val="auto"/>
          <w:sz w:val="32"/>
          <w:szCs w:val="32"/>
        </w:rPr>
        <w:t>附表                            建设项目污染物排放量汇总表</w:t>
      </w:r>
    </w:p>
    <w:tbl>
      <w:tblPr>
        <w:tblStyle w:val="90"/>
        <w:tblW w:w="1414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701"/>
        <w:gridCol w:w="1417"/>
        <w:gridCol w:w="1276"/>
        <w:gridCol w:w="1701"/>
        <w:gridCol w:w="1559"/>
        <w:gridCol w:w="1761"/>
        <w:gridCol w:w="1959"/>
        <w:gridCol w:w="1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187"/>
              <w:spacing w:line="240" w:lineRule="auto"/>
              <w:jc w:val="right"/>
              <w:rPr>
                <w:rFonts w:eastAsia="黑体"/>
                <w:snapToGrid w:val="0"/>
                <w:color w:val="auto"/>
                <w:spacing w:val="-6"/>
                <w:kern w:val="21"/>
                <w:szCs w:val="21"/>
              </w:rPr>
            </w:pPr>
            <w:r>
              <w:rPr>
                <w:rFonts w:eastAsia="黑体"/>
                <w:snapToGrid w:val="0"/>
                <w:color w:val="auto"/>
                <w:spacing w:val="-6"/>
                <w:kern w:val="21"/>
                <w:szCs w:val="21"/>
              </w:rPr>
              <w:t>项目</w:t>
            </w:r>
          </w:p>
          <w:p>
            <w:pPr>
              <w:pStyle w:val="187"/>
              <w:spacing w:line="240" w:lineRule="auto"/>
              <w:jc w:val="left"/>
              <w:rPr>
                <w:rFonts w:eastAsia="黑体"/>
                <w:snapToGrid w:val="0"/>
                <w:color w:val="auto"/>
                <w:spacing w:val="-6"/>
                <w:kern w:val="21"/>
                <w:szCs w:val="21"/>
              </w:rPr>
            </w:pPr>
            <w:r>
              <w:rPr>
                <w:rFonts w:eastAsia="黑体"/>
                <w:snapToGrid w:val="0"/>
                <w:color w:val="auto"/>
                <w:spacing w:val="-6"/>
                <w:kern w:val="21"/>
                <w:szCs w:val="21"/>
              </w:rPr>
              <w:t>分类</w:t>
            </w:r>
          </w:p>
        </w:tc>
        <w:tc>
          <w:tcPr>
            <w:tcW w:w="1701" w:type="dxa"/>
            <w:tcMar>
              <w:left w:w="28" w:type="dxa"/>
              <w:right w:w="28" w:type="dxa"/>
            </w:tcMar>
            <w:vAlign w:val="center"/>
          </w:tcPr>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污染物名称</w:t>
            </w:r>
          </w:p>
        </w:tc>
        <w:tc>
          <w:tcPr>
            <w:tcW w:w="1417" w:type="dxa"/>
            <w:tcMar>
              <w:left w:w="28" w:type="dxa"/>
              <w:right w:w="28" w:type="dxa"/>
            </w:tcMar>
            <w:vAlign w:val="center"/>
          </w:tcPr>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现有工程</w:t>
            </w:r>
          </w:p>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排放量（固体废物产生量）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1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①</w:t>
            </w:r>
            <w:r>
              <w:rPr>
                <w:rFonts w:eastAsia="黑体"/>
                <w:snapToGrid w:val="0"/>
                <w:color w:val="auto"/>
                <w:spacing w:val="-6"/>
                <w:kern w:val="21"/>
                <w:szCs w:val="21"/>
              </w:rPr>
              <w:fldChar w:fldCharType="end"/>
            </w:r>
          </w:p>
        </w:tc>
        <w:tc>
          <w:tcPr>
            <w:tcW w:w="1276" w:type="dxa"/>
            <w:tcMar>
              <w:left w:w="28" w:type="dxa"/>
              <w:right w:w="28" w:type="dxa"/>
            </w:tcMar>
            <w:vAlign w:val="center"/>
          </w:tcPr>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现有工程</w:t>
            </w:r>
          </w:p>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许可排放量</w:t>
            </w:r>
          </w:p>
          <w:p>
            <w:pPr>
              <w:pStyle w:val="187"/>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2 \* GB3 \* MERGEFORMAT </w:instrText>
            </w:r>
            <w:r>
              <w:rPr>
                <w:rFonts w:eastAsia="黑体"/>
                <w:snapToGrid w:val="0"/>
                <w:color w:val="auto"/>
                <w:spacing w:val="-6"/>
                <w:kern w:val="21"/>
                <w:szCs w:val="21"/>
              </w:rPr>
              <w:fldChar w:fldCharType="separate"/>
            </w:r>
            <w:r>
              <w:rPr>
                <w:rFonts w:hint="eastAsia" w:ascii="宋体" w:hAnsi="宋体" w:cs="宋体"/>
                <w:snapToGrid w:val="0"/>
                <w:color w:val="auto"/>
                <w:spacing w:val="-6"/>
                <w:kern w:val="21"/>
                <w:szCs w:val="21"/>
              </w:rPr>
              <w:t>②</w:t>
            </w:r>
            <w:r>
              <w:rPr>
                <w:rFonts w:eastAsia="黑体"/>
                <w:snapToGrid w:val="0"/>
                <w:color w:val="auto"/>
                <w:spacing w:val="-6"/>
                <w:kern w:val="21"/>
                <w:szCs w:val="21"/>
              </w:rPr>
              <w:fldChar w:fldCharType="end"/>
            </w:r>
          </w:p>
        </w:tc>
        <w:tc>
          <w:tcPr>
            <w:tcW w:w="1701" w:type="dxa"/>
            <w:tcMar>
              <w:left w:w="28" w:type="dxa"/>
              <w:right w:w="28" w:type="dxa"/>
            </w:tcMar>
            <w:vAlign w:val="center"/>
          </w:tcPr>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在建工程</w:t>
            </w:r>
          </w:p>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排放量（固体废物产生量）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3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③</w:t>
            </w:r>
            <w:r>
              <w:rPr>
                <w:rFonts w:eastAsia="黑体"/>
                <w:snapToGrid w:val="0"/>
                <w:color w:val="auto"/>
                <w:spacing w:val="-6"/>
                <w:kern w:val="21"/>
                <w:szCs w:val="21"/>
              </w:rPr>
              <w:fldChar w:fldCharType="end"/>
            </w:r>
          </w:p>
        </w:tc>
        <w:tc>
          <w:tcPr>
            <w:tcW w:w="1559" w:type="dxa"/>
            <w:tcMar>
              <w:left w:w="28" w:type="dxa"/>
              <w:right w:w="28" w:type="dxa"/>
            </w:tcMar>
            <w:vAlign w:val="center"/>
          </w:tcPr>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本项目</w:t>
            </w:r>
          </w:p>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排放量（固体废物产生量）</w:t>
            </w: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4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④</w:t>
            </w:r>
            <w:r>
              <w:rPr>
                <w:rFonts w:eastAsia="黑体"/>
                <w:snapToGrid w:val="0"/>
                <w:color w:val="auto"/>
                <w:spacing w:val="-6"/>
                <w:kern w:val="21"/>
                <w:szCs w:val="21"/>
              </w:rPr>
              <w:fldChar w:fldCharType="end"/>
            </w:r>
          </w:p>
        </w:tc>
        <w:tc>
          <w:tcPr>
            <w:tcW w:w="1761" w:type="dxa"/>
            <w:tcMar>
              <w:left w:w="28" w:type="dxa"/>
              <w:right w:w="28" w:type="dxa"/>
            </w:tcMar>
            <w:vAlign w:val="center"/>
          </w:tcPr>
          <w:p>
            <w:pPr>
              <w:pStyle w:val="187"/>
              <w:spacing w:line="240" w:lineRule="auto"/>
              <w:rPr>
                <w:rFonts w:eastAsia="黑体"/>
                <w:snapToGrid w:val="0"/>
                <w:color w:val="auto"/>
                <w:spacing w:val="-16"/>
                <w:kern w:val="21"/>
                <w:szCs w:val="21"/>
              </w:rPr>
            </w:pPr>
            <w:r>
              <w:rPr>
                <w:rFonts w:eastAsia="黑体"/>
                <w:snapToGrid w:val="0"/>
                <w:color w:val="auto"/>
                <w:spacing w:val="-16"/>
                <w:kern w:val="21"/>
                <w:szCs w:val="21"/>
              </w:rPr>
              <w:t>以新带老削减量</w:t>
            </w:r>
          </w:p>
          <w:p>
            <w:pPr>
              <w:pStyle w:val="187"/>
              <w:spacing w:line="240" w:lineRule="auto"/>
              <w:rPr>
                <w:rFonts w:eastAsia="黑体"/>
                <w:snapToGrid w:val="0"/>
                <w:color w:val="auto"/>
                <w:spacing w:val="-16"/>
                <w:kern w:val="21"/>
                <w:szCs w:val="21"/>
              </w:rPr>
            </w:pPr>
            <w:r>
              <w:rPr>
                <w:rFonts w:eastAsia="黑体"/>
                <w:snapToGrid w:val="0"/>
                <w:color w:val="auto"/>
                <w:spacing w:val="-16"/>
                <w:kern w:val="21"/>
                <w:szCs w:val="21"/>
              </w:rPr>
              <w:t>（新建项目不填）</w:t>
            </w: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5 \* GB3 \* MERGEFORMAT </w:instrText>
            </w:r>
            <w:r>
              <w:rPr>
                <w:rFonts w:eastAsia="黑体"/>
                <w:snapToGrid w:val="0"/>
                <w:color w:val="auto"/>
                <w:spacing w:val="-16"/>
                <w:kern w:val="21"/>
                <w:szCs w:val="21"/>
              </w:rPr>
              <w:fldChar w:fldCharType="separate"/>
            </w:r>
            <w:r>
              <w:rPr>
                <w:rFonts w:hint="eastAsia" w:ascii="宋体" w:hAnsi="宋体" w:cs="宋体"/>
                <w:color w:val="auto"/>
                <w:szCs w:val="21"/>
              </w:rPr>
              <w:t>⑤</w:t>
            </w:r>
            <w:r>
              <w:rPr>
                <w:rFonts w:eastAsia="黑体"/>
                <w:snapToGrid w:val="0"/>
                <w:color w:val="auto"/>
                <w:spacing w:val="-16"/>
                <w:kern w:val="21"/>
                <w:szCs w:val="21"/>
              </w:rPr>
              <w:fldChar w:fldCharType="end"/>
            </w:r>
          </w:p>
        </w:tc>
        <w:tc>
          <w:tcPr>
            <w:tcW w:w="1959" w:type="dxa"/>
            <w:tcMar>
              <w:left w:w="28" w:type="dxa"/>
              <w:right w:w="28" w:type="dxa"/>
            </w:tcMar>
            <w:vAlign w:val="center"/>
          </w:tcPr>
          <w:p>
            <w:pPr>
              <w:pStyle w:val="187"/>
              <w:spacing w:line="240" w:lineRule="auto"/>
              <w:rPr>
                <w:rFonts w:eastAsia="黑体"/>
                <w:snapToGrid w:val="0"/>
                <w:color w:val="auto"/>
                <w:spacing w:val="-16"/>
                <w:kern w:val="21"/>
                <w:szCs w:val="21"/>
              </w:rPr>
            </w:pPr>
            <w:r>
              <w:rPr>
                <w:rFonts w:eastAsia="黑体"/>
                <w:snapToGrid w:val="0"/>
                <w:color w:val="auto"/>
                <w:spacing w:val="-16"/>
                <w:kern w:val="21"/>
                <w:szCs w:val="21"/>
              </w:rPr>
              <w:t>本项目建成后</w:t>
            </w:r>
          </w:p>
          <w:p>
            <w:pPr>
              <w:pStyle w:val="187"/>
              <w:spacing w:line="240" w:lineRule="auto"/>
              <w:rPr>
                <w:rFonts w:eastAsia="黑体"/>
                <w:snapToGrid w:val="0"/>
                <w:color w:val="auto"/>
                <w:spacing w:val="-16"/>
                <w:kern w:val="21"/>
                <w:szCs w:val="21"/>
              </w:rPr>
            </w:pPr>
            <w:r>
              <w:rPr>
                <w:rFonts w:eastAsia="黑体"/>
                <w:snapToGrid w:val="0"/>
                <w:color w:val="auto"/>
                <w:spacing w:val="-16"/>
                <w:kern w:val="21"/>
                <w:szCs w:val="21"/>
              </w:rPr>
              <w:t>全厂排放量（固体废物产生量）</w:t>
            </w:r>
            <w:r>
              <w:rPr>
                <w:rFonts w:eastAsia="黑体"/>
                <w:snapToGrid w:val="0"/>
                <w:color w:val="auto"/>
                <w:spacing w:val="-16"/>
                <w:kern w:val="21"/>
                <w:szCs w:val="21"/>
              </w:rPr>
              <w:fldChar w:fldCharType="begin"/>
            </w:r>
            <w:r>
              <w:rPr>
                <w:rFonts w:eastAsia="黑体"/>
                <w:snapToGrid w:val="0"/>
                <w:color w:val="auto"/>
                <w:spacing w:val="-16"/>
                <w:kern w:val="21"/>
                <w:szCs w:val="21"/>
              </w:rPr>
              <w:instrText xml:space="preserve"> = 6 \* GB3 \* MERGEFORMAT </w:instrText>
            </w:r>
            <w:r>
              <w:rPr>
                <w:rFonts w:eastAsia="黑体"/>
                <w:snapToGrid w:val="0"/>
                <w:color w:val="auto"/>
                <w:spacing w:val="-16"/>
                <w:kern w:val="21"/>
                <w:szCs w:val="21"/>
              </w:rPr>
              <w:fldChar w:fldCharType="separate"/>
            </w:r>
            <w:r>
              <w:rPr>
                <w:rFonts w:hint="eastAsia" w:ascii="宋体" w:hAnsi="宋体" w:cs="宋体"/>
                <w:color w:val="auto"/>
                <w:szCs w:val="21"/>
              </w:rPr>
              <w:t>⑥</w:t>
            </w:r>
            <w:r>
              <w:rPr>
                <w:rFonts w:eastAsia="黑体"/>
                <w:snapToGrid w:val="0"/>
                <w:color w:val="auto"/>
                <w:spacing w:val="-16"/>
                <w:kern w:val="21"/>
                <w:szCs w:val="21"/>
              </w:rPr>
              <w:fldChar w:fldCharType="end"/>
            </w:r>
          </w:p>
        </w:tc>
        <w:tc>
          <w:tcPr>
            <w:tcW w:w="1186" w:type="dxa"/>
            <w:tcMar>
              <w:left w:w="28" w:type="dxa"/>
              <w:right w:w="28" w:type="dxa"/>
            </w:tcMar>
            <w:vAlign w:val="center"/>
          </w:tcPr>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t>变化量</w:t>
            </w:r>
          </w:p>
          <w:p>
            <w:pPr>
              <w:pStyle w:val="187"/>
              <w:spacing w:line="240" w:lineRule="auto"/>
              <w:rPr>
                <w:rFonts w:eastAsia="黑体"/>
                <w:snapToGrid w:val="0"/>
                <w:color w:val="auto"/>
                <w:spacing w:val="-6"/>
                <w:kern w:val="21"/>
                <w:szCs w:val="21"/>
              </w:rPr>
            </w:pPr>
            <w:r>
              <w:rPr>
                <w:rFonts w:eastAsia="黑体"/>
                <w:snapToGrid w:val="0"/>
                <w:color w:val="auto"/>
                <w:spacing w:val="-6"/>
                <w:kern w:val="21"/>
                <w:szCs w:val="21"/>
              </w:rPr>
              <w:fldChar w:fldCharType="begin"/>
            </w:r>
            <w:r>
              <w:rPr>
                <w:rFonts w:eastAsia="黑体"/>
                <w:snapToGrid w:val="0"/>
                <w:color w:val="auto"/>
                <w:spacing w:val="-6"/>
                <w:kern w:val="21"/>
                <w:szCs w:val="21"/>
              </w:rPr>
              <w:instrText xml:space="preserve"> = 7 \* GB3 \* MERGEFORMAT </w:instrText>
            </w:r>
            <w:r>
              <w:rPr>
                <w:rFonts w:eastAsia="黑体"/>
                <w:snapToGrid w:val="0"/>
                <w:color w:val="auto"/>
                <w:spacing w:val="-6"/>
                <w:kern w:val="21"/>
                <w:szCs w:val="21"/>
              </w:rPr>
              <w:fldChar w:fldCharType="separate"/>
            </w:r>
            <w:r>
              <w:rPr>
                <w:rFonts w:hint="eastAsia" w:ascii="宋体" w:hAnsi="宋体" w:cs="宋体"/>
                <w:color w:val="auto"/>
                <w:szCs w:val="21"/>
              </w:rPr>
              <w:t>⑦</w:t>
            </w:r>
            <w:r>
              <w:rPr>
                <w:rFonts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187"/>
              <w:spacing w:line="240" w:lineRule="auto"/>
              <w:rPr>
                <w:snapToGrid w:val="0"/>
                <w:color w:val="auto"/>
                <w:kern w:val="21"/>
                <w:szCs w:val="21"/>
              </w:rPr>
            </w:pPr>
            <w:r>
              <w:rPr>
                <w:snapToGrid w:val="0"/>
                <w:color w:val="auto"/>
                <w:kern w:val="21"/>
                <w:szCs w:val="21"/>
              </w:rPr>
              <w:t>废气</w:t>
            </w:r>
            <w:r>
              <w:rPr>
                <w:color w:val="auto"/>
                <w:szCs w:val="21"/>
              </w:rPr>
              <w:t>（</w:t>
            </w:r>
            <w:r>
              <w:rPr>
                <w:rFonts w:hint="eastAsia"/>
                <w:color w:val="auto"/>
                <w:szCs w:val="21"/>
              </w:rPr>
              <w:t>t</w:t>
            </w:r>
            <w:r>
              <w:rPr>
                <w:color w:val="auto"/>
                <w:szCs w:val="21"/>
              </w:rPr>
              <w:t>/a）</w:t>
            </w:r>
          </w:p>
        </w:tc>
        <w:tc>
          <w:tcPr>
            <w:tcW w:w="1701" w:type="dxa"/>
            <w:vAlign w:val="center"/>
          </w:tcPr>
          <w:p>
            <w:pPr>
              <w:pStyle w:val="187"/>
              <w:spacing w:line="240" w:lineRule="auto"/>
              <w:rPr>
                <w:snapToGrid w:val="0"/>
                <w:color w:val="auto"/>
                <w:kern w:val="21"/>
                <w:szCs w:val="21"/>
              </w:rPr>
            </w:pPr>
            <w:r>
              <w:rPr>
                <w:snapToGrid w:val="0"/>
                <w:color w:val="auto"/>
                <w:kern w:val="21"/>
                <w:szCs w:val="21"/>
              </w:rPr>
              <w:t>废气量</w:t>
            </w:r>
            <w:r>
              <w:rPr>
                <w:rFonts w:hint="eastAsia"/>
                <w:color w:val="auto"/>
              </w:rPr>
              <w:t>（10</w:t>
            </w:r>
            <w:r>
              <w:rPr>
                <w:rFonts w:hint="eastAsia"/>
                <w:color w:val="auto"/>
                <w:vertAlign w:val="superscript"/>
              </w:rPr>
              <w:t>4</w:t>
            </w:r>
            <w:r>
              <w:rPr>
                <w:rFonts w:hint="eastAsia"/>
                <w:color w:val="auto"/>
              </w:rPr>
              <w:t>m</w:t>
            </w:r>
            <w:r>
              <w:rPr>
                <w:rFonts w:hint="eastAsia"/>
                <w:color w:val="auto"/>
                <w:vertAlign w:val="superscript"/>
              </w:rPr>
              <w:t>3</w:t>
            </w:r>
            <w:r>
              <w:rPr>
                <w:rFonts w:hint="eastAsia"/>
                <w:color w:val="auto"/>
              </w:rPr>
              <w:t>/a）</w:t>
            </w:r>
          </w:p>
        </w:tc>
        <w:tc>
          <w:tcPr>
            <w:tcW w:w="1417" w:type="dxa"/>
            <w:vAlign w:val="center"/>
          </w:tcPr>
          <w:p>
            <w:pPr>
              <w:adjustRightInd w:val="0"/>
              <w:snapToGrid w:val="0"/>
              <w:jc w:val="center"/>
              <w:textAlignment w:val="center"/>
              <w:rPr>
                <w:rFonts w:ascii="Times New Roman" w:hAnsi="Times New Roman"/>
                <w:snapToGrid w:val="0"/>
                <w:color w:val="auto"/>
                <w:kern w:val="21"/>
                <w:szCs w:val="21"/>
              </w:rPr>
            </w:pPr>
            <w:r>
              <w:rPr>
                <w:rFonts w:ascii="Times New Roman" w:hAnsi="Times New Roman"/>
                <w:color w:val="auto"/>
                <w:szCs w:val="21"/>
              </w:rPr>
              <w:t>17081.77</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jc w:val="center"/>
              <w:rPr>
                <w:rFonts w:ascii="Times New Roman" w:hAnsi="Times New Roman"/>
                <w:snapToGrid w:val="0"/>
                <w:color w:val="auto"/>
                <w:kern w:val="21"/>
                <w:szCs w:val="21"/>
              </w:rPr>
            </w:pPr>
            <w:r>
              <w:rPr>
                <w:rFonts w:hint="eastAsia" w:ascii="Times New Roman" w:hAnsi="Times New Roman"/>
                <w:color w:val="auto"/>
                <w:szCs w:val="21"/>
              </w:rPr>
              <w:t>139.18</w:t>
            </w:r>
          </w:p>
        </w:tc>
        <w:tc>
          <w:tcPr>
            <w:tcW w:w="1761" w:type="dxa"/>
            <w:vAlign w:val="center"/>
          </w:tcPr>
          <w:p>
            <w:pPr>
              <w:pStyle w:val="187"/>
              <w:spacing w:line="240" w:lineRule="auto"/>
              <w:rPr>
                <w:snapToGrid w:val="0"/>
                <w:color w:val="auto"/>
                <w:kern w:val="21"/>
                <w:szCs w:val="21"/>
              </w:rPr>
            </w:pPr>
            <w:r>
              <w:rPr>
                <w:rFonts w:hint="eastAsia"/>
                <w:color w:val="auto"/>
                <w:szCs w:val="21"/>
                <w:lang w:val="en-US" w:eastAsia="zh-CN"/>
              </w:rPr>
              <w:t>0</w:t>
            </w:r>
          </w:p>
        </w:tc>
        <w:tc>
          <w:tcPr>
            <w:tcW w:w="1959"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17</w:t>
            </w:r>
            <w:r>
              <w:rPr>
                <w:rFonts w:hint="eastAsia" w:ascii="Times New Roman" w:hAnsi="Times New Roman"/>
                <w:color w:val="auto"/>
                <w:szCs w:val="21"/>
              </w:rPr>
              <w:t>220.95</w:t>
            </w:r>
          </w:p>
        </w:tc>
        <w:tc>
          <w:tcPr>
            <w:tcW w:w="1186" w:type="dxa"/>
            <w:vAlign w:val="center"/>
          </w:tcPr>
          <w:p>
            <w:pPr>
              <w:adjustRightInd w:val="0"/>
              <w:snapToGrid w:val="0"/>
              <w:jc w:val="center"/>
              <w:textAlignment w:val="center"/>
              <w:rPr>
                <w:rFonts w:ascii="Times New Roman" w:hAnsi="Times New Roman"/>
                <w:color w:val="auto"/>
                <w:szCs w:val="21"/>
              </w:rPr>
            </w:pPr>
            <w:r>
              <w:rPr>
                <w:rFonts w:ascii="Times New Roman" w:hAnsi="Times New Roman"/>
                <w:color w:val="auto"/>
                <w:szCs w:val="21"/>
              </w:rPr>
              <w:t>+</w:t>
            </w:r>
            <w:r>
              <w:rPr>
                <w:rFonts w:hint="eastAsia" w:ascii="Times New Roman" w:hAnsi="Times New Roman"/>
                <w:color w:val="auto"/>
                <w:szCs w:val="21"/>
              </w:rPr>
              <w:t>139.18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widowControl w:val="0"/>
              <w:adjustRightInd w:val="0"/>
              <w:jc w:val="center"/>
              <w:rPr>
                <w:rFonts w:ascii="Times New Roman" w:hAnsi="Times New Roman"/>
                <w:snapToGrid w:val="0"/>
                <w:color w:val="auto"/>
                <w:kern w:val="21"/>
                <w:szCs w:val="21"/>
              </w:rPr>
            </w:pPr>
            <w:r>
              <w:rPr>
                <w:rFonts w:ascii="Times New Roman" w:hAnsi="Times New Roman"/>
                <w:snapToGrid w:val="0"/>
                <w:color w:val="auto"/>
                <w:kern w:val="21"/>
                <w:szCs w:val="21"/>
              </w:rPr>
              <w:t>SO</w:t>
            </w:r>
            <w:r>
              <w:rPr>
                <w:rFonts w:ascii="Times New Roman" w:hAnsi="Times New Roman"/>
                <w:snapToGrid w:val="0"/>
                <w:color w:val="auto"/>
                <w:kern w:val="21"/>
                <w:szCs w:val="21"/>
                <w:vertAlign w:val="subscript"/>
              </w:rPr>
              <w:t>2</w:t>
            </w:r>
          </w:p>
        </w:tc>
        <w:tc>
          <w:tcPr>
            <w:tcW w:w="1417" w:type="dxa"/>
            <w:vAlign w:val="center"/>
          </w:tcPr>
          <w:p>
            <w:pPr>
              <w:spacing w:line="320" w:lineRule="exact"/>
              <w:jc w:val="center"/>
              <w:textAlignment w:val="center"/>
              <w:rPr>
                <w:rFonts w:ascii="Times New Roman" w:hAnsi="Times New Roman"/>
                <w:snapToGrid w:val="0"/>
                <w:color w:val="auto"/>
                <w:kern w:val="21"/>
                <w:szCs w:val="21"/>
              </w:rPr>
            </w:pPr>
            <w:r>
              <w:rPr>
                <w:rFonts w:hint="eastAsia" w:ascii="Times New Roman" w:hAnsi="Times New Roman"/>
                <w:color w:val="auto"/>
                <w:sz w:val="22"/>
              </w:rPr>
              <w:t>0.13</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959" w:type="dxa"/>
            <w:vAlign w:val="center"/>
          </w:tcPr>
          <w:p>
            <w:pPr>
              <w:spacing w:line="320" w:lineRule="exact"/>
              <w:jc w:val="center"/>
              <w:textAlignment w:val="center"/>
              <w:rPr>
                <w:rFonts w:ascii="Times New Roman" w:hAnsi="Times New Roman"/>
                <w:snapToGrid w:val="0"/>
                <w:color w:val="auto"/>
                <w:kern w:val="21"/>
                <w:szCs w:val="21"/>
              </w:rPr>
            </w:pPr>
            <w:r>
              <w:rPr>
                <w:rFonts w:hint="eastAsia" w:ascii="Times New Roman" w:hAnsi="Times New Roman"/>
                <w:color w:val="auto"/>
                <w:sz w:val="22"/>
              </w:rPr>
              <w:t>0.13</w:t>
            </w:r>
          </w:p>
        </w:tc>
        <w:tc>
          <w:tcPr>
            <w:tcW w:w="118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widowControl w:val="0"/>
              <w:adjustRightInd w:val="0"/>
              <w:jc w:val="center"/>
              <w:rPr>
                <w:rFonts w:ascii="Times New Roman" w:hAnsi="Times New Roman"/>
                <w:snapToGrid w:val="0"/>
                <w:color w:val="auto"/>
                <w:kern w:val="21"/>
                <w:szCs w:val="21"/>
              </w:rPr>
            </w:pPr>
            <w:r>
              <w:rPr>
                <w:rFonts w:ascii="Times New Roman" w:hAnsi="Times New Roman"/>
                <w:snapToGrid w:val="0"/>
                <w:color w:val="auto"/>
                <w:kern w:val="21"/>
                <w:szCs w:val="21"/>
              </w:rPr>
              <w:t>NO</w:t>
            </w:r>
            <w:r>
              <w:rPr>
                <w:rFonts w:ascii="Times New Roman" w:hAnsi="Times New Roman"/>
                <w:snapToGrid w:val="0"/>
                <w:color w:val="auto"/>
                <w:kern w:val="21"/>
                <w:szCs w:val="21"/>
                <w:vertAlign w:val="subscript"/>
              </w:rPr>
              <w:t>x</w:t>
            </w:r>
          </w:p>
        </w:tc>
        <w:tc>
          <w:tcPr>
            <w:tcW w:w="1417" w:type="dxa"/>
            <w:vAlign w:val="center"/>
          </w:tcPr>
          <w:p>
            <w:pPr>
              <w:spacing w:line="320" w:lineRule="exact"/>
              <w:jc w:val="center"/>
              <w:textAlignment w:val="center"/>
              <w:rPr>
                <w:rFonts w:hint="default" w:ascii="Times New Roman" w:hAnsi="Times New Roman" w:eastAsia="宋体"/>
                <w:snapToGrid w:val="0"/>
                <w:color w:val="auto"/>
                <w:kern w:val="21"/>
                <w:szCs w:val="21"/>
                <w:lang w:val="en-US" w:eastAsia="zh-CN"/>
              </w:rPr>
            </w:pPr>
            <w:r>
              <w:rPr>
                <w:rFonts w:hint="eastAsia" w:ascii="Times New Roman" w:hAnsi="Times New Roman"/>
                <w:color w:val="auto"/>
                <w:sz w:val="22"/>
                <w:lang w:val="en-US" w:eastAsia="zh-CN"/>
              </w:rPr>
              <w:t>6.685</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959" w:type="dxa"/>
            <w:vAlign w:val="center"/>
          </w:tcPr>
          <w:p>
            <w:pPr>
              <w:spacing w:line="320" w:lineRule="exact"/>
              <w:jc w:val="center"/>
              <w:textAlignment w:val="center"/>
              <w:rPr>
                <w:rFonts w:ascii="Times New Roman" w:hAnsi="Times New Roman"/>
                <w:snapToGrid w:val="0"/>
                <w:color w:val="auto"/>
                <w:kern w:val="21"/>
                <w:szCs w:val="21"/>
              </w:rPr>
            </w:pPr>
            <w:r>
              <w:rPr>
                <w:rFonts w:hint="eastAsia" w:ascii="Times New Roman" w:hAnsi="Times New Roman"/>
                <w:color w:val="auto"/>
                <w:sz w:val="22"/>
              </w:rPr>
              <w:t>10.294</w:t>
            </w:r>
          </w:p>
        </w:tc>
        <w:tc>
          <w:tcPr>
            <w:tcW w:w="118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pStyle w:val="187"/>
              <w:spacing w:line="240" w:lineRule="auto"/>
              <w:rPr>
                <w:snapToGrid w:val="0"/>
                <w:color w:val="auto"/>
                <w:kern w:val="21"/>
                <w:szCs w:val="21"/>
              </w:rPr>
            </w:pPr>
            <w:r>
              <w:rPr>
                <w:snapToGrid w:val="0"/>
                <w:color w:val="auto"/>
                <w:kern w:val="21"/>
                <w:szCs w:val="21"/>
              </w:rPr>
              <w:t>颗粒物</w:t>
            </w:r>
          </w:p>
        </w:tc>
        <w:tc>
          <w:tcPr>
            <w:tcW w:w="1417" w:type="dxa"/>
            <w:vAlign w:val="center"/>
          </w:tcPr>
          <w:p>
            <w:pPr>
              <w:spacing w:line="320" w:lineRule="exact"/>
              <w:jc w:val="center"/>
              <w:textAlignment w:val="center"/>
              <w:rPr>
                <w:rFonts w:ascii="Times New Roman" w:hAnsi="Times New Roman"/>
                <w:snapToGrid w:val="0"/>
                <w:color w:val="auto"/>
                <w:kern w:val="21"/>
                <w:szCs w:val="21"/>
              </w:rPr>
            </w:pPr>
            <w:r>
              <w:rPr>
                <w:rFonts w:hint="eastAsia" w:ascii="Times New Roman" w:hAnsi="Times New Roman"/>
                <w:color w:val="auto"/>
                <w:sz w:val="22"/>
              </w:rPr>
              <w:t>1.666</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959" w:type="dxa"/>
            <w:vAlign w:val="center"/>
          </w:tcPr>
          <w:p>
            <w:pPr>
              <w:spacing w:line="320" w:lineRule="exact"/>
              <w:jc w:val="center"/>
              <w:textAlignment w:val="center"/>
              <w:rPr>
                <w:rFonts w:ascii="Times New Roman" w:hAnsi="Times New Roman"/>
                <w:snapToGrid w:val="0"/>
                <w:color w:val="auto"/>
                <w:kern w:val="21"/>
                <w:szCs w:val="21"/>
              </w:rPr>
            </w:pPr>
            <w:r>
              <w:rPr>
                <w:rFonts w:hint="eastAsia" w:ascii="Times New Roman" w:hAnsi="Times New Roman"/>
                <w:color w:val="auto"/>
                <w:sz w:val="22"/>
              </w:rPr>
              <w:t>1.666</w:t>
            </w:r>
          </w:p>
        </w:tc>
        <w:tc>
          <w:tcPr>
            <w:tcW w:w="118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pStyle w:val="187"/>
              <w:spacing w:line="240" w:lineRule="auto"/>
              <w:rPr>
                <w:snapToGrid w:val="0"/>
                <w:color w:val="auto"/>
                <w:kern w:val="21"/>
                <w:szCs w:val="21"/>
              </w:rPr>
            </w:pPr>
            <w:r>
              <w:rPr>
                <w:snapToGrid w:val="0"/>
                <w:color w:val="auto"/>
                <w:kern w:val="21"/>
                <w:szCs w:val="21"/>
              </w:rPr>
              <w:t>非甲烷总烃</w:t>
            </w:r>
          </w:p>
        </w:tc>
        <w:tc>
          <w:tcPr>
            <w:tcW w:w="1417" w:type="dxa"/>
            <w:vAlign w:val="center"/>
          </w:tcPr>
          <w:p>
            <w:pPr>
              <w:adjustRightInd w:val="0"/>
              <w:snapToGrid w:val="0"/>
              <w:jc w:val="center"/>
              <w:textAlignment w:val="center"/>
              <w:rPr>
                <w:rFonts w:ascii="Times New Roman" w:hAnsi="Times New Roman"/>
                <w:snapToGrid w:val="0"/>
                <w:color w:val="auto"/>
                <w:kern w:val="21"/>
                <w:szCs w:val="21"/>
              </w:rPr>
            </w:pPr>
            <w:r>
              <w:rPr>
                <w:rFonts w:ascii="Times New Roman" w:hAnsi="Times New Roman"/>
                <w:color w:val="auto"/>
                <w:szCs w:val="21"/>
              </w:rPr>
              <w:t>1.38</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959" w:type="dxa"/>
            <w:vAlign w:val="center"/>
          </w:tcPr>
          <w:p>
            <w:pPr>
              <w:adjustRightInd w:val="0"/>
              <w:snapToGrid w:val="0"/>
              <w:jc w:val="center"/>
              <w:textAlignment w:val="center"/>
              <w:rPr>
                <w:rFonts w:ascii="Times New Roman" w:hAnsi="Times New Roman"/>
                <w:snapToGrid w:val="0"/>
                <w:color w:val="auto"/>
                <w:kern w:val="21"/>
                <w:szCs w:val="21"/>
              </w:rPr>
            </w:pPr>
            <w:r>
              <w:rPr>
                <w:rFonts w:ascii="Times New Roman" w:hAnsi="Times New Roman"/>
                <w:color w:val="auto"/>
                <w:szCs w:val="21"/>
              </w:rPr>
              <w:t>1.38</w:t>
            </w:r>
          </w:p>
        </w:tc>
        <w:tc>
          <w:tcPr>
            <w:tcW w:w="118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187"/>
              <w:spacing w:line="240" w:lineRule="auto"/>
              <w:rPr>
                <w:snapToGrid w:val="0"/>
                <w:color w:val="auto"/>
                <w:kern w:val="21"/>
                <w:szCs w:val="21"/>
              </w:rPr>
            </w:pPr>
            <w:r>
              <w:rPr>
                <w:snapToGrid w:val="0"/>
                <w:color w:val="auto"/>
                <w:kern w:val="21"/>
                <w:szCs w:val="21"/>
              </w:rPr>
              <w:t>废水（t/a）</w:t>
            </w:r>
          </w:p>
        </w:tc>
        <w:tc>
          <w:tcPr>
            <w:tcW w:w="1701" w:type="dxa"/>
            <w:vAlign w:val="center"/>
          </w:tcPr>
          <w:p>
            <w:pPr>
              <w:pStyle w:val="187"/>
              <w:spacing w:line="240" w:lineRule="auto"/>
              <w:rPr>
                <w:snapToGrid w:val="0"/>
                <w:color w:val="auto"/>
                <w:kern w:val="21"/>
                <w:szCs w:val="21"/>
              </w:rPr>
            </w:pPr>
            <w:r>
              <w:rPr>
                <w:color w:val="auto"/>
                <w:kern w:val="0"/>
                <w:szCs w:val="21"/>
              </w:rPr>
              <w:t>COD</w:t>
            </w:r>
          </w:p>
        </w:tc>
        <w:tc>
          <w:tcPr>
            <w:tcW w:w="141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761"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9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186"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color w:val="auto"/>
                <w:kern w:val="0"/>
                <w:szCs w:val="21"/>
              </w:rPr>
            </w:pPr>
            <w:r>
              <w:rPr>
                <w:rFonts w:ascii="Times New Roman" w:hAnsi="Times New Roman"/>
                <w:color w:val="auto"/>
                <w:kern w:val="0"/>
                <w:szCs w:val="21"/>
              </w:rPr>
              <w:t>BOD</w:t>
            </w:r>
            <w:r>
              <w:rPr>
                <w:rFonts w:ascii="Times New Roman" w:hAnsi="Times New Roman"/>
                <w:color w:val="auto"/>
                <w:kern w:val="0"/>
                <w:szCs w:val="21"/>
                <w:vertAlign w:val="subscript"/>
              </w:rPr>
              <w:t>5</w:t>
            </w:r>
          </w:p>
        </w:tc>
        <w:tc>
          <w:tcPr>
            <w:tcW w:w="141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761"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9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186"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color w:val="auto"/>
                <w:kern w:val="0"/>
                <w:szCs w:val="21"/>
              </w:rPr>
            </w:pPr>
            <w:r>
              <w:rPr>
                <w:rFonts w:ascii="Times New Roman" w:hAnsi="Times New Roman"/>
                <w:color w:val="auto"/>
                <w:kern w:val="0"/>
                <w:szCs w:val="21"/>
              </w:rPr>
              <w:t>SS</w:t>
            </w:r>
          </w:p>
        </w:tc>
        <w:tc>
          <w:tcPr>
            <w:tcW w:w="141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761"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9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186"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adjustRightInd w:val="0"/>
              <w:snapToGrid w:val="0"/>
              <w:jc w:val="center"/>
              <w:rPr>
                <w:rFonts w:ascii="Times New Roman" w:hAnsi="Times New Roman"/>
                <w:snapToGrid w:val="0"/>
                <w:color w:val="auto"/>
                <w:kern w:val="21"/>
                <w:szCs w:val="21"/>
              </w:rPr>
            </w:pPr>
            <w:r>
              <w:rPr>
                <w:rFonts w:ascii="Times New Roman" w:hAnsi="Times New Roman"/>
                <w:color w:val="auto"/>
                <w:szCs w:val="21"/>
              </w:rPr>
              <w:t>NH</w:t>
            </w:r>
            <w:r>
              <w:rPr>
                <w:rFonts w:ascii="Times New Roman" w:hAnsi="Times New Roman"/>
                <w:color w:val="auto"/>
                <w:szCs w:val="21"/>
                <w:vertAlign w:val="subscript"/>
              </w:rPr>
              <w:t>3</w:t>
            </w:r>
            <w:r>
              <w:rPr>
                <w:rFonts w:ascii="Times New Roman" w:hAnsi="Times New Roman"/>
                <w:color w:val="auto"/>
                <w:szCs w:val="21"/>
              </w:rPr>
              <w:t>-N</w:t>
            </w:r>
          </w:p>
        </w:tc>
        <w:tc>
          <w:tcPr>
            <w:tcW w:w="141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761"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959"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186" w:type="dxa"/>
            <w:vAlign w:val="center"/>
          </w:tcPr>
          <w:p>
            <w:pPr>
              <w:spacing w:line="280" w:lineRule="exact"/>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87"/>
              <w:spacing w:line="240" w:lineRule="auto"/>
              <w:rPr>
                <w:snapToGrid w:val="0"/>
                <w:color w:val="auto"/>
                <w:kern w:val="21"/>
                <w:szCs w:val="21"/>
              </w:rPr>
            </w:pPr>
          </w:p>
        </w:tc>
        <w:tc>
          <w:tcPr>
            <w:tcW w:w="1701" w:type="dxa"/>
            <w:vAlign w:val="center"/>
          </w:tcPr>
          <w:p>
            <w:pPr>
              <w:adjustRightInd w:val="0"/>
              <w:snapToGrid w:val="0"/>
              <w:jc w:val="center"/>
              <w:rPr>
                <w:rFonts w:ascii="Times New Roman" w:hAnsi="Times New Roman"/>
                <w:snapToGrid w:val="0"/>
                <w:color w:val="auto"/>
                <w:kern w:val="21"/>
                <w:szCs w:val="21"/>
              </w:rPr>
            </w:pPr>
            <w:r>
              <w:rPr>
                <w:rFonts w:ascii="Times New Roman" w:hAnsi="Times New Roman"/>
                <w:color w:val="auto"/>
                <w:szCs w:val="21"/>
              </w:rPr>
              <w:t>石油类</w:t>
            </w:r>
          </w:p>
        </w:tc>
        <w:tc>
          <w:tcPr>
            <w:tcW w:w="1417" w:type="dxa"/>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0</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76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959"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c>
          <w:tcPr>
            <w:tcW w:w="1186"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588" w:type="dxa"/>
            <w:vAlign w:val="center"/>
          </w:tcPr>
          <w:p>
            <w:pPr>
              <w:pStyle w:val="187"/>
              <w:spacing w:line="240" w:lineRule="auto"/>
              <w:rPr>
                <w:snapToGrid w:val="0"/>
                <w:color w:val="auto"/>
                <w:kern w:val="21"/>
                <w:szCs w:val="21"/>
              </w:rPr>
            </w:pPr>
            <w:r>
              <w:rPr>
                <w:snapToGrid w:val="0"/>
                <w:color w:val="auto"/>
                <w:kern w:val="21"/>
                <w:szCs w:val="21"/>
              </w:rPr>
              <w:t>一般工业</w:t>
            </w:r>
          </w:p>
          <w:p>
            <w:pPr>
              <w:pStyle w:val="187"/>
              <w:spacing w:line="240" w:lineRule="auto"/>
              <w:rPr>
                <w:snapToGrid w:val="0"/>
                <w:color w:val="auto"/>
                <w:kern w:val="21"/>
                <w:szCs w:val="21"/>
              </w:rPr>
            </w:pPr>
            <w:r>
              <w:rPr>
                <w:snapToGrid w:val="0"/>
                <w:color w:val="auto"/>
                <w:kern w:val="21"/>
                <w:szCs w:val="21"/>
              </w:rPr>
              <w:t>固体废物（t/a）</w:t>
            </w:r>
          </w:p>
        </w:tc>
        <w:tc>
          <w:tcPr>
            <w:tcW w:w="1701" w:type="dxa"/>
            <w:vAlign w:val="center"/>
          </w:tcPr>
          <w:p>
            <w:pPr>
              <w:pStyle w:val="187"/>
              <w:spacing w:line="240" w:lineRule="auto"/>
              <w:rPr>
                <w:snapToGrid w:val="0"/>
                <w:color w:val="auto"/>
                <w:kern w:val="21"/>
                <w:szCs w:val="21"/>
              </w:rPr>
            </w:pPr>
            <w:r>
              <w:rPr>
                <w:rFonts w:hint="eastAsia"/>
                <w:snapToGrid w:val="0"/>
                <w:color w:val="auto"/>
                <w:kern w:val="21"/>
                <w:szCs w:val="21"/>
              </w:rPr>
              <w:t>/</w:t>
            </w:r>
          </w:p>
        </w:tc>
        <w:tc>
          <w:tcPr>
            <w:tcW w:w="1417" w:type="dxa"/>
            <w:vAlign w:val="center"/>
          </w:tcPr>
          <w:p>
            <w:pPr>
              <w:adjustRightInd w:val="0"/>
              <w:snapToGrid w:val="0"/>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21</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187"/>
              <w:spacing w:line="240" w:lineRule="auto"/>
              <w:rPr>
                <w:snapToGrid w:val="0"/>
                <w:color w:val="auto"/>
                <w:kern w:val="21"/>
                <w:szCs w:val="21"/>
              </w:rPr>
            </w:pPr>
            <w:r>
              <w:rPr>
                <w:rFonts w:hint="eastAsia"/>
                <w:snapToGrid w:val="0"/>
                <w:color w:val="auto"/>
                <w:kern w:val="21"/>
                <w:szCs w:val="21"/>
              </w:rPr>
              <w:t>0</w:t>
            </w:r>
          </w:p>
        </w:tc>
        <w:tc>
          <w:tcPr>
            <w:tcW w:w="1761" w:type="dxa"/>
            <w:vAlign w:val="center"/>
          </w:tcPr>
          <w:p>
            <w:pPr>
              <w:jc w:val="center"/>
              <w:rPr>
                <w:rFonts w:ascii="Times New Roman" w:hAnsi="Times New Roman"/>
                <w:snapToGrid w:val="0"/>
                <w:color w:val="auto"/>
                <w:kern w:val="21"/>
                <w:szCs w:val="21"/>
              </w:rPr>
            </w:pPr>
            <w:r>
              <w:rPr>
                <w:rFonts w:hint="eastAsia" w:ascii="Times New Roman" w:hAnsi="Times New Roman"/>
                <w:snapToGrid w:val="0"/>
                <w:color w:val="auto"/>
                <w:kern w:val="21"/>
                <w:szCs w:val="21"/>
              </w:rPr>
              <w:t>0</w:t>
            </w:r>
          </w:p>
        </w:tc>
        <w:tc>
          <w:tcPr>
            <w:tcW w:w="1959" w:type="dxa"/>
            <w:vAlign w:val="center"/>
          </w:tcPr>
          <w:p>
            <w:pPr>
              <w:pStyle w:val="187"/>
              <w:spacing w:line="240" w:lineRule="auto"/>
              <w:rPr>
                <w:rFonts w:hint="default" w:eastAsia="宋体"/>
                <w:snapToGrid w:val="0"/>
                <w:color w:val="auto"/>
                <w:kern w:val="21"/>
                <w:szCs w:val="21"/>
                <w:lang w:val="en-US" w:eastAsia="zh-CN"/>
              </w:rPr>
            </w:pPr>
            <w:r>
              <w:rPr>
                <w:rFonts w:hint="eastAsia"/>
                <w:snapToGrid w:val="0"/>
                <w:color w:val="auto"/>
                <w:kern w:val="21"/>
                <w:szCs w:val="21"/>
                <w:lang w:val="en-US" w:eastAsia="zh-CN"/>
              </w:rPr>
              <w:t>21</w:t>
            </w:r>
          </w:p>
        </w:tc>
        <w:tc>
          <w:tcPr>
            <w:tcW w:w="1186" w:type="dxa"/>
            <w:vAlign w:val="center"/>
          </w:tcPr>
          <w:p>
            <w:pPr>
              <w:pStyle w:val="187"/>
              <w:spacing w:line="240" w:lineRule="auto"/>
              <w:rPr>
                <w:snapToGrid w:val="0"/>
                <w:color w:val="auto"/>
                <w:kern w:val="21"/>
                <w:szCs w:val="21"/>
              </w:rPr>
            </w:pPr>
            <w:r>
              <w:rPr>
                <w:rFonts w:hint="eastAsia"/>
                <w:snapToGrid w:val="0"/>
                <w:color w:val="auto"/>
                <w:kern w:val="21"/>
                <w:szCs w:val="21"/>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187"/>
              <w:spacing w:line="240" w:lineRule="auto"/>
              <w:rPr>
                <w:snapToGrid w:val="0"/>
                <w:color w:val="auto"/>
                <w:kern w:val="21"/>
                <w:szCs w:val="21"/>
              </w:rPr>
            </w:pPr>
            <w:r>
              <w:rPr>
                <w:snapToGrid w:val="0"/>
                <w:color w:val="auto"/>
                <w:kern w:val="21"/>
                <w:szCs w:val="21"/>
              </w:rPr>
              <w:t>危险废物（t/a）</w:t>
            </w:r>
          </w:p>
        </w:tc>
        <w:tc>
          <w:tcPr>
            <w:tcW w:w="1701" w:type="dxa"/>
            <w:vAlign w:val="center"/>
          </w:tcPr>
          <w:p>
            <w:pPr>
              <w:pStyle w:val="187"/>
              <w:spacing w:line="240" w:lineRule="auto"/>
              <w:rPr>
                <w:rFonts w:hint="eastAsia" w:eastAsia="宋体"/>
                <w:snapToGrid w:val="0"/>
                <w:color w:val="auto"/>
                <w:kern w:val="21"/>
                <w:szCs w:val="21"/>
                <w:lang w:val="en-US" w:eastAsia="zh-CN"/>
              </w:rPr>
            </w:pPr>
            <w:r>
              <w:rPr>
                <w:rFonts w:hint="eastAsia"/>
                <w:snapToGrid w:val="0"/>
                <w:color w:val="auto"/>
                <w:kern w:val="21"/>
                <w:szCs w:val="21"/>
                <w:lang w:val="en-US" w:eastAsia="zh-CN"/>
              </w:rPr>
              <w:t>/</w:t>
            </w:r>
          </w:p>
        </w:tc>
        <w:tc>
          <w:tcPr>
            <w:tcW w:w="1417" w:type="dxa"/>
            <w:vAlign w:val="center"/>
          </w:tcPr>
          <w:p>
            <w:pPr>
              <w:pStyle w:val="187"/>
              <w:spacing w:line="240" w:lineRule="auto"/>
              <w:rPr>
                <w:rFonts w:hint="default" w:eastAsia="宋体"/>
                <w:snapToGrid w:val="0"/>
                <w:color w:val="auto"/>
                <w:kern w:val="21"/>
                <w:szCs w:val="21"/>
                <w:lang w:val="en-US" w:eastAsia="zh-CN"/>
              </w:rPr>
            </w:pPr>
            <w:r>
              <w:rPr>
                <w:rFonts w:hint="eastAsia"/>
                <w:snapToGrid w:val="0"/>
                <w:color w:val="auto"/>
                <w:kern w:val="21"/>
                <w:szCs w:val="21"/>
                <w:lang w:val="en-US" w:eastAsia="zh-CN"/>
              </w:rPr>
              <w:t>81</w:t>
            </w:r>
          </w:p>
        </w:tc>
        <w:tc>
          <w:tcPr>
            <w:tcW w:w="1276" w:type="dxa"/>
            <w:vAlign w:val="center"/>
          </w:tcPr>
          <w:p>
            <w:pPr>
              <w:pStyle w:val="187"/>
              <w:spacing w:line="240" w:lineRule="auto"/>
              <w:rPr>
                <w:snapToGrid w:val="0"/>
                <w:color w:val="auto"/>
                <w:kern w:val="21"/>
                <w:szCs w:val="21"/>
              </w:rPr>
            </w:pPr>
          </w:p>
        </w:tc>
        <w:tc>
          <w:tcPr>
            <w:tcW w:w="1701" w:type="dxa"/>
            <w:vAlign w:val="center"/>
          </w:tcPr>
          <w:p>
            <w:pPr>
              <w:jc w:val="center"/>
              <w:rPr>
                <w:rFonts w:ascii="Times New Roman" w:hAnsi="Times New Roman"/>
                <w:snapToGrid w:val="0"/>
                <w:color w:val="auto"/>
                <w:kern w:val="21"/>
                <w:szCs w:val="21"/>
              </w:rPr>
            </w:pPr>
            <w:r>
              <w:rPr>
                <w:rFonts w:ascii="Times New Roman" w:hAnsi="Times New Roman"/>
                <w:snapToGrid w:val="0"/>
                <w:color w:val="auto"/>
                <w:kern w:val="21"/>
                <w:szCs w:val="21"/>
              </w:rPr>
              <w:t>/</w:t>
            </w:r>
          </w:p>
        </w:tc>
        <w:tc>
          <w:tcPr>
            <w:tcW w:w="1559" w:type="dxa"/>
            <w:vAlign w:val="center"/>
          </w:tcPr>
          <w:p>
            <w:pPr>
              <w:pStyle w:val="187"/>
              <w:spacing w:line="240" w:lineRule="auto"/>
              <w:rPr>
                <w:rFonts w:hint="default" w:eastAsia="宋体"/>
                <w:snapToGrid w:val="0"/>
                <w:color w:val="auto"/>
                <w:kern w:val="21"/>
                <w:szCs w:val="21"/>
                <w:lang w:val="en-US" w:eastAsia="zh-CN"/>
              </w:rPr>
            </w:pPr>
            <w:r>
              <w:rPr>
                <w:rFonts w:hint="eastAsia"/>
                <w:snapToGrid w:val="0"/>
                <w:color w:val="auto"/>
                <w:kern w:val="21"/>
                <w:szCs w:val="21"/>
                <w:lang w:val="en-US" w:eastAsia="zh-CN"/>
              </w:rPr>
              <w:t>3.4415</w:t>
            </w:r>
          </w:p>
        </w:tc>
        <w:tc>
          <w:tcPr>
            <w:tcW w:w="1761" w:type="dxa"/>
            <w:vAlign w:val="center"/>
          </w:tcPr>
          <w:p>
            <w:pPr>
              <w:pStyle w:val="187"/>
              <w:spacing w:line="240" w:lineRule="auto"/>
              <w:rPr>
                <w:snapToGrid w:val="0"/>
                <w:color w:val="auto"/>
                <w:kern w:val="21"/>
                <w:szCs w:val="21"/>
              </w:rPr>
            </w:pPr>
            <w:r>
              <w:rPr>
                <w:rFonts w:hint="eastAsia"/>
                <w:snapToGrid w:val="0"/>
                <w:color w:val="auto"/>
                <w:kern w:val="21"/>
                <w:szCs w:val="21"/>
              </w:rPr>
              <w:t>0</w:t>
            </w:r>
          </w:p>
        </w:tc>
        <w:tc>
          <w:tcPr>
            <w:tcW w:w="1959" w:type="dxa"/>
            <w:vAlign w:val="center"/>
          </w:tcPr>
          <w:p>
            <w:pPr>
              <w:pStyle w:val="187"/>
              <w:spacing w:line="240" w:lineRule="auto"/>
              <w:rPr>
                <w:rFonts w:hint="default" w:eastAsia="宋体"/>
                <w:snapToGrid w:val="0"/>
                <w:color w:val="auto"/>
                <w:kern w:val="21"/>
                <w:szCs w:val="21"/>
                <w:lang w:val="en-US" w:eastAsia="zh-CN"/>
              </w:rPr>
            </w:pPr>
            <w:r>
              <w:rPr>
                <w:rFonts w:hint="eastAsia"/>
                <w:snapToGrid w:val="0"/>
                <w:color w:val="auto"/>
                <w:kern w:val="21"/>
                <w:szCs w:val="21"/>
                <w:lang w:val="en-US" w:eastAsia="zh-CN"/>
              </w:rPr>
              <w:t>84.4415</w:t>
            </w:r>
          </w:p>
        </w:tc>
        <w:tc>
          <w:tcPr>
            <w:tcW w:w="1186" w:type="dxa"/>
            <w:vAlign w:val="center"/>
          </w:tcPr>
          <w:p>
            <w:pPr>
              <w:pStyle w:val="187"/>
              <w:spacing w:line="240" w:lineRule="auto"/>
              <w:rPr>
                <w:rFonts w:hint="eastAsia" w:eastAsia="宋体"/>
                <w:snapToGrid w:val="0"/>
                <w:color w:val="auto"/>
                <w:kern w:val="21"/>
                <w:szCs w:val="21"/>
                <w:lang w:eastAsia="zh-CN"/>
              </w:rPr>
            </w:pPr>
            <w:r>
              <w:rPr>
                <w:rFonts w:hint="eastAsia"/>
                <w:snapToGrid w:val="0"/>
                <w:color w:val="auto"/>
                <w:kern w:val="21"/>
                <w:szCs w:val="21"/>
                <w:lang w:val="en-US" w:eastAsia="zh-CN"/>
              </w:rPr>
              <w:t>+3.4415</w:t>
            </w:r>
          </w:p>
        </w:tc>
      </w:tr>
    </w:tbl>
    <w:p>
      <w:pPr>
        <w:widowControl w:val="0"/>
        <w:adjustRightInd w:val="0"/>
        <w:snapToGrid w:val="0"/>
        <w:rPr>
          <w:rFonts w:ascii="Times New Roman" w:hAnsi="Times New Roman"/>
          <w:snapToGrid w:val="0"/>
          <w:color w:val="auto"/>
          <w:spacing w:val="-6"/>
          <w:kern w:val="21"/>
          <w:szCs w:val="21"/>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ascii="宋体" w:hAnsi="宋体"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ascii="宋体" w:hAnsi="宋体" w:cs="宋体"/>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hint="eastAsia" w:ascii="宋体" w:hAnsi="宋体" w:cs="宋体"/>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hint="eastAsia" w:ascii="宋体" w:hAnsi="宋体" w:cs="宋体"/>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hint="eastAsia" w:ascii="宋体" w:hAnsi="宋体" w:cs="宋体"/>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hint="eastAsia" w:ascii="宋体" w:hAnsi="宋体" w:cs="宋体"/>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ascii="宋体" w:hAnsi="宋体"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ascii="宋体" w:hAnsi="宋体" w:cs="宋体"/>
          <w:color w:val="auto"/>
          <w:szCs w:val="21"/>
        </w:rPr>
        <w:t>①</w:t>
      </w:r>
      <w:r>
        <w:rPr>
          <w:rFonts w:ascii="Times New Roman" w:hAnsi="Times New Roman"/>
          <w:snapToGrid w:val="0"/>
          <w:color w:val="auto"/>
          <w:spacing w:val="-6"/>
          <w:kern w:val="21"/>
          <w:szCs w:val="21"/>
        </w:rPr>
        <w:fldChar w:fldCharType="end"/>
      </w:r>
    </w:p>
    <w:sectPr>
      <w:footerReference r:id="rId8" w:type="default"/>
      <w:pgSz w:w="16838" w:h="11906" w:orient="landscape"/>
      <w:pgMar w:top="1191" w:right="1418" w:bottom="1191" w:left="1418" w:header="851" w:footer="992" w:gutter="0"/>
      <w:pgNumType w:fmt="numberInDash"/>
      <w:cols w:space="720" w:num="1"/>
      <w:docGrid w:type="lines" w:linePitch="34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serif">
    <w:altName w:val="Segoe Print"/>
    <w:panose1 w:val="00000000000000000000"/>
    <w:charset w:val="00"/>
    <w:family w:val="auto"/>
    <w:pitch w:val="default"/>
    <w:sig w:usb0="00000000" w:usb1="00000000" w:usb2="00000000" w:usb3="00000000" w:csb0="00000000" w:csb1="00000000"/>
  </w:font>
  <w:font w:name="Arial Black">
    <w:panose1 w:val="020B0A04020102020204"/>
    <w:charset w:val="00"/>
    <w:family w:val="swiss"/>
    <w:pitch w:val="default"/>
    <w:sig w:usb0="A00002AF" w:usb1="400078FB" w:usb2="00000000" w:usb3="00000000" w:csb0="6000009F" w:csb1="DFD70000"/>
  </w:font>
  <w:font w:name="Geneva">
    <w:altName w:val="Arial"/>
    <w:panose1 w:val="00000000000000000000"/>
    <w:charset w:val="00"/>
    <w:family w:val="swiss"/>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00000" w:csb1="00000000"/>
  </w:font>
  <w:font w:name="Verdana, Arial, 宋体">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五">
    <w:altName w:val="黑体"/>
    <w:panose1 w:val="00000000000000000000"/>
    <w:charset w:val="86"/>
    <w:family w:val="auto"/>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HiddenHorzOCl">
    <w:altName w:val="微软雅黑"/>
    <w:panose1 w:val="00000000000000000000"/>
    <w:charset w:val="86"/>
    <w:family w:val="swiss"/>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_GB2312">
    <w:altName w:val="Times New Roman"/>
    <w:panose1 w:val="00000000000000000000"/>
    <w:charset w:val="00"/>
    <w:family w:val="roman"/>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ngLiU">
    <w:altName w:val="PMingLiU-ExtB"/>
    <w:panose1 w:val="02020509000000000000"/>
    <w:charset w:val="88"/>
    <w:family w:val="modern"/>
    <w:pitch w:val="default"/>
    <w:sig w:usb0="00000000" w:usb1="00000000" w:usb2="00000016" w:usb3="00000000" w:csb0="00100001" w:csb1="0000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Georgia">
    <w:panose1 w:val="02040502050405020303"/>
    <w:charset w:val="00"/>
    <w:family w:val="roman"/>
    <w:pitch w:val="default"/>
    <w:sig w:usb0="00000287" w:usb1="00000000" w:usb2="00000000" w:usb3="00000000" w:csb0="2000009F" w:csb1="00000000"/>
  </w:font>
  <w:font w:name="TimesNewRomanPSMT">
    <w:altName w:val="Times New Roman"/>
    <w:panose1 w:val="00000000000000000000"/>
    <w:charset w:val="80"/>
    <w:family w:val="auto"/>
    <w:pitch w:val="default"/>
    <w:sig w:usb0="00000000" w:usb1="00000000" w:usb2="00000000" w:usb3="00000000" w:csb0="00020000" w:csb1="00000000"/>
  </w:font>
  <w:font w:name="幼圆">
    <w:panose1 w:val="02010509060101010101"/>
    <w:charset w:val="86"/>
    <w:family w:val="modern"/>
    <w:pitch w:val="default"/>
    <w:sig w:usb0="00000001" w:usb1="080E0000" w:usb2="00000000" w:usb3="00000000" w:csb0="00040000" w:csb1="00000000"/>
  </w:font>
  <w:font w:name="方正宋三简体">
    <w:altName w:val="宋体"/>
    <w:panose1 w:val="00000000000000000000"/>
    <w:charset w:val="86"/>
    <w:family w:val="script"/>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黑体_GB2312">
    <w:altName w:val="黑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Garamond">
    <w:panose1 w:val="02020404030301010803"/>
    <w:charset w:val="00"/>
    <w:family w:val="roman"/>
    <w:pitch w:val="default"/>
    <w:sig w:usb0="00000287" w:usb1="00000000" w:usb2="00000000" w:usb3="00000000" w:csb0="0000009F" w:csb1="DFD70000"/>
  </w:font>
  <w:font w:name="隶书">
    <w:panose1 w:val="02010509060101010101"/>
    <w:charset w:val="86"/>
    <w:family w:val="modern"/>
    <w:pitch w:val="default"/>
    <w:sig w:usb0="00000001" w:usb1="080E0000" w:usb2="00000000" w:usb3="00000000" w:csb0="00040000" w:csb1="00000000"/>
  </w:font>
  <w:font w:name="Franklin Gothic Medium">
    <w:panose1 w:val="020B0603020102020204"/>
    <w:charset w:val="00"/>
    <w:family w:val="swiss"/>
    <w:pitch w:val="default"/>
    <w:sig w:usb0="00000287" w:usb1="00000000" w:usb2="00000000" w:usb3="00000000" w:csb0="2000009F" w:csb1="DFD70000"/>
  </w:font>
  <w:font w:name="Candara">
    <w:panose1 w:val="020E0502030303020204"/>
    <w:charset w:val="00"/>
    <w:family w:val="swiss"/>
    <w:pitch w:val="default"/>
    <w:sig w:usb0="A00002EF" w:usb1="4000A44B" w:usb2="00000000" w:usb3="00000000" w:csb0="2000019F" w:csb1="00000000"/>
  </w:font>
  <w:font w:name="Sylfaen">
    <w:panose1 w:val="010A0502050306030303"/>
    <w:charset w:val="00"/>
    <w:family w:val="roman"/>
    <w:pitch w:val="default"/>
    <w:sig w:usb0="04000687" w:usb1="00000000" w:usb2="00000000" w:usb3="00000000" w:csb0="2000009F" w:csb1="00000000"/>
  </w:font>
  <w:font w:name="AngsanaUPC">
    <w:altName w:val="Times New Roman"/>
    <w:panose1 w:val="02020603050405020304"/>
    <w:charset w:val="00"/>
    <w:family w:val="roman"/>
    <w:pitch w:val="default"/>
    <w:sig w:usb0="00000000" w:usb1="00000000" w:usb2="00000000" w:usb3="00000000" w:csb0="0001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jc w:val="center"/>
      <w:rPr>
        <w:sz w:val="21"/>
        <w:szCs w:val="21"/>
      </w:rPr>
    </w:pPr>
    <w:sdt>
      <w:sdtPr>
        <w:id w:val="-1435515119"/>
      </w:sdtPr>
      <w:sdtEndPr>
        <w:rPr>
          <w:sz w:val="21"/>
          <w:szCs w:val="21"/>
        </w:rPr>
      </w:sdtEndP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ind w:firstLine="0"/>
      <w:rPr>
        <w:rFonts w:ascii="宋体" w:hAnsi="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ind w:firstLine="0"/>
      <w:jc w:val="right"/>
      <w:rPr>
        <w:rFonts w:ascii="宋体" w:hAnsi="宋体"/>
        <w:sz w:val="21"/>
        <w:szCs w:val="22"/>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宋体" w:hAnsi="宋体"/>
                            </w:rPr>
                            <w:id w:val="1135067333"/>
                          </w:sdtPr>
                          <w:sdtEndPr>
                            <w:rPr>
                              <w:rFonts w:ascii="宋体" w:hAnsi="宋体"/>
                              <w:sz w:val="21"/>
                              <w:szCs w:val="22"/>
                            </w:rPr>
                          </w:sdtEndPr>
                          <w:sdtContent>
                            <w:p>
                              <w:pPr>
                                <w:pStyle w:val="60"/>
                                <w:ind w:firstLine="0"/>
                                <w:jc w:val="right"/>
                                <w:rPr>
                                  <w:rFonts w:ascii="宋体" w:hAnsi="宋体"/>
                                  <w:sz w:val="21"/>
                                  <w:szCs w:val="22"/>
                                </w:rPr>
                              </w:pPr>
                              <w:r>
                                <w:rPr>
                                  <w:rFonts w:ascii="宋体" w:hAnsi="宋体"/>
                                  <w:sz w:val="21"/>
                                  <w:szCs w:val="22"/>
                                </w:rPr>
                                <w:fldChar w:fldCharType="begin"/>
                              </w:r>
                              <w:r>
                                <w:rPr>
                                  <w:rFonts w:ascii="宋体" w:hAnsi="宋体"/>
                                  <w:sz w:val="21"/>
                                  <w:szCs w:val="22"/>
                                </w:rPr>
                                <w:instrText xml:space="preserve">PAGE   \* MERGEFORMAT</w:instrText>
                              </w:r>
                              <w:r>
                                <w:rPr>
                                  <w:rFonts w:ascii="宋体" w:hAnsi="宋体"/>
                                  <w:sz w:val="21"/>
                                  <w:szCs w:val="22"/>
                                </w:rPr>
                                <w:fldChar w:fldCharType="separate"/>
                              </w:r>
                              <w:r>
                                <w:rPr>
                                  <w:rFonts w:ascii="宋体" w:hAnsi="宋体"/>
                                  <w:sz w:val="21"/>
                                  <w:szCs w:val="22"/>
                                  <w:lang w:val="zh-CN"/>
                                </w:rPr>
                                <w:t>-</w:t>
                              </w:r>
                              <w:r>
                                <w:rPr>
                                  <w:rFonts w:ascii="宋体" w:hAnsi="宋体"/>
                                  <w:sz w:val="21"/>
                                  <w:szCs w:val="22"/>
                                </w:rPr>
                                <w:t xml:space="preserve"> 57 -</w:t>
                              </w:r>
                              <w:r>
                                <w:rPr>
                                  <w:rFonts w:ascii="宋体" w:hAnsi="宋体"/>
                                  <w:sz w:val="21"/>
                                  <w:szCs w:val="22"/>
                                </w:rPr>
                                <w:fldChar w:fldCharType="end"/>
                              </w:r>
                            </w:p>
                          </w:sdtContent>
                        </w:sdt>
                        <w:p>
                          <w:pPr>
                            <w:pStyle w:val="1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sdt>
                    <w:sdtPr>
                      <w:rPr>
                        <w:rFonts w:ascii="宋体" w:hAnsi="宋体"/>
                      </w:rPr>
                      <w:id w:val="1135067333"/>
                    </w:sdtPr>
                    <w:sdtEndPr>
                      <w:rPr>
                        <w:rFonts w:ascii="宋体" w:hAnsi="宋体"/>
                        <w:sz w:val="21"/>
                        <w:szCs w:val="22"/>
                      </w:rPr>
                    </w:sdtEndPr>
                    <w:sdtContent>
                      <w:p>
                        <w:pPr>
                          <w:pStyle w:val="60"/>
                          <w:ind w:firstLine="0"/>
                          <w:jc w:val="right"/>
                          <w:rPr>
                            <w:rFonts w:ascii="宋体" w:hAnsi="宋体"/>
                            <w:sz w:val="21"/>
                            <w:szCs w:val="22"/>
                          </w:rPr>
                        </w:pPr>
                        <w:r>
                          <w:rPr>
                            <w:rFonts w:ascii="宋体" w:hAnsi="宋体"/>
                            <w:sz w:val="21"/>
                            <w:szCs w:val="22"/>
                          </w:rPr>
                          <w:fldChar w:fldCharType="begin"/>
                        </w:r>
                        <w:r>
                          <w:rPr>
                            <w:rFonts w:ascii="宋体" w:hAnsi="宋体"/>
                            <w:sz w:val="21"/>
                            <w:szCs w:val="22"/>
                          </w:rPr>
                          <w:instrText xml:space="preserve">PAGE   \* MERGEFORMAT</w:instrText>
                        </w:r>
                        <w:r>
                          <w:rPr>
                            <w:rFonts w:ascii="宋体" w:hAnsi="宋体"/>
                            <w:sz w:val="21"/>
                            <w:szCs w:val="22"/>
                          </w:rPr>
                          <w:fldChar w:fldCharType="separate"/>
                        </w:r>
                        <w:r>
                          <w:rPr>
                            <w:rFonts w:ascii="宋体" w:hAnsi="宋体"/>
                            <w:sz w:val="21"/>
                            <w:szCs w:val="22"/>
                            <w:lang w:val="zh-CN"/>
                          </w:rPr>
                          <w:t>-</w:t>
                        </w:r>
                        <w:r>
                          <w:rPr>
                            <w:rFonts w:ascii="宋体" w:hAnsi="宋体"/>
                            <w:sz w:val="21"/>
                            <w:szCs w:val="22"/>
                          </w:rPr>
                          <w:t xml:space="preserve"> 57 -</w:t>
                        </w:r>
                        <w:r>
                          <w:rPr>
                            <w:rFonts w:ascii="宋体" w:hAnsi="宋体"/>
                            <w:sz w:val="21"/>
                            <w:szCs w:val="22"/>
                          </w:rPr>
                          <w:fldChar w:fldCharType="end"/>
                        </w:r>
                      </w:p>
                    </w:sdtContent>
                  </w:sdt>
                  <w:p>
                    <w:pPr>
                      <w:pStyle w:val="160"/>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ind w:firstLine="0"/>
      <w:rPr>
        <w:rFonts w:ascii="宋体" w:hAnsi="宋体"/>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宋体" w:hAnsi="宋体"/>
                              <w:sz w:val="21"/>
                              <w:szCs w:val="21"/>
                            </w:rPr>
                            <w:id w:val="10652184"/>
                          </w:sdtPr>
                          <w:sdtEndPr>
                            <w:rPr>
                              <w:rFonts w:ascii="宋体" w:hAnsi="宋体"/>
                              <w:sz w:val="21"/>
                              <w:szCs w:val="21"/>
                            </w:rPr>
                          </w:sdtEndPr>
                          <w:sdtContent>
                            <w:p>
                              <w:pPr>
                                <w:pStyle w:val="60"/>
                                <w:ind w:firstLine="0"/>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60 -</w:t>
                              </w:r>
                              <w:r>
                                <w:rPr>
                                  <w:rFonts w:ascii="宋体" w:hAnsi="宋体"/>
                                  <w:sz w:val="21"/>
                                  <w:szCs w:val="21"/>
                                </w:rPr>
                                <w:fldChar w:fldCharType="end"/>
                              </w:r>
                            </w:p>
                          </w:sdtContent>
                        </w:sdt>
                        <w:p>
                          <w:pPr>
                            <w:pStyle w:val="1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sdt>
                    <w:sdtPr>
                      <w:rPr>
                        <w:rFonts w:ascii="宋体" w:hAnsi="宋体"/>
                        <w:sz w:val="21"/>
                        <w:szCs w:val="21"/>
                      </w:rPr>
                      <w:id w:val="10652184"/>
                    </w:sdtPr>
                    <w:sdtEndPr>
                      <w:rPr>
                        <w:rFonts w:ascii="宋体" w:hAnsi="宋体"/>
                        <w:sz w:val="21"/>
                        <w:szCs w:val="21"/>
                      </w:rPr>
                    </w:sdtEndPr>
                    <w:sdtContent>
                      <w:p>
                        <w:pPr>
                          <w:pStyle w:val="60"/>
                          <w:ind w:firstLine="0"/>
                          <w:rPr>
                            <w:rFonts w:ascii="宋体" w:hAnsi="宋体"/>
                            <w:sz w:val="21"/>
                            <w:szCs w:val="21"/>
                          </w:rPr>
                        </w:pPr>
                        <w:r>
                          <w:rPr>
                            <w:rFonts w:ascii="宋体" w:hAnsi="宋体"/>
                            <w:sz w:val="21"/>
                            <w:szCs w:val="21"/>
                          </w:rPr>
                          <w:fldChar w:fldCharType="begin"/>
                        </w:r>
                        <w:r>
                          <w:rPr>
                            <w:rFonts w:ascii="宋体" w:hAnsi="宋体"/>
                            <w:sz w:val="21"/>
                            <w:szCs w:val="21"/>
                          </w:rPr>
                          <w:instrText xml:space="preserve">PAGE   \* MERGEFORMAT</w:instrText>
                        </w:r>
                        <w:r>
                          <w:rPr>
                            <w:rFonts w:ascii="宋体" w:hAnsi="宋体"/>
                            <w:sz w:val="21"/>
                            <w:szCs w:val="21"/>
                          </w:rPr>
                          <w:fldChar w:fldCharType="separate"/>
                        </w:r>
                        <w:r>
                          <w:rPr>
                            <w:rFonts w:ascii="宋体" w:hAnsi="宋体"/>
                            <w:sz w:val="21"/>
                            <w:szCs w:val="21"/>
                            <w:lang w:val="zh-CN"/>
                          </w:rPr>
                          <w:t>-</w:t>
                        </w:r>
                        <w:r>
                          <w:rPr>
                            <w:rFonts w:ascii="宋体" w:hAnsi="宋体"/>
                            <w:sz w:val="21"/>
                            <w:szCs w:val="21"/>
                          </w:rPr>
                          <w:t xml:space="preserve"> 60 -</w:t>
                        </w:r>
                        <w:r>
                          <w:rPr>
                            <w:rFonts w:ascii="宋体" w:hAnsi="宋体"/>
                            <w:sz w:val="21"/>
                            <w:szCs w:val="21"/>
                          </w:rPr>
                          <w:fldChar w:fldCharType="end"/>
                        </w:r>
                      </w:p>
                    </w:sdtContent>
                  </w:sdt>
                  <w:p>
                    <w:pPr>
                      <w:pStyle w:val="160"/>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0"/>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- 59 -</w:t>
                          </w:r>
                          <w:r>
                            <w:rPr>
                              <w:rFonts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60"/>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- 59 -</w:t>
                    </w:r>
                    <w:r>
                      <w:rPr>
                        <w:rFonts w:hint="eastAsia"/>
                        <w:sz w:val="21"/>
                        <w:szCs w:val="21"/>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F"/>
    <w:multiLevelType w:val="multilevel"/>
    <w:tmpl w:val="0000000F"/>
    <w:lvl w:ilvl="0" w:tentative="0">
      <w:start w:val="1"/>
      <w:numFmt w:val="decimal"/>
      <w:pStyle w:val="714"/>
      <w:lvlText w:val="表%1."/>
      <w:lvlJc w:val="left"/>
      <w:pPr>
        <w:tabs>
          <w:tab w:val="left" w:pos="420"/>
        </w:tabs>
        <w:ind w:left="420" w:hanging="420"/>
      </w:pPr>
      <w:rPr>
        <w:rFonts w:hint="eastAsia" w:eastAsia="宋体"/>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12"/>
    <w:multiLevelType w:val="multilevel"/>
    <w:tmpl w:val="00000012"/>
    <w:lvl w:ilvl="0" w:tentative="0">
      <w:start w:val="1"/>
      <w:numFmt w:val="chineseCountingThousand"/>
      <w:pStyle w:val="683"/>
      <w:lvlText w:val="第%1节"/>
      <w:lvlJc w:val="left"/>
      <w:pPr>
        <w:ind w:left="420" w:hanging="420"/>
      </w:pPr>
      <w:rPr>
        <w:rFonts w:hint="eastAsia"/>
        <w:kern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C"/>
    <w:multiLevelType w:val="multilevel"/>
    <w:tmpl w:val="0000001C"/>
    <w:lvl w:ilvl="0" w:tentative="0">
      <w:start w:val="1"/>
      <w:numFmt w:val="decimal"/>
      <w:pStyle w:val="672"/>
      <w:suff w:val="space"/>
      <w:lvlText w:val="第%1章"/>
      <w:lvlJc w:val="left"/>
      <w:pPr>
        <w:ind w:left="567" w:hanging="367"/>
      </w:pPr>
      <w:rPr>
        <w:rFonts w:hint="eastAsia"/>
      </w:rPr>
    </w:lvl>
    <w:lvl w:ilvl="1" w:tentative="0">
      <w:start w:val="1"/>
      <w:numFmt w:val="decimal"/>
      <w:pStyle w:val="717"/>
      <w:suff w:val="space"/>
      <w:lvlText w:val="%2."/>
      <w:lvlJc w:val="left"/>
      <w:pPr>
        <w:ind w:left="767" w:hanging="567"/>
      </w:pPr>
      <w:rPr>
        <w:rFonts w:hint="eastAsia"/>
      </w:rPr>
    </w:lvl>
    <w:lvl w:ilvl="2" w:tentative="0">
      <w:start w:val="1"/>
      <w:numFmt w:val="decimal"/>
      <w:pStyle w:val="706"/>
      <w:suff w:val="space"/>
      <w:lvlText w:val="%2.%3"/>
      <w:lvlJc w:val="left"/>
      <w:pPr>
        <w:ind w:left="909" w:hanging="709"/>
      </w:pPr>
      <w:rPr>
        <w:rFonts w:hint="eastAsia"/>
      </w:rPr>
    </w:lvl>
    <w:lvl w:ilvl="3" w:tentative="0">
      <w:start w:val="1"/>
      <w:numFmt w:val="decimal"/>
      <w:pStyle w:val="697"/>
      <w:suff w:val="space"/>
      <w:lvlText w:val="%2.%3.%4"/>
      <w:lvlJc w:val="left"/>
      <w:pPr>
        <w:ind w:left="1051" w:hanging="851"/>
      </w:pPr>
      <w:rPr>
        <w:rFonts w:hint="eastAsia"/>
      </w:rPr>
    </w:lvl>
    <w:lvl w:ilvl="4" w:tentative="0">
      <w:start w:val="1"/>
      <w:numFmt w:val="decimal"/>
      <w:pStyle w:val="690"/>
      <w:isLgl/>
      <w:suff w:val="space"/>
      <w:lvlText w:val="（%5）"/>
      <w:lvlJc w:val="left"/>
      <w:pPr>
        <w:ind w:left="0" w:firstLine="567"/>
      </w:pPr>
      <w:rPr>
        <w:rFonts w:hint="eastAsia"/>
      </w:rPr>
    </w:lvl>
    <w:lvl w:ilvl="5" w:tentative="0">
      <w:start w:val="1"/>
      <w:numFmt w:val="decimal"/>
      <w:lvlRestart w:val="1"/>
      <w:pStyle w:val="698"/>
      <w:suff w:val="space"/>
      <w:lvlText w:val="表%1.%6"/>
      <w:lvlJc w:val="left"/>
      <w:pPr>
        <w:ind w:left="1334" w:hanging="1134"/>
      </w:pPr>
      <w:rPr>
        <w:rFonts w:hint="eastAsia"/>
      </w:rPr>
    </w:lvl>
    <w:lvl w:ilvl="6" w:tentative="0">
      <w:start w:val="1"/>
      <w:numFmt w:val="decimal"/>
      <w:lvlRestart w:val="1"/>
      <w:pStyle w:val="721"/>
      <w:suff w:val="space"/>
      <w:lvlText w:val="图%1.%7"/>
      <w:lvlJc w:val="left"/>
      <w:pPr>
        <w:ind w:left="1476" w:hanging="1276"/>
      </w:pPr>
      <w:rPr>
        <w:rFonts w:hint="eastAsia"/>
      </w:rPr>
    </w:lvl>
    <w:lvl w:ilvl="7" w:tentative="0">
      <w:start w:val="1"/>
      <w:numFmt w:val="decimal"/>
      <w:lvlText w:val="%1"/>
      <w:lvlJc w:val="left"/>
      <w:pPr>
        <w:tabs>
          <w:tab w:val="left" w:pos="1618"/>
        </w:tabs>
        <w:ind w:left="1618" w:hanging="1418"/>
      </w:pPr>
      <w:rPr>
        <w:rFonts w:hint="eastAsia"/>
      </w:rPr>
    </w:lvl>
    <w:lvl w:ilvl="8" w:tentative="0">
      <w:start w:val="1"/>
      <w:numFmt w:val="decimal"/>
      <w:lvlText w:val="%9%1"/>
      <w:lvlJc w:val="left"/>
      <w:pPr>
        <w:tabs>
          <w:tab w:val="left" w:pos="1759"/>
        </w:tabs>
        <w:ind w:left="1759" w:hanging="1559"/>
      </w:pPr>
      <w:rPr>
        <w:rFonts w:hint="eastAsia"/>
      </w:rPr>
    </w:lvl>
  </w:abstractNum>
  <w:abstractNum w:abstractNumId="3">
    <w:nsid w:val="00000026"/>
    <w:multiLevelType w:val="multilevel"/>
    <w:tmpl w:val="00000026"/>
    <w:lvl w:ilvl="0" w:tentative="0">
      <w:start w:val="1"/>
      <w:numFmt w:val="none"/>
      <w:pStyle w:val="674"/>
      <w:lvlText w:val=""/>
      <w:lvlJc w:val="left"/>
      <w:pPr>
        <w:tabs>
          <w:tab w:val="left" w:pos="567"/>
        </w:tabs>
        <w:ind w:left="567" w:hanging="367"/>
      </w:pPr>
      <w:rPr>
        <w:rFonts w:hint="eastAsia"/>
      </w:rPr>
    </w:lvl>
    <w:lvl w:ilvl="1" w:tentative="0">
      <w:start w:val="1"/>
      <w:numFmt w:val="decimal"/>
      <w:lvlText w:val="%2."/>
      <w:lvlJc w:val="left"/>
      <w:pPr>
        <w:tabs>
          <w:tab w:val="left" w:pos="767"/>
        </w:tabs>
        <w:ind w:left="767" w:hanging="567"/>
      </w:pPr>
      <w:rPr>
        <w:rFonts w:hint="eastAsia" w:ascii="黑体" w:eastAsia="黑体"/>
      </w:rPr>
    </w:lvl>
    <w:lvl w:ilvl="2" w:tentative="0">
      <w:start w:val="1"/>
      <w:numFmt w:val="decimal"/>
      <w:suff w:val="space"/>
      <w:lvlText w:val="%2.%3."/>
      <w:lvlJc w:val="left"/>
      <w:pPr>
        <w:ind w:left="709" w:hanging="709"/>
      </w:pPr>
      <w:rPr>
        <w:rFonts w:hint="eastAsia" w:ascii="黑体" w:hAnsi="Times New Roman" w:eastAsia="黑体"/>
      </w:rPr>
    </w:lvl>
    <w:lvl w:ilvl="3" w:tentative="0">
      <w:start w:val="1"/>
      <w:numFmt w:val="decimal"/>
      <w:suff w:val="space"/>
      <w:lvlText w:val="%2.%3.%4."/>
      <w:lvlJc w:val="left"/>
      <w:pPr>
        <w:ind w:left="851" w:hanging="851"/>
      </w:pPr>
      <w:rPr>
        <w:rFonts w:hint="eastAsia" w:ascii="黑体" w:eastAsia="黑体"/>
      </w:rPr>
    </w:lvl>
    <w:lvl w:ilvl="4" w:tentative="0">
      <w:start w:val="1"/>
      <w:numFmt w:val="decimal"/>
      <w:lvlText w:val="（%5）"/>
      <w:lvlJc w:val="left"/>
      <w:pPr>
        <w:tabs>
          <w:tab w:val="left" w:pos="1140"/>
        </w:tabs>
        <w:ind w:left="1140" w:hanging="720"/>
      </w:pPr>
      <w:rPr>
        <w:rFonts w:hint="default"/>
        <w:sz w:val="24"/>
        <w:szCs w:val="24"/>
      </w:rPr>
    </w:lvl>
    <w:lvl w:ilvl="5" w:tentative="0">
      <w:start w:val="1"/>
      <w:numFmt w:val="decimal"/>
      <w:lvlRestart w:val="3"/>
      <w:pStyle w:val="720"/>
      <w:suff w:val="space"/>
      <w:lvlText w:val="表%2-%6%1"/>
      <w:lvlJc w:val="left"/>
      <w:pPr>
        <w:ind w:left="1334" w:hanging="1134"/>
      </w:pPr>
      <w:rPr>
        <w:rFonts w:hint="eastAsia"/>
      </w:rPr>
    </w:lvl>
    <w:lvl w:ilvl="6" w:tentative="0">
      <w:start w:val="1"/>
      <w:numFmt w:val="decimal"/>
      <w:pStyle w:val="712"/>
      <w:suff w:val="space"/>
      <w:lvlText w:val="图%2-%7"/>
      <w:lvlJc w:val="left"/>
      <w:pPr>
        <w:ind w:left="1476" w:hanging="1276"/>
      </w:pPr>
      <w:rPr>
        <w:rFonts w:hint="eastAsia"/>
      </w:rPr>
    </w:lvl>
    <w:lvl w:ilvl="7" w:tentative="0">
      <w:start w:val="1"/>
      <w:numFmt w:val="decimal"/>
      <w:lvlText w:val="%1"/>
      <w:lvlJc w:val="left"/>
      <w:pPr>
        <w:tabs>
          <w:tab w:val="left" w:pos="1618"/>
        </w:tabs>
        <w:ind w:left="1618" w:hanging="1418"/>
      </w:pPr>
      <w:rPr>
        <w:rFonts w:hint="eastAsia"/>
      </w:rPr>
    </w:lvl>
    <w:lvl w:ilvl="8" w:tentative="0">
      <w:start w:val="1"/>
      <w:numFmt w:val="decimal"/>
      <w:lvlText w:val="%9%1"/>
      <w:lvlJc w:val="left"/>
      <w:pPr>
        <w:tabs>
          <w:tab w:val="left" w:pos="1759"/>
        </w:tabs>
        <w:ind w:left="1759" w:hanging="1559"/>
      </w:pPr>
      <w:rPr>
        <w:rFonts w:hint="eastAsia"/>
      </w:rPr>
    </w:lvl>
  </w:abstractNum>
  <w:abstractNum w:abstractNumId="4">
    <w:nsid w:val="0000002E"/>
    <w:multiLevelType w:val="multilevel"/>
    <w:tmpl w:val="0000002E"/>
    <w:lvl w:ilvl="0" w:tentative="0">
      <w:start w:val="1"/>
      <w:numFmt w:val="decimal"/>
      <w:pStyle w:val="676"/>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32"/>
    <w:multiLevelType w:val="multilevel"/>
    <w:tmpl w:val="00000032"/>
    <w:lvl w:ilvl="0" w:tentative="0">
      <w:start w:val="1"/>
      <w:numFmt w:val="chineseCountingThousand"/>
      <w:pStyle w:val="71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000042"/>
    <w:multiLevelType w:val="multilevel"/>
    <w:tmpl w:val="00000042"/>
    <w:lvl w:ilvl="0" w:tentative="0">
      <w:start w:val="1"/>
      <w:numFmt w:val="chineseCountingThousand"/>
      <w:pStyle w:val="700"/>
      <w:lvlText w:val="%1、"/>
      <w:lvlJc w:val="left"/>
      <w:pPr>
        <w:ind w:left="0" w:firstLine="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00000051"/>
    <w:multiLevelType w:val="multilevel"/>
    <w:tmpl w:val="00000051"/>
    <w:lvl w:ilvl="0" w:tentative="0">
      <w:start w:val="1"/>
      <w:numFmt w:val="decimal"/>
      <w:pStyle w:val="685"/>
      <w:lvlText w:val="1.%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780757E"/>
    <w:multiLevelType w:val="multilevel"/>
    <w:tmpl w:val="0780757E"/>
    <w:lvl w:ilvl="0" w:tentative="0">
      <w:start w:val="1"/>
      <w:numFmt w:val="decimal"/>
      <w:lvlText w:val="图%1"/>
      <w:lvlJc w:val="left"/>
      <w:pPr>
        <w:ind w:left="420" w:hanging="420"/>
      </w:pPr>
      <w:rPr>
        <w:rFonts w:hint="eastAsia"/>
        <w:b/>
        <w:bCs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81127C6"/>
    <w:multiLevelType w:val="multilevel"/>
    <w:tmpl w:val="081127C6"/>
    <w:lvl w:ilvl="0" w:tentative="0">
      <w:start w:val="1"/>
      <w:numFmt w:val="japaneseCounting"/>
      <w:lvlText w:val="%1、"/>
      <w:lvlJc w:val="left"/>
      <w:pPr>
        <w:ind w:left="660" w:hanging="660"/>
      </w:pPr>
      <w:rPr>
        <w:rFonts w:hint="default" w:ascii="宋体" w:hAnsi="宋体" w:cs="楷体"/>
        <w:sz w:val="32"/>
      </w:rPr>
    </w:lvl>
    <w:lvl w:ilvl="1" w:tentative="0">
      <w:start w:val="1"/>
      <w:numFmt w:val="decimal"/>
      <w:lvlText w:val="(%2)"/>
      <w:lvlJc w:val="left"/>
      <w:pPr>
        <w:ind w:left="780" w:hanging="360"/>
      </w:pPr>
      <w:rPr>
        <w:rFonts w:hint="default"/>
      </w:rPr>
    </w:lvl>
    <w:lvl w:ilvl="2" w:tentative="0">
      <w:start w:val="1"/>
      <w:numFmt w:val="decimal"/>
      <w:lvlText w:val="(%3)"/>
      <w:lvlJc w:val="left"/>
      <w:pPr>
        <w:ind w:left="1200" w:hanging="360"/>
      </w:pPr>
      <w:rPr>
        <w:rFonts w:hint="default"/>
      </w:rPr>
    </w:lvl>
    <w:lvl w:ilvl="3" w:tentative="0">
      <w:start w:val="1"/>
      <w:numFmt w:val="decimalEnclosedCircle"/>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E0E968E"/>
    <w:multiLevelType w:val="singleLevel"/>
    <w:tmpl w:val="0E0E968E"/>
    <w:lvl w:ilvl="0" w:tentative="0">
      <w:start w:val="1"/>
      <w:numFmt w:val="chineseCounting"/>
      <w:suff w:val="nothing"/>
      <w:lvlText w:val="第%1，"/>
      <w:lvlJc w:val="left"/>
      <w:rPr>
        <w:rFonts w:hint="eastAsia"/>
      </w:rPr>
    </w:lvl>
  </w:abstractNum>
  <w:abstractNum w:abstractNumId="11">
    <w:nsid w:val="0F5C936E"/>
    <w:multiLevelType w:val="singleLevel"/>
    <w:tmpl w:val="0F5C936E"/>
    <w:lvl w:ilvl="0" w:tentative="0">
      <w:start w:val="1"/>
      <w:numFmt w:val="decimal"/>
      <w:suff w:val="nothing"/>
      <w:lvlText w:val="（%1）"/>
      <w:lvlJc w:val="left"/>
    </w:lvl>
  </w:abstractNum>
  <w:abstractNum w:abstractNumId="12">
    <w:nsid w:val="161A1DFC"/>
    <w:multiLevelType w:val="singleLevel"/>
    <w:tmpl w:val="161A1DFC"/>
    <w:lvl w:ilvl="0" w:tentative="0">
      <w:start w:val="3"/>
      <w:numFmt w:val="decimal"/>
      <w:suff w:val="nothing"/>
      <w:lvlText w:val="%1、"/>
      <w:lvlJc w:val="left"/>
    </w:lvl>
  </w:abstractNum>
  <w:abstractNum w:abstractNumId="13">
    <w:nsid w:val="2AD577F1"/>
    <w:multiLevelType w:val="multilevel"/>
    <w:tmpl w:val="2AD577F1"/>
    <w:lvl w:ilvl="0" w:tentative="0">
      <w:start w:val="2"/>
      <w:numFmt w:val="decimal"/>
      <w:isLgl/>
      <w:lvlText w:val="%1"/>
      <w:lvlJc w:val="left"/>
      <w:pPr>
        <w:tabs>
          <w:tab w:val="left" w:pos="0"/>
        </w:tabs>
        <w:ind w:left="480" w:hanging="480"/>
      </w:pPr>
      <w:rPr>
        <w:rFonts w:hint="default"/>
      </w:rPr>
    </w:lvl>
    <w:lvl w:ilvl="1" w:tentative="0">
      <w:start w:val="1"/>
      <w:numFmt w:val="decimal"/>
      <w:lvlText w:val="%1.%2"/>
      <w:lvlJc w:val="left"/>
      <w:pPr>
        <w:tabs>
          <w:tab w:val="left" w:pos="0"/>
        </w:tabs>
        <w:ind w:left="480" w:hanging="480"/>
      </w:pPr>
      <w:rPr>
        <w:rFonts w:hint="default"/>
      </w:rPr>
    </w:lvl>
    <w:lvl w:ilvl="2" w:tentative="0">
      <w:start w:val="5"/>
      <w:numFmt w:val="decimal"/>
      <w:suff w:val="space"/>
      <w:lvlText w:val="%1.%2.%3"/>
      <w:lvlJc w:val="left"/>
      <w:pPr>
        <w:ind w:left="720" w:hanging="720"/>
      </w:pPr>
      <w:rPr>
        <w:rFonts w:hint="default"/>
        <w:sz w:val="24"/>
        <w:szCs w:val="24"/>
      </w:rPr>
    </w:lvl>
    <w:lvl w:ilvl="3" w:tentative="0">
      <w:start w:val="1"/>
      <w:numFmt w:val="decimal"/>
      <w:pStyle w:val="467"/>
      <w:lvlText w:val="%1.%2.%3.%4"/>
      <w:lvlJc w:val="left"/>
      <w:pPr>
        <w:tabs>
          <w:tab w:val="left" w:pos="0"/>
        </w:tabs>
        <w:ind w:left="1080" w:hanging="1080"/>
      </w:pPr>
      <w:rPr>
        <w:rFonts w:hint="default"/>
      </w:rPr>
    </w:lvl>
    <w:lvl w:ilvl="4" w:tentative="0">
      <w:start w:val="1"/>
      <w:numFmt w:val="decimal"/>
      <w:lvlText w:val="%1.%2.%3.%4.%5"/>
      <w:lvlJc w:val="left"/>
      <w:pPr>
        <w:tabs>
          <w:tab w:val="left" w:pos="0"/>
        </w:tabs>
        <w:ind w:left="1080" w:hanging="1080"/>
      </w:pPr>
      <w:rPr>
        <w:rFonts w:hint="default"/>
      </w:rPr>
    </w:lvl>
    <w:lvl w:ilvl="5" w:tentative="0">
      <w:start w:val="1"/>
      <w:numFmt w:val="decimal"/>
      <w:lvlText w:val="%1.%2.%3.%4.%5.%6"/>
      <w:lvlJc w:val="left"/>
      <w:pPr>
        <w:tabs>
          <w:tab w:val="left" w:pos="0"/>
        </w:tabs>
        <w:ind w:left="1440" w:hanging="1440"/>
      </w:pPr>
      <w:rPr>
        <w:rFonts w:hint="default"/>
      </w:rPr>
    </w:lvl>
    <w:lvl w:ilvl="6" w:tentative="0">
      <w:start w:val="1"/>
      <w:numFmt w:val="decimal"/>
      <w:lvlText w:val="%1.%2.%3.%4.%5.%6.%7"/>
      <w:lvlJc w:val="left"/>
      <w:pPr>
        <w:tabs>
          <w:tab w:val="left" w:pos="0"/>
        </w:tabs>
        <w:ind w:left="1440" w:hanging="1440"/>
      </w:pPr>
      <w:rPr>
        <w:rFonts w:hint="default"/>
      </w:rPr>
    </w:lvl>
    <w:lvl w:ilvl="7" w:tentative="0">
      <w:start w:val="1"/>
      <w:numFmt w:val="decimal"/>
      <w:lvlText w:val="%1.%2.%3.%4.%5.%6.%7.%8"/>
      <w:lvlJc w:val="left"/>
      <w:pPr>
        <w:tabs>
          <w:tab w:val="left" w:pos="0"/>
        </w:tabs>
        <w:ind w:left="1800" w:hanging="1800"/>
      </w:pPr>
      <w:rPr>
        <w:rFonts w:hint="default"/>
      </w:rPr>
    </w:lvl>
    <w:lvl w:ilvl="8" w:tentative="0">
      <w:start w:val="1"/>
      <w:numFmt w:val="decimal"/>
      <w:lvlText w:val="%1.%2.%3.%4.%5.%6.%7.%8.%9"/>
      <w:lvlJc w:val="left"/>
      <w:pPr>
        <w:tabs>
          <w:tab w:val="left" w:pos="0"/>
        </w:tabs>
        <w:ind w:left="2160" w:hanging="2160"/>
      </w:pPr>
      <w:rPr>
        <w:rFonts w:hint="default"/>
      </w:rPr>
    </w:lvl>
  </w:abstractNum>
  <w:abstractNum w:abstractNumId="14">
    <w:nsid w:val="37795969"/>
    <w:multiLevelType w:val="multilevel"/>
    <w:tmpl w:val="37795969"/>
    <w:lvl w:ilvl="0" w:tentative="0">
      <w:start w:val="1"/>
      <w:numFmt w:val="decimal"/>
      <w:lvlText w:val="表%1"/>
      <w:lvlJc w:val="left"/>
      <w:pPr>
        <w:ind w:left="630" w:hanging="420"/>
      </w:pPr>
      <w:rPr>
        <w:rFonts w:hint="default" w:ascii="Times New Roman" w:hAnsi="Times New Roman" w:cs="Times New Roman"/>
        <w:b/>
        <w:bCs/>
        <w:color w:val="auto"/>
        <w:sz w:val="24"/>
        <w:szCs w:val="24"/>
        <w:vertAlign w:val="baseline"/>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abstractNum w:abstractNumId="15">
    <w:nsid w:val="38C72C5F"/>
    <w:multiLevelType w:val="singleLevel"/>
    <w:tmpl w:val="38C72C5F"/>
    <w:lvl w:ilvl="0" w:tentative="0">
      <w:start w:val="1"/>
      <w:numFmt w:val="decimal"/>
      <w:suff w:val="nothing"/>
      <w:lvlText w:val="（%1）"/>
      <w:lvlJc w:val="left"/>
    </w:lvl>
  </w:abstractNum>
  <w:abstractNum w:abstractNumId="16">
    <w:nsid w:val="3DFB7529"/>
    <w:multiLevelType w:val="multilevel"/>
    <w:tmpl w:val="3DFB7529"/>
    <w:lvl w:ilvl="0" w:tentative="0">
      <w:start w:val="1"/>
      <w:numFmt w:val="decimal"/>
      <w:lvlText w:val="%1．"/>
      <w:lvlJc w:val="left"/>
      <w:pPr>
        <w:ind w:left="1202" w:hanging="72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7">
    <w:nsid w:val="4EE540B0"/>
    <w:multiLevelType w:val="singleLevel"/>
    <w:tmpl w:val="4EE540B0"/>
    <w:lvl w:ilvl="0" w:tentative="0">
      <w:start w:val="2"/>
      <w:numFmt w:val="decimal"/>
      <w:suff w:val="nothing"/>
      <w:lvlText w:val="（%1）"/>
      <w:lvlJc w:val="left"/>
      <w:pPr>
        <w:ind w:left="-60"/>
      </w:pPr>
    </w:lvl>
  </w:abstractNum>
  <w:abstractNum w:abstractNumId="18">
    <w:nsid w:val="4FE53AE3"/>
    <w:multiLevelType w:val="multilevel"/>
    <w:tmpl w:val="4FE53AE3"/>
    <w:lvl w:ilvl="0" w:tentative="0">
      <w:start w:val="1"/>
      <w:numFmt w:val="decimal"/>
      <w:pStyle w:val="5"/>
      <w:lvlText w:val="%1"/>
      <w:lvlJc w:val="left"/>
      <w:pPr>
        <w:ind w:left="432" w:hanging="432"/>
      </w:pPr>
      <w:rPr>
        <w:rFonts w:hint="default"/>
      </w:rPr>
    </w:lvl>
    <w:lvl w:ilvl="1" w:tentative="0">
      <w:start w:val="1"/>
      <w:numFmt w:val="decimal"/>
      <w:pStyle w:val="6"/>
      <w:lvlText w:val="%1.%2"/>
      <w:lvlJc w:val="left"/>
      <w:pPr>
        <w:ind w:left="576" w:hanging="576"/>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7"/>
      <w:lvlText w:val="%1.%2.%3"/>
      <w:lvlJc w:val="left"/>
      <w:pPr>
        <w:ind w:left="720" w:hanging="720"/>
      </w:pPr>
      <w:rPr>
        <w:rFonts w:hint="default"/>
        <w:sz w:val="28"/>
        <w:szCs w:val="28"/>
      </w:rPr>
    </w:lvl>
    <w:lvl w:ilvl="3" w:tentative="0">
      <w:start w:val="1"/>
      <w:numFmt w:val="decimal"/>
      <w:pStyle w:val="3"/>
      <w:lvlText w:val="%1.%2.%3.%4"/>
      <w:lvlJc w:val="left"/>
      <w:pPr>
        <w:ind w:left="864" w:hanging="864"/>
      </w:pPr>
      <w:rPr>
        <w:rFonts w:hint="default"/>
      </w:rPr>
    </w:lvl>
    <w:lvl w:ilvl="4" w:tentative="0">
      <w:start w:val="1"/>
      <w:numFmt w:val="decimal"/>
      <w:pStyle w:val="8"/>
      <w:lvlText w:val="%1.%2.%3.%4.%5"/>
      <w:lvlJc w:val="left"/>
      <w:pPr>
        <w:ind w:left="1008" w:hanging="1008"/>
      </w:pPr>
      <w:rPr>
        <w:rFonts w:hint="default"/>
      </w:rPr>
    </w:lvl>
    <w:lvl w:ilvl="5" w:tentative="0">
      <w:start w:val="1"/>
      <w:numFmt w:val="decimal"/>
      <w:pStyle w:val="9"/>
      <w:lvlText w:val="%1.%2.%3.%4.%5.%6"/>
      <w:lvlJc w:val="left"/>
      <w:pPr>
        <w:ind w:left="1152" w:hanging="1152"/>
      </w:pPr>
      <w:rPr>
        <w:rFonts w:hint="default"/>
      </w:rPr>
    </w:lvl>
    <w:lvl w:ilvl="6" w:tentative="0">
      <w:start w:val="1"/>
      <w:numFmt w:val="decimal"/>
      <w:pStyle w:val="10"/>
      <w:lvlText w:val="%1.%2.%3.%4.%5.%6.%7"/>
      <w:lvlJc w:val="left"/>
      <w:pPr>
        <w:ind w:left="1296" w:hanging="1296"/>
      </w:pPr>
      <w:rPr>
        <w:rFonts w:hint="default"/>
      </w:rPr>
    </w:lvl>
    <w:lvl w:ilvl="7" w:tentative="0">
      <w:start w:val="1"/>
      <w:numFmt w:val="decimal"/>
      <w:pStyle w:val="11"/>
      <w:lvlText w:val="%1.%2.%3.%4.%5.%6.%7.%8"/>
      <w:lvlJc w:val="left"/>
      <w:pPr>
        <w:ind w:left="1440" w:hanging="1440"/>
      </w:pPr>
      <w:rPr>
        <w:rFonts w:hint="default"/>
      </w:rPr>
    </w:lvl>
    <w:lvl w:ilvl="8" w:tentative="0">
      <w:start w:val="1"/>
      <w:numFmt w:val="decimal"/>
      <w:pStyle w:val="12"/>
      <w:lvlText w:val="%1.%2.%3.%4.%5.%6.%7.%8.%9"/>
      <w:lvlJc w:val="left"/>
      <w:pPr>
        <w:ind w:left="1584" w:hanging="1584"/>
      </w:pPr>
      <w:rPr>
        <w:rFonts w:hint="default"/>
      </w:rPr>
    </w:lvl>
  </w:abstractNum>
  <w:abstractNum w:abstractNumId="19">
    <w:nsid w:val="54C6C8B5"/>
    <w:multiLevelType w:val="singleLevel"/>
    <w:tmpl w:val="54C6C8B5"/>
    <w:lvl w:ilvl="0" w:tentative="0">
      <w:start w:val="1"/>
      <w:numFmt w:val="decimal"/>
      <w:suff w:val="nothing"/>
      <w:lvlText w:val="（%1）"/>
      <w:lvlJc w:val="left"/>
      <w:pPr>
        <w:ind w:left="-60"/>
      </w:pPr>
    </w:lvl>
  </w:abstractNum>
  <w:abstractNum w:abstractNumId="20">
    <w:nsid w:val="6BB30602"/>
    <w:multiLevelType w:val="multilevel"/>
    <w:tmpl w:val="6BB30602"/>
    <w:lvl w:ilvl="0" w:tentative="0">
      <w:start w:val="1"/>
      <w:numFmt w:val="decimal"/>
      <w:suff w:val="nothing"/>
      <w:lvlText w:val="%1．"/>
      <w:lvlJc w:val="left"/>
      <w:pPr>
        <w:ind w:left="480" w:hanging="480"/>
      </w:pPr>
      <w:rPr>
        <w:rFonts w:hint="eastAsia"/>
        <w:b/>
        <w:bCs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default"/>
        <w:b/>
        <w:bCs/>
        <w:highlight w:val="none"/>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21">
    <w:nsid w:val="6EF73C33"/>
    <w:multiLevelType w:val="multilevel"/>
    <w:tmpl w:val="6EF73C33"/>
    <w:lvl w:ilvl="0" w:tentative="0">
      <w:start w:val="1"/>
      <w:numFmt w:val="decimal"/>
      <w:suff w:val="space"/>
      <w:lvlText w:val="%1"/>
      <w:lvlJc w:val="left"/>
      <w:pPr>
        <w:ind w:left="0" w:firstLine="0"/>
      </w:pPr>
      <w:rPr>
        <w:rFonts w:hint="default" w:ascii="Times New Roman" w:hAnsi="Times New Roman"/>
        <w:sz w:val="32"/>
      </w:rPr>
    </w:lvl>
    <w:lvl w:ilvl="1" w:tentative="0">
      <w:start w:val="1"/>
      <w:numFmt w:val="decimal"/>
      <w:pStyle w:val="1714"/>
      <w:suff w:val="space"/>
      <w:lvlText w:val="%1.%2"/>
      <w:lvlJc w:val="left"/>
      <w:pPr>
        <w:ind w:left="-54" w:firstLine="0"/>
      </w:pPr>
      <w:rPr>
        <w:rFonts w:hint="default" w:ascii="Times New Roman" w:hAnsi="Times New Roman"/>
        <w:sz w:val="30"/>
      </w:rPr>
    </w:lvl>
    <w:lvl w:ilvl="2" w:tentative="0">
      <w:start w:val="1"/>
      <w:numFmt w:val="decimal"/>
      <w:pStyle w:val="1715"/>
      <w:suff w:val="space"/>
      <w:lvlText w:val="%1.%2.%3"/>
      <w:lvlJc w:val="left"/>
      <w:pPr>
        <w:ind w:left="851" w:firstLine="0"/>
      </w:pPr>
      <w:rPr>
        <w:rFonts w:hint="default" w:ascii="Times New Roman" w:hAnsi="Times New Roman" w:eastAsia="黑体"/>
        <w:b/>
        <w:i w:val="0"/>
        <w:color w:val="000000"/>
        <w:sz w:val="28"/>
        <w:szCs w:val="28"/>
      </w:rPr>
    </w:lvl>
    <w:lvl w:ilvl="3" w:tentative="0">
      <w:start w:val="1"/>
      <w:numFmt w:val="decimal"/>
      <w:pStyle w:val="1713"/>
      <w:lvlText w:val="%1.%2.%3.%4"/>
      <w:lvlJc w:val="left"/>
      <w:pPr>
        <w:tabs>
          <w:tab w:val="left" w:pos="-54"/>
        </w:tabs>
        <w:ind w:left="-54" w:firstLine="0"/>
      </w:pPr>
      <w:rPr>
        <w:rFonts w:hint="default" w:ascii="Times New Roman" w:hAnsi="Times New Roman"/>
        <w:sz w:val="24"/>
      </w:rPr>
    </w:lvl>
    <w:lvl w:ilvl="4" w:tentative="0">
      <w:start w:val="1"/>
      <w:numFmt w:val="decimal"/>
      <w:lvlText w:val="%1.%2.%3.%4.%5."/>
      <w:lvlJc w:val="left"/>
      <w:pPr>
        <w:tabs>
          <w:tab w:val="left" w:pos="938"/>
        </w:tabs>
        <w:ind w:left="938" w:hanging="992"/>
      </w:pPr>
      <w:rPr>
        <w:rFonts w:hint="eastAsia"/>
      </w:rPr>
    </w:lvl>
    <w:lvl w:ilvl="5" w:tentative="0">
      <w:start w:val="1"/>
      <w:numFmt w:val="decimal"/>
      <w:lvlText w:val="%1.%2.%3.%4.%5.%6."/>
      <w:lvlJc w:val="left"/>
      <w:pPr>
        <w:tabs>
          <w:tab w:val="left" w:pos="1080"/>
        </w:tabs>
        <w:ind w:left="1080" w:hanging="1134"/>
      </w:pPr>
      <w:rPr>
        <w:rFonts w:hint="eastAsia"/>
      </w:rPr>
    </w:lvl>
    <w:lvl w:ilvl="6" w:tentative="0">
      <w:start w:val="1"/>
      <w:numFmt w:val="decimal"/>
      <w:lvlText w:val="%1.%2.%3.%4.%5.%6.%7."/>
      <w:lvlJc w:val="left"/>
      <w:pPr>
        <w:tabs>
          <w:tab w:val="left" w:pos="1222"/>
        </w:tabs>
        <w:ind w:left="1222" w:hanging="1276"/>
      </w:pPr>
      <w:rPr>
        <w:rFonts w:hint="eastAsia"/>
      </w:rPr>
    </w:lvl>
    <w:lvl w:ilvl="7" w:tentative="0">
      <w:start w:val="1"/>
      <w:numFmt w:val="decimal"/>
      <w:lvlText w:val="%1.%2.%3.%4.%5.%6.%7.%8."/>
      <w:lvlJc w:val="left"/>
      <w:pPr>
        <w:tabs>
          <w:tab w:val="left" w:pos="1364"/>
        </w:tabs>
        <w:ind w:left="1364" w:hanging="1418"/>
      </w:pPr>
      <w:rPr>
        <w:rFonts w:hint="eastAsia"/>
      </w:rPr>
    </w:lvl>
    <w:lvl w:ilvl="8" w:tentative="0">
      <w:start w:val="10"/>
      <w:numFmt w:val="decimal"/>
      <w:lvlText w:val="%1.%2.%3.%4.%5.%6.%7.%8.%9."/>
      <w:lvlJc w:val="left"/>
      <w:pPr>
        <w:tabs>
          <w:tab w:val="left" w:pos="1505"/>
        </w:tabs>
        <w:ind w:left="1505" w:hanging="1559"/>
      </w:pPr>
      <w:rPr>
        <w:rFonts w:hint="eastAsia"/>
      </w:rPr>
    </w:lvl>
  </w:abstractNum>
  <w:abstractNum w:abstractNumId="22">
    <w:nsid w:val="7A78E19B"/>
    <w:multiLevelType w:val="singleLevel"/>
    <w:tmpl w:val="7A78E19B"/>
    <w:lvl w:ilvl="0" w:tentative="0">
      <w:start w:val="1"/>
      <w:numFmt w:val="chineseCounting"/>
      <w:suff w:val="nothing"/>
      <w:lvlText w:val="%1、"/>
      <w:lvlJc w:val="left"/>
      <w:rPr>
        <w:rFonts w:hint="eastAsia"/>
      </w:rPr>
    </w:lvl>
  </w:abstractNum>
  <w:num w:numId="1">
    <w:abstractNumId w:val="18"/>
  </w:num>
  <w:num w:numId="2">
    <w:abstractNumId w:val="13"/>
  </w:num>
  <w:num w:numId="3">
    <w:abstractNumId w:val="2"/>
  </w:num>
  <w:num w:numId="4">
    <w:abstractNumId w:val="3"/>
  </w:num>
  <w:num w:numId="5">
    <w:abstractNumId w:val="4"/>
  </w:num>
  <w:num w:numId="6">
    <w:abstractNumId w:val="1"/>
  </w:num>
  <w:num w:numId="7">
    <w:abstractNumId w:val="7"/>
  </w:num>
  <w:num w:numId="8">
    <w:abstractNumId w:val="6"/>
  </w:num>
  <w:num w:numId="9">
    <w:abstractNumId w:val="5"/>
  </w:num>
  <w:num w:numId="10">
    <w:abstractNumId w:val="0"/>
  </w:num>
  <w:num w:numId="11">
    <w:abstractNumId w:val="21"/>
  </w:num>
  <w:num w:numId="12">
    <w:abstractNumId w:val="9"/>
  </w:num>
  <w:num w:numId="13">
    <w:abstractNumId w:val="14"/>
  </w:num>
  <w:num w:numId="14">
    <w:abstractNumId w:val="8"/>
  </w:num>
  <w:num w:numId="15">
    <w:abstractNumId w:val="22"/>
  </w:num>
  <w:num w:numId="16">
    <w:abstractNumId w:val="19"/>
  </w:num>
  <w:num w:numId="17">
    <w:abstractNumId w:val="11"/>
  </w:num>
  <w:num w:numId="18">
    <w:abstractNumId w:val="15"/>
  </w:num>
  <w:num w:numId="19">
    <w:abstractNumId w:val="12"/>
  </w:num>
  <w:num w:numId="20">
    <w:abstractNumId w:val="16"/>
  </w:num>
  <w:num w:numId="21">
    <w:abstractNumId w:val="20"/>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7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1NWY3MDM2NzcyNDZlZTY4YWVmMzg4MjkyNDZkMmUifQ=="/>
  </w:docVars>
  <w:rsids>
    <w:rsidRoot w:val="00172A27"/>
    <w:rsid w:val="000001E7"/>
    <w:rsid w:val="00000225"/>
    <w:rsid w:val="00000492"/>
    <w:rsid w:val="000006D9"/>
    <w:rsid w:val="00000752"/>
    <w:rsid w:val="00000834"/>
    <w:rsid w:val="00000C64"/>
    <w:rsid w:val="00000D9E"/>
    <w:rsid w:val="00000DC5"/>
    <w:rsid w:val="00000E7F"/>
    <w:rsid w:val="00001132"/>
    <w:rsid w:val="000012C8"/>
    <w:rsid w:val="0000134C"/>
    <w:rsid w:val="000013F7"/>
    <w:rsid w:val="00001C0A"/>
    <w:rsid w:val="00001D02"/>
    <w:rsid w:val="00001DE4"/>
    <w:rsid w:val="00001F15"/>
    <w:rsid w:val="0000221F"/>
    <w:rsid w:val="000024E2"/>
    <w:rsid w:val="00002765"/>
    <w:rsid w:val="00002843"/>
    <w:rsid w:val="00002AAC"/>
    <w:rsid w:val="00002DFE"/>
    <w:rsid w:val="00002E5B"/>
    <w:rsid w:val="00002EED"/>
    <w:rsid w:val="00002F91"/>
    <w:rsid w:val="0000339A"/>
    <w:rsid w:val="000033F6"/>
    <w:rsid w:val="00003448"/>
    <w:rsid w:val="000034C2"/>
    <w:rsid w:val="000034CA"/>
    <w:rsid w:val="000036E1"/>
    <w:rsid w:val="00003779"/>
    <w:rsid w:val="00003ACE"/>
    <w:rsid w:val="00003BFC"/>
    <w:rsid w:val="00003D4A"/>
    <w:rsid w:val="00003E3F"/>
    <w:rsid w:val="00003E70"/>
    <w:rsid w:val="00003F01"/>
    <w:rsid w:val="00003F52"/>
    <w:rsid w:val="000040FF"/>
    <w:rsid w:val="0000411C"/>
    <w:rsid w:val="0000475A"/>
    <w:rsid w:val="00004938"/>
    <w:rsid w:val="00004A29"/>
    <w:rsid w:val="00004A35"/>
    <w:rsid w:val="00004C80"/>
    <w:rsid w:val="00004E14"/>
    <w:rsid w:val="00004F43"/>
    <w:rsid w:val="00004FD2"/>
    <w:rsid w:val="00005025"/>
    <w:rsid w:val="000050EE"/>
    <w:rsid w:val="00005221"/>
    <w:rsid w:val="00005631"/>
    <w:rsid w:val="0000572B"/>
    <w:rsid w:val="00005C95"/>
    <w:rsid w:val="00005DB3"/>
    <w:rsid w:val="00005DFF"/>
    <w:rsid w:val="00005FD9"/>
    <w:rsid w:val="000060D8"/>
    <w:rsid w:val="000060F6"/>
    <w:rsid w:val="00006100"/>
    <w:rsid w:val="00006324"/>
    <w:rsid w:val="000063C9"/>
    <w:rsid w:val="0000665A"/>
    <w:rsid w:val="00006694"/>
    <w:rsid w:val="0000674E"/>
    <w:rsid w:val="00006914"/>
    <w:rsid w:val="0000692F"/>
    <w:rsid w:val="00006A39"/>
    <w:rsid w:val="00006C9D"/>
    <w:rsid w:val="00006D30"/>
    <w:rsid w:val="00006D36"/>
    <w:rsid w:val="00006D85"/>
    <w:rsid w:val="00006FA5"/>
    <w:rsid w:val="00006FFC"/>
    <w:rsid w:val="00007056"/>
    <w:rsid w:val="00007114"/>
    <w:rsid w:val="0000717E"/>
    <w:rsid w:val="00007260"/>
    <w:rsid w:val="000073F6"/>
    <w:rsid w:val="0000740D"/>
    <w:rsid w:val="00007482"/>
    <w:rsid w:val="00007576"/>
    <w:rsid w:val="00007891"/>
    <w:rsid w:val="00007A87"/>
    <w:rsid w:val="00007E2E"/>
    <w:rsid w:val="00007E92"/>
    <w:rsid w:val="00007F96"/>
    <w:rsid w:val="0001024A"/>
    <w:rsid w:val="00010292"/>
    <w:rsid w:val="000102F8"/>
    <w:rsid w:val="000103EA"/>
    <w:rsid w:val="00010577"/>
    <w:rsid w:val="000105B7"/>
    <w:rsid w:val="00010626"/>
    <w:rsid w:val="00010913"/>
    <w:rsid w:val="000109B0"/>
    <w:rsid w:val="000109E5"/>
    <w:rsid w:val="00010AA5"/>
    <w:rsid w:val="00010D08"/>
    <w:rsid w:val="00010D46"/>
    <w:rsid w:val="00010EA1"/>
    <w:rsid w:val="00010EC8"/>
    <w:rsid w:val="00010F2F"/>
    <w:rsid w:val="000111B8"/>
    <w:rsid w:val="00011246"/>
    <w:rsid w:val="000113DA"/>
    <w:rsid w:val="000114EB"/>
    <w:rsid w:val="00011549"/>
    <w:rsid w:val="000115CE"/>
    <w:rsid w:val="000119CF"/>
    <w:rsid w:val="00011BD6"/>
    <w:rsid w:val="00011D3A"/>
    <w:rsid w:val="00012075"/>
    <w:rsid w:val="00012271"/>
    <w:rsid w:val="000126AA"/>
    <w:rsid w:val="0001280E"/>
    <w:rsid w:val="0001287F"/>
    <w:rsid w:val="00012993"/>
    <w:rsid w:val="00012B42"/>
    <w:rsid w:val="00012CD2"/>
    <w:rsid w:val="00012D07"/>
    <w:rsid w:val="00013092"/>
    <w:rsid w:val="0001324E"/>
    <w:rsid w:val="0001345A"/>
    <w:rsid w:val="00013B32"/>
    <w:rsid w:val="00013CD1"/>
    <w:rsid w:val="00013D99"/>
    <w:rsid w:val="00013E1D"/>
    <w:rsid w:val="00013EF8"/>
    <w:rsid w:val="00013F37"/>
    <w:rsid w:val="00014000"/>
    <w:rsid w:val="0001419E"/>
    <w:rsid w:val="000145CE"/>
    <w:rsid w:val="000146E2"/>
    <w:rsid w:val="00014725"/>
    <w:rsid w:val="00014748"/>
    <w:rsid w:val="000149BD"/>
    <w:rsid w:val="00014BB5"/>
    <w:rsid w:val="00014DE6"/>
    <w:rsid w:val="00015130"/>
    <w:rsid w:val="000151F3"/>
    <w:rsid w:val="0001528F"/>
    <w:rsid w:val="00015407"/>
    <w:rsid w:val="00015449"/>
    <w:rsid w:val="00015561"/>
    <w:rsid w:val="0001582F"/>
    <w:rsid w:val="00015A58"/>
    <w:rsid w:val="00015AC0"/>
    <w:rsid w:val="00016082"/>
    <w:rsid w:val="0001636E"/>
    <w:rsid w:val="00016381"/>
    <w:rsid w:val="0001652B"/>
    <w:rsid w:val="0001685A"/>
    <w:rsid w:val="00016B4C"/>
    <w:rsid w:val="00016B9F"/>
    <w:rsid w:val="00016DBA"/>
    <w:rsid w:val="00017076"/>
    <w:rsid w:val="0001726A"/>
    <w:rsid w:val="000173B9"/>
    <w:rsid w:val="00017464"/>
    <w:rsid w:val="0001747A"/>
    <w:rsid w:val="0001747F"/>
    <w:rsid w:val="000176C4"/>
    <w:rsid w:val="0001772D"/>
    <w:rsid w:val="00017759"/>
    <w:rsid w:val="00017B71"/>
    <w:rsid w:val="00017E9E"/>
    <w:rsid w:val="00017F0C"/>
    <w:rsid w:val="0002014E"/>
    <w:rsid w:val="000201DD"/>
    <w:rsid w:val="000202CF"/>
    <w:rsid w:val="000203D7"/>
    <w:rsid w:val="00020411"/>
    <w:rsid w:val="00020455"/>
    <w:rsid w:val="00020858"/>
    <w:rsid w:val="00020903"/>
    <w:rsid w:val="000209D2"/>
    <w:rsid w:val="00020D64"/>
    <w:rsid w:val="00020F65"/>
    <w:rsid w:val="00020FF8"/>
    <w:rsid w:val="00021006"/>
    <w:rsid w:val="0002102F"/>
    <w:rsid w:val="00021074"/>
    <w:rsid w:val="00021075"/>
    <w:rsid w:val="000210B1"/>
    <w:rsid w:val="000211CE"/>
    <w:rsid w:val="0002124C"/>
    <w:rsid w:val="00021268"/>
    <w:rsid w:val="00021306"/>
    <w:rsid w:val="00021367"/>
    <w:rsid w:val="0002174E"/>
    <w:rsid w:val="000217AB"/>
    <w:rsid w:val="000218CF"/>
    <w:rsid w:val="00021951"/>
    <w:rsid w:val="000219DB"/>
    <w:rsid w:val="00021E3A"/>
    <w:rsid w:val="00021F60"/>
    <w:rsid w:val="00022165"/>
    <w:rsid w:val="0002218A"/>
    <w:rsid w:val="00022345"/>
    <w:rsid w:val="000225CE"/>
    <w:rsid w:val="00022713"/>
    <w:rsid w:val="00022A32"/>
    <w:rsid w:val="00022EC1"/>
    <w:rsid w:val="00023140"/>
    <w:rsid w:val="000232A8"/>
    <w:rsid w:val="00023B01"/>
    <w:rsid w:val="00023B5C"/>
    <w:rsid w:val="00023BB8"/>
    <w:rsid w:val="00023C08"/>
    <w:rsid w:val="00023C91"/>
    <w:rsid w:val="00023DF9"/>
    <w:rsid w:val="000243B8"/>
    <w:rsid w:val="0002447D"/>
    <w:rsid w:val="00024684"/>
    <w:rsid w:val="000246E7"/>
    <w:rsid w:val="00024AFB"/>
    <w:rsid w:val="00024D06"/>
    <w:rsid w:val="00024DDA"/>
    <w:rsid w:val="00025273"/>
    <w:rsid w:val="000252F7"/>
    <w:rsid w:val="00025390"/>
    <w:rsid w:val="000253CB"/>
    <w:rsid w:val="00025666"/>
    <w:rsid w:val="0002578A"/>
    <w:rsid w:val="00025B28"/>
    <w:rsid w:val="00025EC0"/>
    <w:rsid w:val="00025ED5"/>
    <w:rsid w:val="0002607A"/>
    <w:rsid w:val="0002610F"/>
    <w:rsid w:val="0002612B"/>
    <w:rsid w:val="0002619B"/>
    <w:rsid w:val="0002658F"/>
    <w:rsid w:val="00026821"/>
    <w:rsid w:val="00026C3C"/>
    <w:rsid w:val="00026F21"/>
    <w:rsid w:val="00026F7B"/>
    <w:rsid w:val="00026FFE"/>
    <w:rsid w:val="00027005"/>
    <w:rsid w:val="0002714C"/>
    <w:rsid w:val="0002725F"/>
    <w:rsid w:val="00027278"/>
    <w:rsid w:val="000274A0"/>
    <w:rsid w:val="000274F1"/>
    <w:rsid w:val="0002755A"/>
    <w:rsid w:val="00027593"/>
    <w:rsid w:val="00027998"/>
    <w:rsid w:val="00027C4B"/>
    <w:rsid w:val="00027E64"/>
    <w:rsid w:val="00027FF0"/>
    <w:rsid w:val="00030015"/>
    <w:rsid w:val="000304BC"/>
    <w:rsid w:val="000305E2"/>
    <w:rsid w:val="000305ED"/>
    <w:rsid w:val="0003079B"/>
    <w:rsid w:val="00030A23"/>
    <w:rsid w:val="00030B4C"/>
    <w:rsid w:val="00030BDC"/>
    <w:rsid w:val="00030F8F"/>
    <w:rsid w:val="00031044"/>
    <w:rsid w:val="00031238"/>
    <w:rsid w:val="00031384"/>
    <w:rsid w:val="0003156D"/>
    <w:rsid w:val="000315A1"/>
    <w:rsid w:val="000317B0"/>
    <w:rsid w:val="000317DB"/>
    <w:rsid w:val="000319DF"/>
    <w:rsid w:val="00031A6B"/>
    <w:rsid w:val="00031C3A"/>
    <w:rsid w:val="00031C63"/>
    <w:rsid w:val="00031E17"/>
    <w:rsid w:val="0003200E"/>
    <w:rsid w:val="00032421"/>
    <w:rsid w:val="0003296F"/>
    <w:rsid w:val="00032AA9"/>
    <w:rsid w:val="00032AC6"/>
    <w:rsid w:val="00032B7B"/>
    <w:rsid w:val="00032BC8"/>
    <w:rsid w:val="00032C96"/>
    <w:rsid w:val="00032E29"/>
    <w:rsid w:val="000330C5"/>
    <w:rsid w:val="00033429"/>
    <w:rsid w:val="000339F2"/>
    <w:rsid w:val="00033A37"/>
    <w:rsid w:val="00033AC0"/>
    <w:rsid w:val="00033D1C"/>
    <w:rsid w:val="000340EB"/>
    <w:rsid w:val="000342CE"/>
    <w:rsid w:val="000344D2"/>
    <w:rsid w:val="0003457F"/>
    <w:rsid w:val="00034781"/>
    <w:rsid w:val="000348C5"/>
    <w:rsid w:val="00034BBB"/>
    <w:rsid w:val="00034FCE"/>
    <w:rsid w:val="00035284"/>
    <w:rsid w:val="00035471"/>
    <w:rsid w:val="000355E6"/>
    <w:rsid w:val="00035778"/>
    <w:rsid w:val="00035BB3"/>
    <w:rsid w:val="00035BE0"/>
    <w:rsid w:val="00035FC0"/>
    <w:rsid w:val="00036340"/>
    <w:rsid w:val="00036821"/>
    <w:rsid w:val="000368B0"/>
    <w:rsid w:val="00036D1B"/>
    <w:rsid w:val="00036E3B"/>
    <w:rsid w:val="00036F87"/>
    <w:rsid w:val="0003703D"/>
    <w:rsid w:val="0003733C"/>
    <w:rsid w:val="000375DC"/>
    <w:rsid w:val="000377DF"/>
    <w:rsid w:val="0003782B"/>
    <w:rsid w:val="0003787A"/>
    <w:rsid w:val="00040132"/>
    <w:rsid w:val="000401D9"/>
    <w:rsid w:val="00040622"/>
    <w:rsid w:val="00040797"/>
    <w:rsid w:val="00040C12"/>
    <w:rsid w:val="00040D72"/>
    <w:rsid w:val="00040DB9"/>
    <w:rsid w:val="00040E30"/>
    <w:rsid w:val="0004101A"/>
    <w:rsid w:val="00041483"/>
    <w:rsid w:val="000414BC"/>
    <w:rsid w:val="0004167D"/>
    <w:rsid w:val="0004181E"/>
    <w:rsid w:val="0004193F"/>
    <w:rsid w:val="00041B70"/>
    <w:rsid w:val="00041D25"/>
    <w:rsid w:val="00041DBD"/>
    <w:rsid w:val="00041DFD"/>
    <w:rsid w:val="00041F5D"/>
    <w:rsid w:val="000422C4"/>
    <w:rsid w:val="000423B1"/>
    <w:rsid w:val="000423D0"/>
    <w:rsid w:val="000426B6"/>
    <w:rsid w:val="000429AA"/>
    <w:rsid w:val="00042A24"/>
    <w:rsid w:val="00042D5B"/>
    <w:rsid w:val="00042F71"/>
    <w:rsid w:val="00042F93"/>
    <w:rsid w:val="00042FB2"/>
    <w:rsid w:val="0004319B"/>
    <w:rsid w:val="000432F1"/>
    <w:rsid w:val="00043385"/>
    <w:rsid w:val="0004347E"/>
    <w:rsid w:val="000435D4"/>
    <w:rsid w:val="000439F3"/>
    <w:rsid w:val="00043A2C"/>
    <w:rsid w:val="00043A96"/>
    <w:rsid w:val="00043AC2"/>
    <w:rsid w:val="00043B15"/>
    <w:rsid w:val="00043CA9"/>
    <w:rsid w:val="00043E5C"/>
    <w:rsid w:val="00043FBC"/>
    <w:rsid w:val="0004416A"/>
    <w:rsid w:val="000441A1"/>
    <w:rsid w:val="00044357"/>
    <w:rsid w:val="0004444F"/>
    <w:rsid w:val="000446A9"/>
    <w:rsid w:val="0004475C"/>
    <w:rsid w:val="00044FEC"/>
    <w:rsid w:val="00045011"/>
    <w:rsid w:val="0004513C"/>
    <w:rsid w:val="00045158"/>
    <w:rsid w:val="000451A0"/>
    <w:rsid w:val="000451E3"/>
    <w:rsid w:val="00045688"/>
    <w:rsid w:val="0004571A"/>
    <w:rsid w:val="000457C2"/>
    <w:rsid w:val="000458EC"/>
    <w:rsid w:val="00045A91"/>
    <w:rsid w:val="00045AE0"/>
    <w:rsid w:val="00045D55"/>
    <w:rsid w:val="00045D98"/>
    <w:rsid w:val="0004606B"/>
    <w:rsid w:val="000462A0"/>
    <w:rsid w:val="000462EB"/>
    <w:rsid w:val="0004664D"/>
    <w:rsid w:val="000466C8"/>
    <w:rsid w:val="00046897"/>
    <w:rsid w:val="0004697B"/>
    <w:rsid w:val="000469EE"/>
    <w:rsid w:val="00046D7C"/>
    <w:rsid w:val="00046E39"/>
    <w:rsid w:val="00046F35"/>
    <w:rsid w:val="000471F0"/>
    <w:rsid w:val="00047255"/>
    <w:rsid w:val="000474CE"/>
    <w:rsid w:val="000474E7"/>
    <w:rsid w:val="000475CF"/>
    <w:rsid w:val="00047606"/>
    <w:rsid w:val="00047612"/>
    <w:rsid w:val="00047932"/>
    <w:rsid w:val="00047B61"/>
    <w:rsid w:val="00047D2D"/>
    <w:rsid w:val="00047F38"/>
    <w:rsid w:val="00050816"/>
    <w:rsid w:val="00050DCB"/>
    <w:rsid w:val="00050F5A"/>
    <w:rsid w:val="00051079"/>
    <w:rsid w:val="0005120D"/>
    <w:rsid w:val="000512E5"/>
    <w:rsid w:val="0005130D"/>
    <w:rsid w:val="000513EC"/>
    <w:rsid w:val="000515B5"/>
    <w:rsid w:val="00051623"/>
    <w:rsid w:val="00051654"/>
    <w:rsid w:val="000516CC"/>
    <w:rsid w:val="000517D7"/>
    <w:rsid w:val="00051898"/>
    <w:rsid w:val="00051915"/>
    <w:rsid w:val="000519C1"/>
    <w:rsid w:val="00051C09"/>
    <w:rsid w:val="00051C3C"/>
    <w:rsid w:val="00052048"/>
    <w:rsid w:val="00052193"/>
    <w:rsid w:val="0005296B"/>
    <w:rsid w:val="00052A7B"/>
    <w:rsid w:val="00052A7F"/>
    <w:rsid w:val="00052E3F"/>
    <w:rsid w:val="000531F1"/>
    <w:rsid w:val="0005322C"/>
    <w:rsid w:val="000532DA"/>
    <w:rsid w:val="00053393"/>
    <w:rsid w:val="00053526"/>
    <w:rsid w:val="000536A5"/>
    <w:rsid w:val="00053783"/>
    <w:rsid w:val="00053A47"/>
    <w:rsid w:val="00053DBC"/>
    <w:rsid w:val="00053DBF"/>
    <w:rsid w:val="00053E1E"/>
    <w:rsid w:val="00054086"/>
    <w:rsid w:val="000541F6"/>
    <w:rsid w:val="0005424C"/>
    <w:rsid w:val="00054365"/>
    <w:rsid w:val="00054767"/>
    <w:rsid w:val="0005477F"/>
    <w:rsid w:val="00054F4B"/>
    <w:rsid w:val="00055096"/>
    <w:rsid w:val="00055393"/>
    <w:rsid w:val="0005545A"/>
    <w:rsid w:val="000555E7"/>
    <w:rsid w:val="0005594A"/>
    <w:rsid w:val="000563CD"/>
    <w:rsid w:val="00056592"/>
    <w:rsid w:val="000566DB"/>
    <w:rsid w:val="00056DB3"/>
    <w:rsid w:val="00056EAC"/>
    <w:rsid w:val="00056FD9"/>
    <w:rsid w:val="00057122"/>
    <w:rsid w:val="0005722A"/>
    <w:rsid w:val="00057296"/>
    <w:rsid w:val="000572DE"/>
    <w:rsid w:val="000574F4"/>
    <w:rsid w:val="00057745"/>
    <w:rsid w:val="00057C87"/>
    <w:rsid w:val="00057C9F"/>
    <w:rsid w:val="00057CA9"/>
    <w:rsid w:val="00057E7A"/>
    <w:rsid w:val="00057FC2"/>
    <w:rsid w:val="00057FDA"/>
    <w:rsid w:val="00057FE7"/>
    <w:rsid w:val="000600D3"/>
    <w:rsid w:val="00060188"/>
    <w:rsid w:val="00060226"/>
    <w:rsid w:val="00060443"/>
    <w:rsid w:val="00060467"/>
    <w:rsid w:val="00060672"/>
    <w:rsid w:val="000606F8"/>
    <w:rsid w:val="00060764"/>
    <w:rsid w:val="00060864"/>
    <w:rsid w:val="00060B56"/>
    <w:rsid w:val="0006109E"/>
    <w:rsid w:val="0006119A"/>
    <w:rsid w:val="000615C0"/>
    <w:rsid w:val="000616B9"/>
    <w:rsid w:val="000616D6"/>
    <w:rsid w:val="0006188E"/>
    <w:rsid w:val="000618E6"/>
    <w:rsid w:val="0006193C"/>
    <w:rsid w:val="00061BD7"/>
    <w:rsid w:val="00061BD8"/>
    <w:rsid w:val="00062105"/>
    <w:rsid w:val="00062257"/>
    <w:rsid w:val="0006237A"/>
    <w:rsid w:val="00062440"/>
    <w:rsid w:val="00062526"/>
    <w:rsid w:val="00062709"/>
    <w:rsid w:val="0006299A"/>
    <w:rsid w:val="00062B0B"/>
    <w:rsid w:val="00062FF8"/>
    <w:rsid w:val="00063006"/>
    <w:rsid w:val="0006314D"/>
    <w:rsid w:val="0006316A"/>
    <w:rsid w:val="00063508"/>
    <w:rsid w:val="0006351F"/>
    <w:rsid w:val="00063891"/>
    <w:rsid w:val="0006390E"/>
    <w:rsid w:val="00063C94"/>
    <w:rsid w:val="00063C9B"/>
    <w:rsid w:val="000641AB"/>
    <w:rsid w:val="000642B5"/>
    <w:rsid w:val="0006435F"/>
    <w:rsid w:val="00064633"/>
    <w:rsid w:val="00064779"/>
    <w:rsid w:val="000649BB"/>
    <w:rsid w:val="00064C1A"/>
    <w:rsid w:val="00064C7D"/>
    <w:rsid w:val="00064DE4"/>
    <w:rsid w:val="00064E73"/>
    <w:rsid w:val="00064ED2"/>
    <w:rsid w:val="0006524B"/>
    <w:rsid w:val="00065597"/>
    <w:rsid w:val="000658C5"/>
    <w:rsid w:val="00065F90"/>
    <w:rsid w:val="00066008"/>
    <w:rsid w:val="00066204"/>
    <w:rsid w:val="0006638E"/>
    <w:rsid w:val="00066455"/>
    <w:rsid w:val="00066512"/>
    <w:rsid w:val="000666B6"/>
    <w:rsid w:val="00066718"/>
    <w:rsid w:val="000667CA"/>
    <w:rsid w:val="00066AF7"/>
    <w:rsid w:val="00066F75"/>
    <w:rsid w:val="00066FFD"/>
    <w:rsid w:val="00067100"/>
    <w:rsid w:val="0006712A"/>
    <w:rsid w:val="000672BB"/>
    <w:rsid w:val="000672BD"/>
    <w:rsid w:val="0006792C"/>
    <w:rsid w:val="000679B6"/>
    <w:rsid w:val="00067A8F"/>
    <w:rsid w:val="00067C9C"/>
    <w:rsid w:val="00067CD5"/>
    <w:rsid w:val="00067D1F"/>
    <w:rsid w:val="00067D7E"/>
    <w:rsid w:val="00067DF6"/>
    <w:rsid w:val="00067F87"/>
    <w:rsid w:val="00067FDB"/>
    <w:rsid w:val="00070305"/>
    <w:rsid w:val="00070344"/>
    <w:rsid w:val="000703A3"/>
    <w:rsid w:val="00070527"/>
    <w:rsid w:val="00070543"/>
    <w:rsid w:val="00070712"/>
    <w:rsid w:val="00070771"/>
    <w:rsid w:val="00070AAB"/>
    <w:rsid w:val="00071206"/>
    <w:rsid w:val="0007129E"/>
    <w:rsid w:val="000712E0"/>
    <w:rsid w:val="0007137E"/>
    <w:rsid w:val="000713C5"/>
    <w:rsid w:val="000713CE"/>
    <w:rsid w:val="000713CF"/>
    <w:rsid w:val="000714B0"/>
    <w:rsid w:val="0007159C"/>
    <w:rsid w:val="00071636"/>
    <w:rsid w:val="000717D2"/>
    <w:rsid w:val="00071D69"/>
    <w:rsid w:val="00071F3F"/>
    <w:rsid w:val="000723AC"/>
    <w:rsid w:val="000723DA"/>
    <w:rsid w:val="0007253F"/>
    <w:rsid w:val="00072685"/>
    <w:rsid w:val="00072958"/>
    <w:rsid w:val="00072A24"/>
    <w:rsid w:val="00072C74"/>
    <w:rsid w:val="00072F3E"/>
    <w:rsid w:val="00072FB8"/>
    <w:rsid w:val="00072FF1"/>
    <w:rsid w:val="00073146"/>
    <w:rsid w:val="00073364"/>
    <w:rsid w:val="0007372F"/>
    <w:rsid w:val="00073B1E"/>
    <w:rsid w:val="00073D74"/>
    <w:rsid w:val="000740E1"/>
    <w:rsid w:val="0007422B"/>
    <w:rsid w:val="000744A5"/>
    <w:rsid w:val="00074653"/>
    <w:rsid w:val="00074673"/>
    <w:rsid w:val="000748E1"/>
    <w:rsid w:val="000749F1"/>
    <w:rsid w:val="00074B2D"/>
    <w:rsid w:val="00074CD6"/>
    <w:rsid w:val="00074E81"/>
    <w:rsid w:val="00074EF9"/>
    <w:rsid w:val="00075246"/>
    <w:rsid w:val="000752BB"/>
    <w:rsid w:val="000752F1"/>
    <w:rsid w:val="00075564"/>
    <w:rsid w:val="000758F2"/>
    <w:rsid w:val="000759C9"/>
    <w:rsid w:val="00075A5A"/>
    <w:rsid w:val="00075B63"/>
    <w:rsid w:val="00075DDA"/>
    <w:rsid w:val="00075F58"/>
    <w:rsid w:val="000763B8"/>
    <w:rsid w:val="0007653B"/>
    <w:rsid w:val="000766AC"/>
    <w:rsid w:val="00076911"/>
    <w:rsid w:val="000769C0"/>
    <w:rsid w:val="00076BAF"/>
    <w:rsid w:val="00076C94"/>
    <w:rsid w:val="00077389"/>
    <w:rsid w:val="0007752A"/>
    <w:rsid w:val="000779B8"/>
    <w:rsid w:val="00077A00"/>
    <w:rsid w:val="00077ACD"/>
    <w:rsid w:val="00077BE2"/>
    <w:rsid w:val="00077D9E"/>
    <w:rsid w:val="00077DE0"/>
    <w:rsid w:val="000800AC"/>
    <w:rsid w:val="000801D3"/>
    <w:rsid w:val="00080883"/>
    <w:rsid w:val="00080BD8"/>
    <w:rsid w:val="00080BE7"/>
    <w:rsid w:val="00080C1A"/>
    <w:rsid w:val="00080D01"/>
    <w:rsid w:val="00080DEE"/>
    <w:rsid w:val="00081063"/>
    <w:rsid w:val="000810CB"/>
    <w:rsid w:val="000815B5"/>
    <w:rsid w:val="00081731"/>
    <w:rsid w:val="0008173F"/>
    <w:rsid w:val="00081B26"/>
    <w:rsid w:val="00081BE2"/>
    <w:rsid w:val="00081E28"/>
    <w:rsid w:val="00081ECB"/>
    <w:rsid w:val="00081F38"/>
    <w:rsid w:val="00081FC8"/>
    <w:rsid w:val="000820E9"/>
    <w:rsid w:val="000821AF"/>
    <w:rsid w:val="0008272D"/>
    <w:rsid w:val="00082883"/>
    <w:rsid w:val="000829F8"/>
    <w:rsid w:val="00082A8B"/>
    <w:rsid w:val="00082AA3"/>
    <w:rsid w:val="00082DC2"/>
    <w:rsid w:val="00083021"/>
    <w:rsid w:val="00083400"/>
    <w:rsid w:val="0008347C"/>
    <w:rsid w:val="00083653"/>
    <w:rsid w:val="00083717"/>
    <w:rsid w:val="00083A2B"/>
    <w:rsid w:val="00083B07"/>
    <w:rsid w:val="00083C71"/>
    <w:rsid w:val="00083D11"/>
    <w:rsid w:val="00083D7C"/>
    <w:rsid w:val="00083E40"/>
    <w:rsid w:val="00084036"/>
    <w:rsid w:val="00084397"/>
    <w:rsid w:val="000844F5"/>
    <w:rsid w:val="0008452C"/>
    <w:rsid w:val="00084556"/>
    <w:rsid w:val="00084709"/>
    <w:rsid w:val="00084ABD"/>
    <w:rsid w:val="00084DC1"/>
    <w:rsid w:val="00084E9B"/>
    <w:rsid w:val="0008512F"/>
    <w:rsid w:val="000854D9"/>
    <w:rsid w:val="00085767"/>
    <w:rsid w:val="00085873"/>
    <w:rsid w:val="00085D6F"/>
    <w:rsid w:val="00085DDC"/>
    <w:rsid w:val="00085E48"/>
    <w:rsid w:val="00085FB1"/>
    <w:rsid w:val="000865ED"/>
    <w:rsid w:val="000866C9"/>
    <w:rsid w:val="00086909"/>
    <w:rsid w:val="00086C1C"/>
    <w:rsid w:val="00086CB5"/>
    <w:rsid w:val="00087225"/>
    <w:rsid w:val="000873A2"/>
    <w:rsid w:val="00087566"/>
    <w:rsid w:val="00087BE3"/>
    <w:rsid w:val="00087CC4"/>
    <w:rsid w:val="00087F88"/>
    <w:rsid w:val="000903E5"/>
    <w:rsid w:val="00090626"/>
    <w:rsid w:val="00090855"/>
    <w:rsid w:val="00090BB6"/>
    <w:rsid w:val="00090D7B"/>
    <w:rsid w:val="00090E09"/>
    <w:rsid w:val="00091070"/>
    <w:rsid w:val="00091327"/>
    <w:rsid w:val="000914A6"/>
    <w:rsid w:val="0009157E"/>
    <w:rsid w:val="00091583"/>
    <w:rsid w:val="0009164C"/>
    <w:rsid w:val="00091980"/>
    <w:rsid w:val="00091985"/>
    <w:rsid w:val="00091A27"/>
    <w:rsid w:val="00091C8C"/>
    <w:rsid w:val="00091FFE"/>
    <w:rsid w:val="000921E5"/>
    <w:rsid w:val="000923B8"/>
    <w:rsid w:val="0009258E"/>
    <w:rsid w:val="0009265D"/>
    <w:rsid w:val="0009269C"/>
    <w:rsid w:val="000926BB"/>
    <w:rsid w:val="000926CF"/>
    <w:rsid w:val="00092892"/>
    <w:rsid w:val="000928E4"/>
    <w:rsid w:val="00092D08"/>
    <w:rsid w:val="00093102"/>
    <w:rsid w:val="00093171"/>
    <w:rsid w:val="000935AE"/>
    <w:rsid w:val="00093662"/>
    <w:rsid w:val="000939DC"/>
    <w:rsid w:val="00093CAB"/>
    <w:rsid w:val="00093CCA"/>
    <w:rsid w:val="00093D72"/>
    <w:rsid w:val="000949FE"/>
    <w:rsid w:val="00094A59"/>
    <w:rsid w:val="00094C37"/>
    <w:rsid w:val="00094CFC"/>
    <w:rsid w:val="00095487"/>
    <w:rsid w:val="0009558C"/>
    <w:rsid w:val="00095670"/>
    <w:rsid w:val="00095950"/>
    <w:rsid w:val="00095EDC"/>
    <w:rsid w:val="00095F1F"/>
    <w:rsid w:val="0009614D"/>
    <w:rsid w:val="000962DD"/>
    <w:rsid w:val="000962E8"/>
    <w:rsid w:val="0009638B"/>
    <w:rsid w:val="00096643"/>
    <w:rsid w:val="000967A2"/>
    <w:rsid w:val="00096AA2"/>
    <w:rsid w:val="00096C7F"/>
    <w:rsid w:val="00096DB1"/>
    <w:rsid w:val="00096DC3"/>
    <w:rsid w:val="00096FF9"/>
    <w:rsid w:val="00097391"/>
    <w:rsid w:val="00097683"/>
    <w:rsid w:val="00097792"/>
    <w:rsid w:val="000977E4"/>
    <w:rsid w:val="00097BA0"/>
    <w:rsid w:val="00097C80"/>
    <w:rsid w:val="00097D43"/>
    <w:rsid w:val="00097F39"/>
    <w:rsid w:val="00097F7B"/>
    <w:rsid w:val="000A0195"/>
    <w:rsid w:val="000A024D"/>
    <w:rsid w:val="000A0310"/>
    <w:rsid w:val="000A0537"/>
    <w:rsid w:val="000A089E"/>
    <w:rsid w:val="000A0C62"/>
    <w:rsid w:val="000A0D69"/>
    <w:rsid w:val="000A0F28"/>
    <w:rsid w:val="000A11D2"/>
    <w:rsid w:val="000A120F"/>
    <w:rsid w:val="000A1302"/>
    <w:rsid w:val="000A14BE"/>
    <w:rsid w:val="000A1991"/>
    <w:rsid w:val="000A19E3"/>
    <w:rsid w:val="000A1D89"/>
    <w:rsid w:val="000A1E06"/>
    <w:rsid w:val="000A1ED3"/>
    <w:rsid w:val="000A2197"/>
    <w:rsid w:val="000A2264"/>
    <w:rsid w:val="000A23A8"/>
    <w:rsid w:val="000A249D"/>
    <w:rsid w:val="000A2572"/>
    <w:rsid w:val="000A259B"/>
    <w:rsid w:val="000A25B2"/>
    <w:rsid w:val="000A2740"/>
    <w:rsid w:val="000A2940"/>
    <w:rsid w:val="000A294E"/>
    <w:rsid w:val="000A2A3C"/>
    <w:rsid w:val="000A2A91"/>
    <w:rsid w:val="000A2AD6"/>
    <w:rsid w:val="000A2BC1"/>
    <w:rsid w:val="000A2BF4"/>
    <w:rsid w:val="000A2F73"/>
    <w:rsid w:val="000A30E0"/>
    <w:rsid w:val="000A363F"/>
    <w:rsid w:val="000A3C12"/>
    <w:rsid w:val="000A3D13"/>
    <w:rsid w:val="000A3DDC"/>
    <w:rsid w:val="000A3E2C"/>
    <w:rsid w:val="000A3E2E"/>
    <w:rsid w:val="000A40BD"/>
    <w:rsid w:val="000A4114"/>
    <w:rsid w:val="000A4213"/>
    <w:rsid w:val="000A4437"/>
    <w:rsid w:val="000A4870"/>
    <w:rsid w:val="000A48F6"/>
    <w:rsid w:val="000A4BEF"/>
    <w:rsid w:val="000A4C05"/>
    <w:rsid w:val="000A4CE9"/>
    <w:rsid w:val="000A51B8"/>
    <w:rsid w:val="000A5349"/>
    <w:rsid w:val="000A5371"/>
    <w:rsid w:val="000A586B"/>
    <w:rsid w:val="000A593C"/>
    <w:rsid w:val="000A59AE"/>
    <w:rsid w:val="000A5B15"/>
    <w:rsid w:val="000A5C5A"/>
    <w:rsid w:val="000A5CC0"/>
    <w:rsid w:val="000A5DB0"/>
    <w:rsid w:val="000A5F1F"/>
    <w:rsid w:val="000A5F39"/>
    <w:rsid w:val="000A5F71"/>
    <w:rsid w:val="000A5FAA"/>
    <w:rsid w:val="000A5FE7"/>
    <w:rsid w:val="000A6365"/>
    <w:rsid w:val="000A66BC"/>
    <w:rsid w:val="000A66D6"/>
    <w:rsid w:val="000A700E"/>
    <w:rsid w:val="000A77FB"/>
    <w:rsid w:val="000A782A"/>
    <w:rsid w:val="000A7976"/>
    <w:rsid w:val="000A7A82"/>
    <w:rsid w:val="000A7B42"/>
    <w:rsid w:val="000A7DEC"/>
    <w:rsid w:val="000B0197"/>
    <w:rsid w:val="000B02E4"/>
    <w:rsid w:val="000B04E4"/>
    <w:rsid w:val="000B06A2"/>
    <w:rsid w:val="000B0767"/>
    <w:rsid w:val="000B07AF"/>
    <w:rsid w:val="000B0CB8"/>
    <w:rsid w:val="000B0F01"/>
    <w:rsid w:val="000B1203"/>
    <w:rsid w:val="000B1388"/>
    <w:rsid w:val="000B1586"/>
    <w:rsid w:val="000B17DD"/>
    <w:rsid w:val="000B185A"/>
    <w:rsid w:val="000B191B"/>
    <w:rsid w:val="000B1D98"/>
    <w:rsid w:val="000B1EE5"/>
    <w:rsid w:val="000B1FF7"/>
    <w:rsid w:val="000B22E8"/>
    <w:rsid w:val="000B252B"/>
    <w:rsid w:val="000B2688"/>
    <w:rsid w:val="000B26E0"/>
    <w:rsid w:val="000B28C0"/>
    <w:rsid w:val="000B2943"/>
    <w:rsid w:val="000B2C2E"/>
    <w:rsid w:val="000B2F13"/>
    <w:rsid w:val="000B30AC"/>
    <w:rsid w:val="000B33CF"/>
    <w:rsid w:val="000B3767"/>
    <w:rsid w:val="000B37D6"/>
    <w:rsid w:val="000B395F"/>
    <w:rsid w:val="000B3980"/>
    <w:rsid w:val="000B3A1D"/>
    <w:rsid w:val="000B3E1B"/>
    <w:rsid w:val="000B3EAD"/>
    <w:rsid w:val="000B44F1"/>
    <w:rsid w:val="000B4520"/>
    <w:rsid w:val="000B46B3"/>
    <w:rsid w:val="000B4869"/>
    <w:rsid w:val="000B4875"/>
    <w:rsid w:val="000B4885"/>
    <w:rsid w:val="000B4916"/>
    <w:rsid w:val="000B4A1B"/>
    <w:rsid w:val="000B4A2C"/>
    <w:rsid w:val="000B4A95"/>
    <w:rsid w:val="000B4D53"/>
    <w:rsid w:val="000B5009"/>
    <w:rsid w:val="000B5031"/>
    <w:rsid w:val="000B505C"/>
    <w:rsid w:val="000B5156"/>
    <w:rsid w:val="000B5196"/>
    <w:rsid w:val="000B52B8"/>
    <w:rsid w:val="000B5465"/>
    <w:rsid w:val="000B5648"/>
    <w:rsid w:val="000B5A73"/>
    <w:rsid w:val="000B5BF3"/>
    <w:rsid w:val="000B617A"/>
    <w:rsid w:val="000B6308"/>
    <w:rsid w:val="000B6472"/>
    <w:rsid w:val="000B6703"/>
    <w:rsid w:val="000B6774"/>
    <w:rsid w:val="000B679E"/>
    <w:rsid w:val="000B695E"/>
    <w:rsid w:val="000B699F"/>
    <w:rsid w:val="000B6AB6"/>
    <w:rsid w:val="000B6B19"/>
    <w:rsid w:val="000B6EE7"/>
    <w:rsid w:val="000B6F80"/>
    <w:rsid w:val="000B7099"/>
    <w:rsid w:val="000B7150"/>
    <w:rsid w:val="000B728A"/>
    <w:rsid w:val="000B728B"/>
    <w:rsid w:val="000B73E6"/>
    <w:rsid w:val="000B74A4"/>
    <w:rsid w:val="000B7946"/>
    <w:rsid w:val="000B7BC2"/>
    <w:rsid w:val="000B7DB1"/>
    <w:rsid w:val="000B7E28"/>
    <w:rsid w:val="000C014A"/>
    <w:rsid w:val="000C0208"/>
    <w:rsid w:val="000C060C"/>
    <w:rsid w:val="000C0647"/>
    <w:rsid w:val="000C09BC"/>
    <w:rsid w:val="000C104A"/>
    <w:rsid w:val="000C12D2"/>
    <w:rsid w:val="000C13A8"/>
    <w:rsid w:val="000C1471"/>
    <w:rsid w:val="000C19A6"/>
    <w:rsid w:val="000C1F9C"/>
    <w:rsid w:val="000C1FC8"/>
    <w:rsid w:val="000C26A8"/>
    <w:rsid w:val="000C28CD"/>
    <w:rsid w:val="000C2AFE"/>
    <w:rsid w:val="000C2C44"/>
    <w:rsid w:val="000C2FB6"/>
    <w:rsid w:val="000C3661"/>
    <w:rsid w:val="000C37FA"/>
    <w:rsid w:val="000C3B94"/>
    <w:rsid w:val="000C3C79"/>
    <w:rsid w:val="000C3CE0"/>
    <w:rsid w:val="000C3F45"/>
    <w:rsid w:val="000C412B"/>
    <w:rsid w:val="000C45D8"/>
    <w:rsid w:val="000C479D"/>
    <w:rsid w:val="000C4997"/>
    <w:rsid w:val="000C4CA8"/>
    <w:rsid w:val="000C4EA4"/>
    <w:rsid w:val="000C5165"/>
    <w:rsid w:val="000C53A4"/>
    <w:rsid w:val="000C53CE"/>
    <w:rsid w:val="000C53EF"/>
    <w:rsid w:val="000C5434"/>
    <w:rsid w:val="000C5495"/>
    <w:rsid w:val="000C54C9"/>
    <w:rsid w:val="000C561E"/>
    <w:rsid w:val="000C56D4"/>
    <w:rsid w:val="000C56FD"/>
    <w:rsid w:val="000C58A6"/>
    <w:rsid w:val="000C5B96"/>
    <w:rsid w:val="000C5C57"/>
    <w:rsid w:val="000C5CBF"/>
    <w:rsid w:val="000C5EC2"/>
    <w:rsid w:val="000C5FDA"/>
    <w:rsid w:val="000C5FF8"/>
    <w:rsid w:val="000C6021"/>
    <w:rsid w:val="000C623C"/>
    <w:rsid w:val="000C65C0"/>
    <w:rsid w:val="000C66CF"/>
    <w:rsid w:val="000C679D"/>
    <w:rsid w:val="000C6885"/>
    <w:rsid w:val="000C6A55"/>
    <w:rsid w:val="000C6AE6"/>
    <w:rsid w:val="000C6C12"/>
    <w:rsid w:val="000C6C41"/>
    <w:rsid w:val="000C6CB6"/>
    <w:rsid w:val="000C6D07"/>
    <w:rsid w:val="000C6DB9"/>
    <w:rsid w:val="000C7019"/>
    <w:rsid w:val="000C716E"/>
    <w:rsid w:val="000C727D"/>
    <w:rsid w:val="000C72B6"/>
    <w:rsid w:val="000C749F"/>
    <w:rsid w:val="000C7520"/>
    <w:rsid w:val="000C79CB"/>
    <w:rsid w:val="000C7D13"/>
    <w:rsid w:val="000C7F83"/>
    <w:rsid w:val="000D0055"/>
    <w:rsid w:val="000D019E"/>
    <w:rsid w:val="000D0213"/>
    <w:rsid w:val="000D0367"/>
    <w:rsid w:val="000D0418"/>
    <w:rsid w:val="000D05ED"/>
    <w:rsid w:val="000D0C00"/>
    <w:rsid w:val="000D0CE9"/>
    <w:rsid w:val="000D0E89"/>
    <w:rsid w:val="000D1076"/>
    <w:rsid w:val="000D1191"/>
    <w:rsid w:val="000D1204"/>
    <w:rsid w:val="000D1284"/>
    <w:rsid w:val="000D1378"/>
    <w:rsid w:val="000D1468"/>
    <w:rsid w:val="000D14B5"/>
    <w:rsid w:val="000D17CA"/>
    <w:rsid w:val="000D1868"/>
    <w:rsid w:val="000D1B02"/>
    <w:rsid w:val="000D1C52"/>
    <w:rsid w:val="000D1CC9"/>
    <w:rsid w:val="000D1E41"/>
    <w:rsid w:val="000D1F3E"/>
    <w:rsid w:val="000D1FC0"/>
    <w:rsid w:val="000D1FD7"/>
    <w:rsid w:val="000D22A3"/>
    <w:rsid w:val="000D233B"/>
    <w:rsid w:val="000D2872"/>
    <w:rsid w:val="000D28EC"/>
    <w:rsid w:val="000D2AF2"/>
    <w:rsid w:val="000D2C09"/>
    <w:rsid w:val="000D2EDB"/>
    <w:rsid w:val="000D355F"/>
    <w:rsid w:val="000D3655"/>
    <w:rsid w:val="000D3944"/>
    <w:rsid w:val="000D3978"/>
    <w:rsid w:val="000D39FE"/>
    <w:rsid w:val="000D3A0A"/>
    <w:rsid w:val="000D3A8F"/>
    <w:rsid w:val="000D470B"/>
    <w:rsid w:val="000D4817"/>
    <w:rsid w:val="000D49C8"/>
    <w:rsid w:val="000D49E7"/>
    <w:rsid w:val="000D4D85"/>
    <w:rsid w:val="000D4D96"/>
    <w:rsid w:val="000D4DD5"/>
    <w:rsid w:val="000D4F76"/>
    <w:rsid w:val="000D4FCB"/>
    <w:rsid w:val="000D50CB"/>
    <w:rsid w:val="000D5250"/>
    <w:rsid w:val="000D53E8"/>
    <w:rsid w:val="000D5682"/>
    <w:rsid w:val="000D56A1"/>
    <w:rsid w:val="000D5A42"/>
    <w:rsid w:val="000D5BE6"/>
    <w:rsid w:val="000D5C3E"/>
    <w:rsid w:val="000D5DDD"/>
    <w:rsid w:val="000D5EC0"/>
    <w:rsid w:val="000D60EA"/>
    <w:rsid w:val="000D619B"/>
    <w:rsid w:val="000D64C2"/>
    <w:rsid w:val="000D657A"/>
    <w:rsid w:val="000D6671"/>
    <w:rsid w:val="000D66D6"/>
    <w:rsid w:val="000D686D"/>
    <w:rsid w:val="000D69C9"/>
    <w:rsid w:val="000D69F1"/>
    <w:rsid w:val="000D6AB3"/>
    <w:rsid w:val="000D7071"/>
    <w:rsid w:val="000D7196"/>
    <w:rsid w:val="000D72A7"/>
    <w:rsid w:val="000D74D1"/>
    <w:rsid w:val="000D7564"/>
    <w:rsid w:val="000D7A11"/>
    <w:rsid w:val="000D7D57"/>
    <w:rsid w:val="000D7DDE"/>
    <w:rsid w:val="000E0006"/>
    <w:rsid w:val="000E01FA"/>
    <w:rsid w:val="000E0331"/>
    <w:rsid w:val="000E0579"/>
    <w:rsid w:val="000E05E2"/>
    <w:rsid w:val="000E06D2"/>
    <w:rsid w:val="000E0765"/>
    <w:rsid w:val="000E0893"/>
    <w:rsid w:val="000E093D"/>
    <w:rsid w:val="000E0BC7"/>
    <w:rsid w:val="000E0EAC"/>
    <w:rsid w:val="000E10E5"/>
    <w:rsid w:val="000E1547"/>
    <w:rsid w:val="000E1914"/>
    <w:rsid w:val="000E1A54"/>
    <w:rsid w:val="000E1A7E"/>
    <w:rsid w:val="000E1AE3"/>
    <w:rsid w:val="000E1BB3"/>
    <w:rsid w:val="000E1C6B"/>
    <w:rsid w:val="000E1D4D"/>
    <w:rsid w:val="000E1DC6"/>
    <w:rsid w:val="000E1F60"/>
    <w:rsid w:val="000E2381"/>
    <w:rsid w:val="000E273E"/>
    <w:rsid w:val="000E2796"/>
    <w:rsid w:val="000E2C04"/>
    <w:rsid w:val="000E2D1F"/>
    <w:rsid w:val="000E2DE9"/>
    <w:rsid w:val="000E2EC2"/>
    <w:rsid w:val="000E2F1D"/>
    <w:rsid w:val="000E3077"/>
    <w:rsid w:val="000E3176"/>
    <w:rsid w:val="000E31A8"/>
    <w:rsid w:val="000E329B"/>
    <w:rsid w:val="000E335F"/>
    <w:rsid w:val="000E3481"/>
    <w:rsid w:val="000E356E"/>
    <w:rsid w:val="000E35F5"/>
    <w:rsid w:val="000E366E"/>
    <w:rsid w:val="000E372A"/>
    <w:rsid w:val="000E37ED"/>
    <w:rsid w:val="000E38AB"/>
    <w:rsid w:val="000E39F4"/>
    <w:rsid w:val="000E3C0C"/>
    <w:rsid w:val="000E3D0C"/>
    <w:rsid w:val="000E3D6F"/>
    <w:rsid w:val="000E3E79"/>
    <w:rsid w:val="000E3FB7"/>
    <w:rsid w:val="000E3FD8"/>
    <w:rsid w:val="000E455E"/>
    <w:rsid w:val="000E4AC4"/>
    <w:rsid w:val="000E4B6A"/>
    <w:rsid w:val="000E4B6C"/>
    <w:rsid w:val="000E4B74"/>
    <w:rsid w:val="000E5111"/>
    <w:rsid w:val="000E51B0"/>
    <w:rsid w:val="000E5329"/>
    <w:rsid w:val="000E53F4"/>
    <w:rsid w:val="000E5429"/>
    <w:rsid w:val="000E5447"/>
    <w:rsid w:val="000E553F"/>
    <w:rsid w:val="000E5643"/>
    <w:rsid w:val="000E587F"/>
    <w:rsid w:val="000E5AF5"/>
    <w:rsid w:val="000E5BEE"/>
    <w:rsid w:val="000E5BFF"/>
    <w:rsid w:val="000E5D3D"/>
    <w:rsid w:val="000E6125"/>
    <w:rsid w:val="000E6370"/>
    <w:rsid w:val="000E64F3"/>
    <w:rsid w:val="000E653F"/>
    <w:rsid w:val="000E6584"/>
    <w:rsid w:val="000E6706"/>
    <w:rsid w:val="000E6809"/>
    <w:rsid w:val="000E68B5"/>
    <w:rsid w:val="000E713C"/>
    <w:rsid w:val="000E72BA"/>
    <w:rsid w:val="000E730A"/>
    <w:rsid w:val="000E736C"/>
    <w:rsid w:val="000E76D4"/>
    <w:rsid w:val="000E79CC"/>
    <w:rsid w:val="000E7C80"/>
    <w:rsid w:val="000F013C"/>
    <w:rsid w:val="000F02E1"/>
    <w:rsid w:val="000F04FF"/>
    <w:rsid w:val="000F0529"/>
    <w:rsid w:val="000F0570"/>
    <w:rsid w:val="000F064A"/>
    <w:rsid w:val="000F06C4"/>
    <w:rsid w:val="000F07C6"/>
    <w:rsid w:val="000F0854"/>
    <w:rsid w:val="000F0AEA"/>
    <w:rsid w:val="000F0F0E"/>
    <w:rsid w:val="000F0F0F"/>
    <w:rsid w:val="000F1192"/>
    <w:rsid w:val="000F11B4"/>
    <w:rsid w:val="000F1596"/>
    <w:rsid w:val="000F18F4"/>
    <w:rsid w:val="000F1AE6"/>
    <w:rsid w:val="000F1BB1"/>
    <w:rsid w:val="000F1E4D"/>
    <w:rsid w:val="000F1F10"/>
    <w:rsid w:val="000F1FE7"/>
    <w:rsid w:val="000F2143"/>
    <w:rsid w:val="000F23A6"/>
    <w:rsid w:val="000F2659"/>
    <w:rsid w:val="000F27A4"/>
    <w:rsid w:val="000F2ADA"/>
    <w:rsid w:val="000F2D98"/>
    <w:rsid w:val="000F3338"/>
    <w:rsid w:val="000F3449"/>
    <w:rsid w:val="000F368C"/>
    <w:rsid w:val="000F36FB"/>
    <w:rsid w:val="000F38C8"/>
    <w:rsid w:val="000F396F"/>
    <w:rsid w:val="000F3992"/>
    <w:rsid w:val="000F3B33"/>
    <w:rsid w:val="000F3B46"/>
    <w:rsid w:val="000F3C1F"/>
    <w:rsid w:val="000F3E50"/>
    <w:rsid w:val="000F40CA"/>
    <w:rsid w:val="000F42A3"/>
    <w:rsid w:val="000F433E"/>
    <w:rsid w:val="000F4749"/>
    <w:rsid w:val="000F4764"/>
    <w:rsid w:val="000F4B15"/>
    <w:rsid w:val="000F4C38"/>
    <w:rsid w:val="000F4EBB"/>
    <w:rsid w:val="000F4FC6"/>
    <w:rsid w:val="000F500E"/>
    <w:rsid w:val="000F50B6"/>
    <w:rsid w:val="000F522E"/>
    <w:rsid w:val="000F52E6"/>
    <w:rsid w:val="000F53B2"/>
    <w:rsid w:val="000F5413"/>
    <w:rsid w:val="000F5461"/>
    <w:rsid w:val="000F54F6"/>
    <w:rsid w:val="000F54F8"/>
    <w:rsid w:val="000F55A3"/>
    <w:rsid w:val="000F560D"/>
    <w:rsid w:val="000F5685"/>
    <w:rsid w:val="000F5691"/>
    <w:rsid w:val="000F571B"/>
    <w:rsid w:val="000F5877"/>
    <w:rsid w:val="000F5A5D"/>
    <w:rsid w:val="000F5AEB"/>
    <w:rsid w:val="000F5B94"/>
    <w:rsid w:val="000F6043"/>
    <w:rsid w:val="000F60AB"/>
    <w:rsid w:val="000F60AC"/>
    <w:rsid w:val="000F6203"/>
    <w:rsid w:val="000F632E"/>
    <w:rsid w:val="000F645C"/>
    <w:rsid w:val="000F67EC"/>
    <w:rsid w:val="000F683F"/>
    <w:rsid w:val="000F68AC"/>
    <w:rsid w:val="000F6A6D"/>
    <w:rsid w:val="000F75A8"/>
    <w:rsid w:val="000F7830"/>
    <w:rsid w:val="000F7947"/>
    <w:rsid w:val="000F7C65"/>
    <w:rsid w:val="000F7DF6"/>
    <w:rsid w:val="000F7F49"/>
    <w:rsid w:val="001001EC"/>
    <w:rsid w:val="0010027E"/>
    <w:rsid w:val="00100A05"/>
    <w:rsid w:val="00100FCD"/>
    <w:rsid w:val="0010131E"/>
    <w:rsid w:val="00101376"/>
    <w:rsid w:val="00101469"/>
    <w:rsid w:val="001014E7"/>
    <w:rsid w:val="0010160C"/>
    <w:rsid w:val="001016EF"/>
    <w:rsid w:val="001018F3"/>
    <w:rsid w:val="00101A6E"/>
    <w:rsid w:val="00101E93"/>
    <w:rsid w:val="0010204F"/>
    <w:rsid w:val="00102144"/>
    <w:rsid w:val="00102843"/>
    <w:rsid w:val="00102862"/>
    <w:rsid w:val="00102944"/>
    <w:rsid w:val="001029DE"/>
    <w:rsid w:val="00102AA6"/>
    <w:rsid w:val="00102B72"/>
    <w:rsid w:val="00102CC8"/>
    <w:rsid w:val="00103168"/>
    <w:rsid w:val="0010327E"/>
    <w:rsid w:val="001034F3"/>
    <w:rsid w:val="001035EA"/>
    <w:rsid w:val="0010385C"/>
    <w:rsid w:val="001038CF"/>
    <w:rsid w:val="00103994"/>
    <w:rsid w:val="00103F4C"/>
    <w:rsid w:val="00104004"/>
    <w:rsid w:val="00104050"/>
    <w:rsid w:val="001040D7"/>
    <w:rsid w:val="0010490C"/>
    <w:rsid w:val="0010492A"/>
    <w:rsid w:val="00104CC0"/>
    <w:rsid w:val="00104D31"/>
    <w:rsid w:val="00104F88"/>
    <w:rsid w:val="00104FBB"/>
    <w:rsid w:val="00104FFF"/>
    <w:rsid w:val="00105046"/>
    <w:rsid w:val="001051DD"/>
    <w:rsid w:val="00105227"/>
    <w:rsid w:val="00105446"/>
    <w:rsid w:val="00105457"/>
    <w:rsid w:val="001054C9"/>
    <w:rsid w:val="001055D7"/>
    <w:rsid w:val="001057DE"/>
    <w:rsid w:val="0010580D"/>
    <w:rsid w:val="001058FB"/>
    <w:rsid w:val="00105A49"/>
    <w:rsid w:val="00105AC5"/>
    <w:rsid w:val="00105AF2"/>
    <w:rsid w:val="00105B9A"/>
    <w:rsid w:val="00105E7F"/>
    <w:rsid w:val="00105E95"/>
    <w:rsid w:val="00105F13"/>
    <w:rsid w:val="0010603E"/>
    <w:rsid w:val="001060E3"/>
    <w:rsid w:val="00106611"/>
    <w:rsid w:val="00106719"/>
    <w:rsid w:val="00106904"/>
    <w:rsid w:val="00106D4F"/>
    <w:rsid w:val="00106EBB"/>
    <w:rsid w:val="00107015"/>
    <w:rsid w:val="00107058"/>
    <w:rsid w:val="00107115"/>
    <w:rsid w:val="00107861"/>
    <w:rsid w:val="001078EC"/>
    <w:rsid w:val="001079F5"/>
    <w:rsid w:val="00107AA5"/>
    <w:rsid w:val="00107DE5"/>
    <w:rsid w:val="00110002"/>
    <w:rsid w:val="00110130"/>
    <w:rsid w:val="001103C3"/>
    <w:rsid w:val="00110535"/>
    <w:rsid w:val="00110880"/>
    <w:rsid w:val="00110B4F"/>
    <w:rsid w:val="00110BDC"/>
    <w:rsid w:val="00110CFC"/>
    <w:rsid w:val="00110E5C"/>
    <w:rsid w:val="001111A4"/>
    <w:rsid w:val="00111297"/>
    <w:rsid w:val="001112B9"/>
    <w:rsid w:val="001112E5"/>
    <w:rsid w:val="00111625"/>
    <w:rsid w:val="00111817"/>
    <w:rsid w:val="00111860"/>
    <w:rsid w:val="001118D9"/>
    <w:rsid w:val="00111A08"/>
    <w:rsid w:val="00111A0F"/>
    <w:rsid w:val="00111A67"/>
    <w:rsid w:val="00111AA7"/>
    <w:rsid w:val="00111AEC"/>
    <w:rsid w:val="00111CBD"/>
    <w:rsid w:val="00111E45"/>
    <w:rsid w:val="00112099"/>
    <w:rsid w:val="0011217B"/>
    <w:rsid w:val="001123DB"/>
    <w:rsid w:val="001123F3"/>
    <w:rsid w:val="00112411"/>
    <w:rsid w:val="00112777"/>
    <w:rsid w:val="00112915"/>
    <w:rsid w:val="00112B38"/>
    <w:rsid w:val="00112CCF"/>
    <w:rsid w:val="00112D5B"/>
    <w:rsid w:val="00112DA1"/>
    <w:rsid w:val="00113118"/>
    <w:rsid w:val="00113868"/>
    <w:rsid w:val="00113B47"/>
    <w:rsid w:val="00113C63"/>
    <w:rsid w:val="00113EFC"/>
    <w:rsid w:val="00113F11"/>
    <w:rsid w:val="0011423F"/>
    <w:rsid w:val="001142F1"/>
    <w:rsid w:val="001144F5"/>
    <w:rsid w:val="00114545"/>
    <w:rsid w:val="00114702"/>
    <w:rsid w:val="00114837"/>
    <w:rsid w:val="00114C88"/>
    <w:rsid w:val="00114D1B"/>
    <w:rsid w:val="00114E69"/>
    <w:rsid w:val="00115046"/>
    <w:rsid w:val="001150AE"/>
    <w:rsid w:val="00115176"/>
    <w:rsid w:val="001151A0"/>
    <w:rsid w:val="00115B7C"/>
    <w:rsid w:val="00116613"/>
    <w:rsid w:val="001168DE"/>
    <w:rsid w:val="00116929"/>
    <w:rsid w:val="00116949"/>
    <w:rsid w:val="00116B16"/>
    <w:rsid w:val="00116B4A"/>
    <w:rsid w:val="00116B72"/>
    <w:rsid w:val="00116C92"/>
    <w:rsid w:val="00116E45"/>
    <w:rsid w:val="00116E53"/>
    <w:rsid w:val="00116EC8"/>
    <w:rsid w:val="00116F56"/>
    <w:rsid w:val="00117171"/>
    <w:rsid w:val="00117176"/>
    <w:rsid w:val="00117330"/>
    <w:rsid w:val="00117413"/>
    <w:rsid w:val="00117552"/>
    <w:rsid w:val="001176FE"/>
    <w:rsid w:val="00117D65"/>
    <w:rsid w:val="00117E01"/>
    <w:rsid w:val="00117F05"/>
    <w:rsid w:val="001202B1"/>
    <w:rsid w:val="001202B6"/>
    <w:rsid w:val="0012062A"/>
    <w:rsid w:val="001206B2"/>
    <w:rsid w:val="00120824"/>
    <w:rsid w:val="0012087C"/>
    <w:rsid w:val="0012093F"/>
    <w:rsid w:val="00120A2E"/>
    <w:rsid w:val="00120B0E"/>
    <w:rsid w:val="00120B9F"/>
    <w:rsid w:val="00120BE3"/>
    <w:rsid w:val="00120EB0"/>
    <w:rsid w:val="00120F4B"/>
    <w:rsid w:val="00120F95"/>
    <w:rsid w:val="00121078"/>
    <w:rsid w:val="001210B0"/>
    <w:rsid w:val="00121118"/>
    <w:rsid w:val="0012111F"/>
    <w:rsid w:val="00121A9D"/>
    <w:rsid w:val="00121D7C"/>
    <w:rsid w:val="0012204E"/>
    <w:rsid w:val="0012209B"/>
    <w:rsid w:val="0012250A"/>
    <w:rsid w:val="00122535"/>
    <w:rsid w:val="00122802"/>
    <w:rsid w:val="00122C61"/>
    <w:rsid w:val="00122D33"/>
    <w:rsid w:val="00122DBD"/>
    <w:rsid w:val="00122F1D"/>
    <w:rsid w:val="00123048"/>
    <w:rsid w:val="00123220"/>
    <w:rsid w:val="001232EB"/>
    <w:rsid w:val="00123301"/>
    <w:rsid w:val="0012335A"/>
    <w:rsid w:val="00123481"/>
    <w:rsid w:val="00123612"/>
    <w:rsid w:val="0012364E"/>
    <w:rsid w:val="001238E9"/>
    <w:rsid w:val="00123966"/>
    <w:rsid w:val="00123AD7"/>
    <w:rsid w:val="00123C4F"/>
    <w:rsid w:val="00123FB2"/>
    <w:rsid w:val="001240A3"/>
    <w:rsid w:val="001240AB"/>
    <w:rsid w:val="001243CA"/>
    <w:rsid w:val="001243E1"/>
    <w:rsid w:val="00124439"/>
    <w:rsid w:val="00124486"/>
    <w:rsid w:val="001246A0"/>
    <w:rsid w:val="00124A86"/>
    <w:rsid w:val="00125306"/>
    <w:rsid w:val="00125363"/>
    <w:rsid w:val="0012547B"/>
    <w:rsid w:val="00125527"/>
    <w:rsid w:val="001255D9"/>
    <w:rsid w:val="00125684"/>
    <w:rsid w:val="001256C4"/>
    <w:rsid w:val="0012582D"/>
    <w:rsid w:val="00125C41"/>
    <w:rsid w:val="00126081"/>
    <w:rsid w:val="001260D9"/>
    <w:rsid w:val="001267E2"/>
    <w:rsid w:val="0012684C"/>
    <w:rsid w:val="001269F6"/>
    <w:rsid w:val="00126A58"/>
    <w:rsid w:val="00126F6D"/>
    <w:rsid w:val="00127407"/>
    <w:rsid w:val="00127531"/>
    <w:rsid w:val="0012753B"/>
    <w:rsid w:val="001277DC"/>
    <w:rsid w:val="001278E3"/>
    <w:rsid w:val="00127A2C"/>
    <w:rsid w:val="00127C33"/>
    <w:rsid w:val="00127DF0"/>
    <w:rsid w:val="00127F6C"/>
    <w:rsid w:val="00127FBD"/>
    <w:rsid w:val="00130217"/>
    <w:rsid w:val="0013090B"/>
    <w:rsid w:val="00130B93"/>
    <w:rsid w:val="00130BAC"/>
    <w:rsid w:val="00130EE7"/>
    <w:rsid w:val="0013106D"/>
    <w:rsid w:val="00131288"/>
    <w:rsid w:val="001316C2"/>
    <w:rsid w:val="001316CE"/>
    <w:rsid w:val="0013173D"/>
    <w:rsid w:val="001317D0"/>
    <w:rsid w:val="001318AE"/>
    <w:rsid w:val="001318F6"/>
    <w:rsid w:val="00131C0F"/>
    <w:rsid w:val="00131D3B"/>
    <w:rsid w:val="00131D7D"/>
    <w:rsid w:val="00131FB4"/>
    <w:rsid w:val="0013211B"/>
    <w:rsid w:val="0013217D"/>
    <w:rsid w:val="001322AB"/>
    <w:rsid w:val="001326B3"/>
    <w:rsid w:val="00132907"/>
    <w:rsid w:val="0013293D"/>
    <w:rsid w:val="00132950"/>
    <w:rsid w:val="00132A97"/>
    <w:rsid w:val="00132A98"/>
    <w:rsid w:val="00132BF3"/>
    <w:rsid w:val="00132D31"/>
    <w:rsid w:val="00132EB9"/>
    <w:rsid w:val="00132F0D"/>
    <w:rsid w:val="00132F47"/>
    <w:rsid w:val="0013303F"/>
    <w:rsid w:val="00133181"/>
    <w:rsid w:val="001331CD"/>
    <w:rsid w:val="001332A2"/>
    <w:rsid w:val="00133347"/>
    <w:rsid w:val="0013335A"/>
    <w:rsid w:val="0013346C"/>
    <w:rsid w:val="001334C1"/>
    <w:rsid w:val="0013359C"/>
    <w:rsid w:val="00133686"/>
    <w:rsid w:val="001336DA"/>
    <w:rsid w:val="00133906"/>
    <w:rsid w:val="00133AC5"/>
    <w:rsid w:val="00133F2B"/>
    <w:rsid w:val="00133FF9"/>
    <w:rsid w:val="00134382"/>
    <w:rsid w:val="00134475"/>
    <w:rsid w:val="00134581"/>
    <w:rsid w:val="00134653"/>
    <w:rsid w:val="001348CB"/>
    <w:rsid w:val="00134DD4"/>
    <w:rsid w:val="00134E34"/>
    <w:rsid w:val="00134E4A"/>
    <w:rsid w:val="00134F0B"/>
    <w:rsid w:val="00134FF7"/>
    <w:rsid w:val="00135196"/>
    <w:rsid w:val="00135215"/>
    <w:rsid w:val="001353F8"/>
    <w:rsid w:val="001356A0"/>
    <w:rsid w:val="00135738"/>
    <w:rsid w:val="0013582D"/>
    <w:rsid w:val="00135A8D"/>
    <w:rsid w:val="00135EA4"/>
    <w:rsid w:val="00135F92"/>
    <w:rsid w:val="0013604B"/>
    <w:rsid w:val="00136145"/>
    <w:rsid w:val="0013614D"/>
    <w:rsid w:val="0013677A"/>
    <w:rsid w:val="001367BD"/>
    <w:rsid w:val="00136936"/>
    <w:rsid w:val="00136BCA"/>
    <w:rsid w:val="00136BF9"/>
    <w:rsid w:val="00136CFA"/>
    <w:rsid w:val="0013722D"/>
    <w:rsid w:val="001375AB"/>
    <w:rsid w:val="00137C2E"/>
    <w:rsid w:val="00137C45"/>
    <w:rsid w:val="00137D36"/>
    <w:rsid w:val="00137F86"/>
    <w:rsid w:val="001401A5"/>
    <w:rsid w:val="001401B5"/>
    <w:rsid w:val="001401D2"/>
    <w:rsid w:val="00140208"/>
    <w:rsid w:val="001406DC"/>
    <w:rsid w:val="0014081B"/>
    <w:rsid w:val="00140BD4"/>
    <w:rsid w:val="00140CA9"/>
    <w:rsid w:val="00140D8C"/>
    <w:rsid w:val="00140E4D"/>
    <w:rsid w:val="00140F7D"/>
    <w:rsid w:val="00141059"/>
    <w:rsid w:val="0014112E"/>
    <w:rsid w:val="001412E6"/>
    <w:rsid w:val="001417EE"/>
    <w:rsid w:val="00141936"/>
    <w:rsid w:val="00141AF6"/>
    <w:rsid w:val="00141B55"/>
    <w:rsid w:val="00141F30"/>
    <w:rsid w:val="00141FEE"/>
    <w:rsid w:val="00142088"/>
    <w:rsid w:val="001420A3"/>
    <w:rsid w:val="00142166"/>
    <w:rsid w:val="00142528"/>
    <w:rsid w:val="00142736"/>
    <w:rsid w:val="001427DF"/>
    <w:rsid w:val="00142AE8"/>
    <w:rsid w:val="00142B01"/>
    <w:rsid w:val="00142C17"/>
    <w:rsid w:val="00142EC3"/>
    <w:rsid w:val="00142F0E"/>
    <w:rsid w:val="00143043"/>
    <w:rsid w:val="00143088"/>
    <w:rsid w:val="00143213"/>
    <w:rsid w:val="00143367"/>
    <w:rsid w:val="001433C3"/>
    <w:rsid w:val="001434CE"/>
    <w:rsid w:val="00143753"/>
    <w:rsid w:val="00143991"/>
    <w:rsid w:val="001439EF"/>
    <w:rsid w:val="00143B17"/>
    <w:rsid w:val="00143E36"/>
    <w:rsid w:val="0014401E"/>
    <w:rsid w:val="00144338"/>
    <w:rsid w:val="00144AAB"/>
    <w:rsid w:val="00144ADD"/>
    <w:rsid w:val="00144B6F"/>
    <w:rsid w:val="0014507B"/>
    <w:rsid w:val="00145089"/>
    <w:rsid w:val="001450D6"/>
    <w:rsid w:val="001451CA"/>
    <w:rsid w:val="001452A1"/>
    <w:rsid w:val="001452EE"/>
    <w:rsid w:val="0014566D"/>
    <w:rsid w:val="001458A1"/>
    <w:rsid w:val="001458BA"/>
    <w:rsid w:val="0014597D"/>
    <w:rsid w:val="00145B91"/>
    <w:rsid w:val="00145BA1"/>
    <w:rsid w:val="00145CB5"/>
    <w:rsid w:val="00145D46"/>
    <w:rsid w:val="00145F95"/>
    <w:rsid w:val="00146642"/>
    <w:rsid w:val="00146C83"/>
    <w:rsid w:val="00146E7E"/>
    <w:rsid w:val="00146E80"/>
    <w:rsid w:val="00147035"/>
    <w:rsid w:val="001470C9"/>
    <w:rsid w:val="001470F4"/>
    <w:rsid w:val="001476BB"/>
    <w:rsid w:val="00147769"/>
    <w:rsid w:val="0014776A"/>
    <w:rsid w:val="001477FD"/>
    <w:rsid w:val="001479AA"/>
    <w:rsid w:val="00147AA8"/>
    <w:rsid w:val="00147BC7"/>
    <w:rsid w:val="001500CC"/>
    <w:rsid w:val="00150126"/>
    <w:rsid w:val="0015035D"/>
    <w:rsid w:val="00150374"/>
    <w:rsid w:val="001504F5"/>
    <w:rsid w:val="0015066C"/>
    <w:rsid w:val="001506B0"/>
    <w:rsid w:val="0015078F"/>
    <w:rsid w:val="001509CC"/>
    <w:rsid w:val="001511BA"/>
    <w:rsid w:val="00151584"/>
    <w:rsid w:val="00151757"/>
    <w:rsid w:val="001518B5"/>
    <w:rsid w:val="00151A4B"/>
    <w:rsid w:val="00151B3E"/>
    <w:rsid w:val="00151BC5"/>
    <w:rsid w:val="00151D8E"/>
    <w:rsid w:val="001520BE"/>
    <w:rsid w:val="001522FB"/>
    <w:rsid w:val="00152666"/>
    <w:rsid w:val="00152B6C"/>
    <w:rsid w:val="00152BB3"/>
    <w:rsid w:val="00152F0F"/>
    <w:rsid w:val="0015315A"/>
    <w:rsid w:val="001539A7"/>
    <w:rsid w:val="00153BA4"/>
    <w:rsid w:val="00153CAC"/>
    <w:rsid w:val="00154002"/>
    <w:rsid w:val="00154086"/>
    <w:rsid w:val="0015418C"/>
    <w:rsid w:val="0015430A"/>
    <w:rsid w:val="0015449A"/>
    <w:rsid w:val="001544FE"/>
    <w:rsid w:val="00154593"/>
    <w:rsid w:val="001546E4"/>
    <w:rsid w:val="00154B0E"/>
    <w:rsid w:val="00154F7E"/>
    <w:rsid w:val="001550DB"/>
    <w:rsid w:val="00155107"/>
    <w:rsid w:val="00155479"/>
    <w:rsid w:val="0015548B"/>
    <w:rsid w:val="00155809"/>
    <w:rsid w:val="001558BF"/>
    <w:rsid w:val="001558C7"/>
    <w:rsid w:val="00155A3C"/>
    <w:rsid w:val="00155C31"/>
    <w:rsid w:val="00155D64"/>
    <w:rsid w:val="00155D6B"/>
    <w:rsid w:val="00155E7F"/>
    <w:rsid w:val="00156010"/>
    <w:rsid w:val="00156261"/>
    <w:rsid w:val="00156359"/>
    <w:rsid w:val="00156788"/>
    <w:rsid w:val="001568A3"/>
    <w:rsid w:val="00156A61"/>
    <w:rsid w:val="00156AD9"/>
    <w:rsid w:val="00156BE8"/>
    <w:rsid w:val="00156C7D"/>
    <w:rsid w:val="00156E57"/>
    <w:rsid w:val="00156F79"/>
    <w:rsid w:val="001575AA"/>
    <w:rsid w:val="001575FC"/>
    <w:rsid w:val="00157840"/>
    <w:rsid w:val="00157D51"/>
    <w:rsid w:val="00157DD1"/>
    <w:rsid w:val="0016025B"/>
    <w:rsid w:val="0016028E"/>
    <w:rsid w:val="001604F8"/>
    <w:rsid w:val="00160977"/>
    <w:rsid w:val="00160A08"/>
    <w:rsid w:val="00160A88"/>
    <w:rsid w:val="00160B2F"/>
    <w:rsid w:val="00160BA1"/>
    <w:rsid w:val="00160C1D"/>
    <w:rsid w:val="00161059"/>
    <w:rsid w:val="0016123C"/>
    <w:rsid w:val="001615D5"/>
    <w:rsid w:val="001617FB"/>
    <w:rsid w:val="00161AED"/>
    <w:rsid w:val="00161C4D"/>
    <w:rsid w:val="00161D08"/>
    <w:rsid w:val="00161F30"/>
    <w:rsid w:val="00162868"/>
    <w:rsid w:val="00162889"/>
    <w:rsid w:val="001628FF"/>
    <w:rsid w:val="00162B60"/>
    <w:rsid w:val="00162B8F"/>
    <w:rsid w:val="00162C06"/>
    <w:rsid w:val="00162D74"/>
    <w:rsid w:val="00162FFF"/>
    <w:rsid w:val="0016387F"/>
    <w:rsid w:val="00163A78"/>
    <w:rsid w:val="00163F47"/>
    <w:rsid w:val="001642AC"/>
    <w:rsid w:val="001645B8"/>
    <w:rsid w:val="00164602"/>
    <w:rsid w:val="0016461F"/>
    <w:rsid w:val="001647B6"/>
    <w:rsid w:val="00164A26"/>
    <w:rsid w:val="00164B03"/>
    <w:rsid w:val="00164BB2"/>
    <w:rsid w:val="00164C16"/>
    <w:rsid w:val="00164C48"/>
    <w:rsid w:val="00164E83"/>
    <w:rsid w:val="00165131"/>
    <w:rsid w:val="001655A8"/>
    <w:rsid w:val="001659B4"/>
    <w:rsid w:val="001659D9"/>
    <w:rsid w:val="00165CCA"/>
    <w:rsid w:val="00165CFB"/>
    <w:rsid w:val="00165D63"/>
    <w:rsid w:val="001665B2"/>
    <w:rsid w:val="001668B2"/>
    <w:rsid w:val="00166B1D"/>
    <w:rsid w:val="00166B55"/>
    <w:rsid w:val="00166C5E"/>
    <w:rsid w:val="00166C7C"/>
    <w:rsid w:val="00166D50"/>
    <w:rsid w:val="00166DF8"/>
    <w:rsid w:val="00166ED9"/>
    <w:rsid w:val="00166EEA"/>
    <w:rsid w:val="00166F05"/>
    <w:rsid w:val="00166FA3"/>
    <w:rsid w:val="0016733A"/>
    <w:rsid w:val="0016747B"/>
    <w:rsid w:val="00167538"/>
    <w:rsid w:val="001675A3"/>
    <w:rsid w:val="001675C4"/>
    <w:rsid w:val="00167720"/>
    <w:rsid w:val="001677D0"/>
    <w:rsid w:val="001677D4"/>
    <w:rsid w:val="00167C89"/>
    <w:rsid w:val="00167CAB"/>
    <w:rsid w:val="00167E4E"/>
    <w:rsid w:val="00167E76"/>
    <w:rsid w:val="00167EA7"/>
    <w:rsid w:val="0017027D"/>
    <w:rsid w:val="001705B8"/>
    <w:rsid w:val="00170618"/>
    <w:rsid w:val="00170C8D"/>
    <w:rsid w:val="00170CFD"/>
    <w:rsid w:val="00170D13"/>
    <w:rsid w:val="00170D54"/>
    <w:rsid w:val="00170DA3"/>
    <w:rsid w:val="00170DD7"/>
    <w:rsid w:val="00170FEE"/>
    <w:rsid w:val="0017131E"/>
    <w:rsid w:val="00171569"/>
    <w:rsid w:val="001717AB"/>
    <w:rsid w:val="001719A2"/>
    <w:rsid w:val="00171ABA"/>
    <w:rsid w:val="00171BDC"/>
    <w:rsid w:val="00171BEE"/>
    <w:rsid w:val="00171C0F"/>
    <w:rsid w:val="00171DAD"/>
    <w:rsid w:val="00171E96"/>
    <w:rsid w:val="00172066"/>
    <w:rsid w:val="00172189"/>
    <w:rsid w:val="001721BC"/>
    <w:rsid w:val="00172436"/>
    <w:rsid w:val="001726A4"/>
    <w:rsid w:val="001727A2"/>
    <w:rsid w:val="00172A27"/>
    <w:rsid w:val="00172AA3"/>
    <w:rsid w:val="00172D92"/>
    <w:rsid w:val="001732A7"/>
    <w:rsid w:val="001735D3"/>
    <w:rsid w:val="00173A1C"/>
    <w:rsid w:val="00173C88"/>
    <w:rsid w:val="00173D7B"/>
    <w:rsid w:val="00173DCC"/>
    <w:rsid w:val="00173E9A"/>
    <w:rsid w:val="00173ED9"/>
    <w:rsid w:val="00174172"/>
    <w:rsid w:val="0017426B"/>
    <w:rsid w:val="00174389"/>
    <w:rsid w:val="001745B1"/>
    <w:rsid w:val="001746B6"/>
    <w:rsid w:val="00174740"/>
    <w:rsid w:val="00174AD4"/>
    <w:rsid w:val="00174CAF"/>
    <w:rsid w:val="00174D84"/>
    <w:rsid w:val="00174DC2"/>
    <w:rsid w:val="00174EED"/>
    <w:rsid w:val="001751CA"/>
    <w:rsid w:val="001753E5"/>
    <w:rsid w:val="0017542E"/>
    <w:rsid w:val="00175543"/>
    <w:rsid w:val="00175565"/>
    <w:rsid w:val="001758A5"/>
    <w:rsid w:val="00175919"/>
    <w:rsid w:val="00175D85"/>
    <w:rsid w:val="0017604C"/>
    <w:rsid w:val="001760F5"/>
    <w:rsid w:val="001761DA"/>
    <w:rsid w:val="0017621E"/>
    <w:rsid w:val="001762EE"/>
    <w:rsid w:val="00176381"/>
    <w:rsid w:val="0017654A"/>
    <w:rsid w:val="0017656E"/>
    <w:rsid w:val="00176718"/>
    <w:rsid w:val="00176961"/>
    <w:rsid w:val="00176CB9"/>
    <w:rsid w:val="00176DCD"/>
    <w:rsid w:val="00177059"/>
    <w:rsid w:val="00177179"/>
    <w:rsid w:val="00177215"/>
    <w:rsid w:val="001772C6"/>
    <w:rsid w:val="001774CA"/>
    <w:rsid w:val="00177583"/>
    <w:rsid w:val="00177632"/>
    <w:rsid w:val="00177781"/>
    <w:rsid w:val="0017783B"/>
    <w:rsid w:val="001778D5"/>
    <w:rsid w:val="00177937"/>
    <w:rsid w:val="001779EC"/>
    <w:rsid w:val="00177AA1"/>
    <w:rsid w:val="00177CAA"/>
    <w:rsid w:val="0018013E"/>
    <w:rsid w:val="00180243"/>
    <w:rsid w:val="00180297"/>
    <w:rsid w:val="001802D1"/>
    <w:rsid w:val="00180664"/>
    <w:rsid w:val="001809E7"/>
    <w:rsid w:val="00180B80"/>
    <w:rsid w:val="00180E58"/>
    <w:rsid w:val="00181160"/>
    <w:rsid w:val="001811E7"/>
    <w:rsid w:val="001811F0"/>
    <w:rsid w:val="0018158E"/>
    <w:rsid w:val="0018159E"/>
    <w:rsid w:val="001815E7"/>
    <w:rsid w:val="001816AD"/>
    <w:rsid w:val="001817FE"/>
    <w:rsid w:val="00181898"/>
    <w:rsid w:val="0018190C"/>
    <w:rsid w:val="00181A14"/>
    <w:rsid w:val="00181C7C"/>
    <w:rsid w:val="00181D07"/>
    <w:rsid w:val="001820C5"/>
    <w:rsid w:val="001824F5"/>
    <w:rsid w:val="00182D2E"/>
    <w:rsid w:val="00182DD0"/>
    <w:rsid w:val="00182EE3"/>
    <w:rsid w:val="00182FB8"/>
    <w:rsid w:val="00183196"/>
    <w:rsid w:val="00183216"/>
    <w:rsid w:val="00183310"/>
    <w:rsid w:val="00183377"/>
    <w:rsid w:val="00183425"/>
    <w:rsid w:val="00183596"/>
    <w:rsid w:val="00183BC7"/>
    <w:rsid w:val="00183DC8"/>
    <w:rsid w:val="00183F8B"/>
    <w:rsid w:val="00184007"/>
    <w:rsid w:val="00184268"/>
    <w:rsid w:val="001842E3"/>
    <w:rsid w:val="00184544"/>
    <w:rsid w:val="001845E7"/>
    <w:rsid w:val="001847A7"/>
    <w:rsid w:val="0018492D"/>
    <w:rsid w:val="00184A02"/>
    <w:rsid w:val="00184A32"/>
    <w:rsid w:val="00184D78"/>
    <w:rsid w:val="00184FA1"/>
    <w:rsid w:val="001850CF"/>
    <w:rsid w:val="0018514B"/>
    <w:rsid w:val="001852AE"/>
    <w:rsid w:val="00185393"/>
    <w:rsid w:val="0018574C"/>
    <w:rsid w:val="00185792"/>
    <w:rsid w:val="00185E8F"/>
    <w:rsid w:val="00185E9C"/>
    <w:rsid w:val="00185F68"/>
    <w:rsid w:val="00186066"/>
    <w:rsid w:val="001861A8"/>
    <w:rsid w:val="001863A3"/>
    <w:rsid w:val="001863D1"/>
    <w:rsid w:val="0018643B"/>
    <w:rsid w:val="0018675C"/>
    <w:rsid w:val="00186BA3"/>
    <w:rsid w:val="00186C09"/>
    <w:rsid w:val="00186F80"/>
    <w:rsid w:val="00186F8C"/>
    <w:rsid w:val="0018723D"/>
    <w:rsid w:val="00187FC0"/>
    <w:rsid w:val="0019038A"/>
    <w:rsid w:val="001903DD"/>
    <w:rsid w:val="001905EB"/>
    <w:rsid w:val="001906E2"/>
    <w:rsid w:val="00190767"/>
    <w:rsid w:val="001909A1"/>
    <w:rsid w:val="001909AB"/>
    <w:rsid w:val="00190C51"/>
    <w:rsid w:val="00190D73"/>
    <w:rsid w:val="00190DB3"/>
    <w:rsid w:val="00190F5A"/>
    <w:rsid w:val="0019120A"/>
    <w:rsid w:val="001912F1"/>
    <w:rsid w:val="00191311"/>
    <w:rsid w:val="00191348"/>
    <w:rsid w:val="0019185F"/>
    <w:rsid w:val="00191863"/>
    <w:rsid w:val="0019198C"/>
    <w:rsid w:val="0019209E"/>
    <w:rsid w:val="001924AD"/>
    <w:rsid w:val="0019288D"/>
    <w:rsid w:val="00192A2E"/>
    <w:rsid w:val="00192B25"/>
    <w:rsid w:val="001930E2"/>
    <w:rsid w:val="00193220"/>
    <w:rsid w:val="001934A4"/>
    <w:rsid w:val="00193521"/>
    <w:rsid w:val="0019368B"/>
    <w:rsid w:val="00193707"/>
    <w:rsid w:val="0019386F"/>
    <w:rsid w:val="00193AF3"/>
    <w:rsid w:val="00193B1F"/>
    <w:rsid w:val="00193EBC"/>
    <w:rsid w:val="00193F3C"/>
    <w:rsid w:val="00193F6F"/>
    <w:rsid w:val="00194123"/>
    <w:rsid w:val="001942C5"/>
    <w:rsid w:val="001943F2"/>
    <w:rsid w:val="001945EC"/>
    <w:rsid w:val="00194782"/>
    <w:rsid w:val="001948C5"/>
    <w:rsid w:val="00194A2A"/>
    <w:rsid w:val="001951EB"/>
    <w:rsid w:val="00195838"/>
    <w:rsid w:val="0019595A"/>
    <w:rsid w:val="001959D1"/>
    <w:rsid w:val="00195BC9"/>
    <w:rsid w:val="00195CEB"/>
    <w:rsid w:val="00195F26"/>
    <w:rsid w:val="0019605D"/>
    <w:rsid w:val="00196097"/>
    <w:rsid w:val="00196182"/>
    <w:rsid w:val="00196191"/>
    <w:rsid w:val="00196217"/>
    <w:rsid w:val="001965BF"/>
    <w:rsid w:val="0019675C"/>
    <w:rsid w:val="001967AA"/>
    <w:rsid w:val="00196AC4"/>
    <w:rsid w:val="00196C3A"/>
    <w:rsid w:val="00196E0D"/>
    <w:rsid w:val="00196E46"/>
    <w:rsid w:val="00196EDC"/>
    <w:rsid w:val="0019700D"/>
    <w:rsid w:val="0019722D"/>
    <w:rsid w:val="00197539"/>
    <w:rsid w:val="001978A2"/>
    <w:rsid w:val="0019792C"/>
    <w:rsid w:val="001979BE"/>
    <w:rsid w:val="00197A43"/>
    <w:rsid w:val="00197B23"/>
    <w:rsid w:val="00197B56"/>
    <w:rsid w:val="00197C35"/>
    <w:rsid w:val="00197CA4"/>
    <w:rsid w:val="001A0055"/>
    <w:rsid w:val="001A0131"/>
    <w:rsid w:val="001A014D"/>
    <w:rsid w:val="001A048F"/>
    <w:rsid w:val="001A07BA"/>
    <w:rsid w:val="001A08AA"/>
    <w:rsid w:val="001A0A38"/>
    <w:rsid w:val="001A0A8A"/>
    <w:rsid w:val="001A0A95"/>
    <w:rsid w:val="001A0AD9"/>
    <w:rsid w:val="001A0B16"/>
    <w:rsid w:val="001A0B84"/>
    <w:rsid w:val="001A0D2B"/>
    <w:rsid w:val="001A0EF8"/>
    <w:rsid w:val="001A0F2A"/>
    <w:rsid w:val="001A0FDC"/>
    <w:rsid w:val="001A10A3"/>
    <w:rsid w:val="001A116E"/>
    <w:rsid w:val="001A1B7D"/>
    <w:rsid w:val="001A1D16"/>
    <w:rsid w:val="001A1E59"/>
    <w:rsid w:val="001A1F20"/>
    <w:rsid w:val="001A1FA9"/>
    <w:rsid w:val="001A209B"/>
    <w:rsid w:val="001A2253"/>
    <w:rsid w:val="001A2328"/>
    <w:rsid w:val="001A2485"/>
    <w:rsid w:val="001A2934"/>
    <w:rsid w:val="001A2B52"/>
    <w:rsid w:val="001A2D78"/>
    <w:rsid w:val="001A2EC8"/>
    <w:rsid w:val="001A30FE"/>
    <w:rsid w:val="001A3100"/>
    <w:rsid w:val="001A314E"/>
    <w:rsid w:val="001A31A0"/>
    <w:rsid w:val="001A3209"/>
    <w:rsid w:val="001A3319"/>
    <w:rsid w:val="001A378C"/>
    <w:rsid w:val="001A37F0"/>
    <w:rsid w:val="001A3917"/>
    <w:rsid w:val="001A3A69"/>
    <w:rsid w:val="001A3B7E"/>
    <w:rsid w:val="001A3BC0"/>
    <w:rsid w:val="001A3E43"/>
    <w:rsid w:val="001A4106"/>
    <w:rsid w:val="001A43E0"/>
    <w:rsid w:val="001A47E1"/>
    <w:rsid w:val="001A48F9"/>
    <w:rsid w:val="001A4939"/>
    <w:rsid w:val="001A4A86"/>
    <w:rsid w:val="001A4A89"/>
    <w:rsid w:val="001A4BBE"/>
    <w:rsid w:val="001A4D1F"/>
    <w:rsid w:val="001A551E"/>
    <w:rsid w:val="001A5602"/>
    <w:rsid w:val="001A565F"/>
    <w:rsid w:val="001A56EC"/>
    <w:rsid w:val="001A5711"/>
    <w:rsid w:val="001A59D7"/>
    <w:rsid w:val="001A5E0D"/>
    <w:rsid w:val="001A603F"/>
    <w:rsid w:val="001A62FF"/>
    <w:rsid w:val="001A6532"/>
    <w:rsid w:val="001A65A1"/>
    <w:rsid w:val="001A6857"/>
    <w:rsid w:val="001A68E9"/>
    <w:rsid w:val="001A6AD5"/>
    <w:rsid w:val="001A6B03"/>
    <w:rsid w:val="001A6B43"/>
    <w:rsid w:val="001A6DF0"/>
    <w:rsid w:val="001A6FC9"/>
    <w:rsid w:val="001A71AE"/>
    <w:rsid w:val="001A71C0"/>
    <w:rsid w:val="001A7231"/>
    <w:rsid w:val="001A7265"/>
    <w:rsid w:val="001A72B9"/>
    <w:rsid w:val="001A72EA"/>
    <w:rsid w:val="001A7951"/>
    <w:rsid w:val="001A7A60"/>
    <w:rsid w:val="001A7B8C"/>
    <w:rsid w:val="001B00CE"/>
    <w:rsid w:val="001B0147"/>
    <w:rsid w:val="001B04C5"/>
    <w:rsid w:val="001B07D1"/>
    <w:rsid w:val="001B0924"/>
    <w:rsid w:val="001B0ACF"/>
    <w:rsid w:val="001B0ADB"/>
    <w:rsid w:val="001B0BA6"/>
    <w:rsid w:val="001B0D97"/>
    <w:rsid w:val="001B1998"/>
    <w:rsid w:val="001B1B41"/>
    <w:rsid w:val="001B1BBD"/>
    <w:rsid w:val="001B1CD9"/>
    <w:rsid w:val="001B1E72"/>
    <w:rsid w:val="001B1EB4"/>
    <w:rsid w:val="001B21C5"/>
    <w:rsid w:val="001B21F2"/>
    <w:rsid w:val="001B22A4"/>
    <w:rsid w:val="001B232C"/>
    <w:rsid w:val="001B235F"/>
    <w:rsid w:val="001B23A9"/>
    <w:rsid w:val="001B25C4"/>
    <w:rsid w:val="001B28D5"/>
    <w:rsid w:val="001B2C76"/>
    <w:rsid w:val="001B2D16"/>
    <w:rsid w:val="001B3322"/>
    <w:rsid w:val="001B3391"/>
    <w:rsid w:val="001B398A"/>
    <w:rsid w:val="001B3C4F"/>
    <w:rsid w:val="001B3C5F"/>
    <w:rsid w:val="001B4011"/>
    <w:rsid w:val="001B4404"/>
    <w:rsid w:val="001B44DF"/>
    <w:rsid w:val="001B44ED"/>
    <w:rsid w:val="001B4C21"/>
    <w:rsid w:val="001B4D82"/>
    <w:rsid w:val="001B4D96"/>
    <w:rsid w:val="001B4DDB"/>
    <w:rsid w:val="001B4E05"/>
    <w:rsid w:val="001B4E75"/>
    <w:rsid w:val="001B4F23"/>
    <w:rsid w:val="001B51B9"/>
    <w:rsid w:val="001B5692"/>
    <w:rsid w:val="001B5A85"/>
    <w:rsid w:val="001B5A9C"/>
    <w:rsid w:val="001B5C07"/>
    <w:rsid w:val="001B5CEB"/>
    <w:rsid w:val="001B5F66"/>
    <w:rsid w:val="001B5F93"/>
    <w:rsid w:val="001B5F9A"/>
    <w:rsid w:val="001B61CB"/>
    <w:rsid w:val="001B633D"/>
    <w:rsid w:val="001B6732"/>
    <w:rsid w:val="001B6B99"/>
    <w:rsid w:val="001B6BB5"/>
    <w:rsid w:val="001B6C17"/>
    <w:rsid w:val="001B6D30"/>
    <w:rsid w:val="001B708F"/>
    <w:rsid w:val="001B7146"/>
    <w:rsid w:val="001B7355"/>
    <w:rsid w:val="001B75C1"/>
    <w:rsid w:val="001B780B"/>
    <w:rsid w:val="001B791D"/>
    <w:rsid w:val="001B7A24"/>
    <w:rsid w:val="001B7A7D"/>
    <w:rsid w:val="001B7DB8"/>
    <w:rsid w:val="001B7DD5"/>
    <w:rsid w:val="001B7EBE"/>
    <w:rsid w:val="001B7ED2"/>
    <w:rsid w:val="001B7F99"/>
    <w:rsid w:val="001B7FF5"/>
    <w:rsid w:val="001C0046"/>
    <w:rsid w:val="001C0156"/>
    <w:rsid w:val="001C0331"/>
    <w:rsid w:val="001C04AD"/>
    <w:rsid w:val="001C04EF"/>
    <w:rsid w:val="001C04FD"/>
    <w:rsid w:val="001C05BA"/>
    <w:rsid w:val="001C0660"/>
    <w:rsid w:val="001C07E3"/>
    <w:rsid w:val="001C0944"/>
    <w:rsid w:val="001C0C11"/>
    <w:rsid w:val="001C0C35"/>
    <w:rsid w:val="001C0CA8"/>
    <w:rsid w:val="001C0E64"/>
    <w:rsid w:val="001C0F92"/>
    <w:rsid w:val="001C1320"/>
    <w:rsid w:val="001C1415"/>
    <w:rsid w:val="001C1472"/>
    <w:rsid w:val="001C14E8"/>
    <w:rsid w:val="001C185E"/>
    <w:rsid w:val="001C1D7D"/>
    <w:rsid w:val="001C1D92"/>
    <w:rsid w:val="001C1D9C"/>
    <w:rsid w:val="001C2328"/>
    <w:rsid w:val="001C241D"/>
    <w:rsid w:val="001C2541"/>
    <w:rsid w:val="001C2563"/>
    <w:rsid w:val="001C2578"/>
    <w:rsid w:val="001C26B3"/>
    <w:rsid w:val="001C2EA8"/>
    <w:rsid w:val="001C2F05"/>
    <w:rsid w:val="001C2FAB"/>
    <w:rsid w:val="001C3084"/>
    <w:rsid w:val="001C3473"/>
    <w:rsid w:val="001C3623"/>
    <w:rsid w:val="001C3654"/>
    <w:rsid w:val="001C3793"/>
    <w:rsid w:val="001C3A29"/>
    <w:rsid w:val="001C43D8"/>
    <w:rsid w:val="001C45BE"/>
    <w:rsid w:val="001C46A0"/>
    <w:rsid w:val="001C4753"/>
    <w:rsid w:val="001C48B1"/>
    <w:rsid w:val="001C496C"/>
    <w:rsid w:val="001C49FC"/>
    <w:rsid w:val="001C4E5C"/>
    <w:rsid w:val="001C521F"/>
    <w:rsid w:val="001C52C3"/>
    <w:rsid w:val="001C5851"/>
    <w:rsid w:val="001C5ED0"/>
    <w:rsid w:val="001C5F6D"/>
    <w:rsid w:val="001C5F84"/>
    <w:rsid w:val="001C60A1"/>
    <w:rsid w:val="001C60CC"/>
    <w:rsid w:val="001C6490"/>
    <w:rsid w:val="001C6656"/>
    <w:rsid w:val="001C6663"/>
    <w:rsid w:val="001C681F"/>
    <w:rsid w:val="001C6967"/>
    <w:rsid w:val="001C6B27"/>
    <w:rsid w:val="001C6D66"/>
    <w:rsid w:val="001C6DAC"/>
    <w:rsid w:val="001C70E4"/>
    <w:rsid w:val="001C721F"/>
    <w:rsid w:val="001C728A"/>
    <w:rsid w:val="001C7672"/>
    <w:rsid w:val="001C76C9"/>
    <w:rsid w:val="001C771F"/>
    <w:rsid w:val="001C7722"/>
    <w:rsid w:val="001C7AE7"/>
    <w:rsid w:val="001D0239"/>
    <w:rsid w:val="001D02FA"/>
    <w:rsid w:val="001D0457"/>
    <w:rsid w:val="001D055B"/>
    <w:rsid w:val="001D065C"/>
    <w:rsid w:val="001D0664"/>
    <w:rsid w:val="001D08C5"/>
    <w:rsid w:val="001D09F8"/>
    <w:rsid w:val="001D0A04"/>
    <w:rsid w:val="001D0B2D"/>
    <w:rsid w:val="001D0B5B"/>
    <w:rsid w:val="001D12BF"/>
    <w:rsid w:val="001D131C"/>
    <w:rsid w:val="001D13BE"/>
    <w:rsid w:val="001D168A"/>
    <w:rsid w:val="001D18FA"/>
    <w:rsid w:val="001D191C"/>
    <w:rsid w:val="001D196C"/>
    <w:rsid w:val="001D19CB"/>
    <w:rsid w:val="001D19DC"/>
    <w:rsid w:val="001D235A"/>
    <w:rsid w:val="001D23ED"/>
    <w:rsid w:val="001D240B"/>
    <w:rsid w:val="001D2418"/>
    <w:rsid w:val="001D2951"/>
    <w:rsid w:val="001D2D61"/>
    <w:rsid w:val="001D2F38"/>
    <w:rsid w:val="001D3267"/>
    <w:rsid w:val="001D349F"/>
    <w:rsid w:val="001D3893"/>
    <w:rsid w:val="001D3A17"/>
    <w:rsid w:val="001D3AEC"/>
    <w:rsid w:val="001D3CC6"/>
    <w:rsid w:val="001D3D36"/>
    <w:rsid w:val="001D3D8E"/>
    <w:rsid w:val="001D3E00"/>
    <w:rsid w:val="001D3E34"/>
    <w:rsid w:val="001D3E7A"/>
    <w:rsid w:val="001D4181"/>
    <w:rsid w:val="001D42C3"/>
    <w:rsid w:val="001D42FC"/>
    <w:rsid w:val="001D4303"/>
    <w:rsid w:val="001D4350"/>
    <w:rsid w:val="001D43EE"/>
    <w:rsid w:val="001D43FC"/>
    <w:rsid w:val="001D441B"/>
    <w:rsid w:val="001D46A0"/>
    <w:rsid w:val="001D488A"/>
    <w:rsid w:val="001D5069"/>
    <w:rsid w:val="001D5234"/>
    <w:rsid w:val="001D5282"/>
    <w:rsid w:val="001D570C"/>
    <w:rsid w:val="001D57C1"/>
    <w:rsid w:val="001D5910"/>
    <w:rsid w:val="001D5B45"/>
    <w:rsid w:val="001D5C51"/>
    <w:rsid w:val="001D63B8"/>
    <w:rsid w:val="001D654B"/>
    <w:rsid w:val="001D66A0"/>
    <w:rsid w:val="001D67EF"/>
    <w:rsid w:val="001D6C20"/>
    <w:rsid w:val="001D6C91"/>
    <w:rsid w:val="001D6D4E"/>
    <w:rsid w:val="001D6F37"/>
    <w:rsid w:val="001D7306"/>
    <w:rsid w:val="001D7349"/>
    <w:rsid w:val="001D75FA"/>
    <w:rsid w:val="001D761B"/>
    <w:rsid w:val="001D7756"/>
    <w:rsid w:val="001D779B"/>
    <w:rsid w:val="001D7990"/>
    <w:rsid w:val="001D79FE"/>
    <w:rsid w:val="001D7B59"/>
    <w:rsid w:val="001D7CCD"/>
    <w:rsid w:val="001D7CD6"/>
    <w:rsid w:val="001E0081"/>
    <w:rsid w:val="001E022D"/>
    <w:rsid w:val="001E0329"/>
    <w:rsid w:val="001E043F"/>
    <w:rsid w:val="001E0488"/>
    <w:rsid w:val="001E05A3"/>
    <w:rsid w:val="001E06EF"/>
    <w:rsid w:val="001E09E9"/>
    <w:rsid w:val="001E0B1E"/>
    <w:rsid w:val="001E0E68"/>
    <w:rsid w:val="001E0F59"/>
    <w:rsid w:val="001E127F"/>
    <w:rsid w:val="001E1321"/>
    <w:rsid w:val="001E1560"/>
    <w:rsid w:val="001E17CB"/>
    <w:rsid w:val="001E18CE"/>
    <w:rsid w:val="001E1938"/>
    <w:rsid w:val="001E1A52"/>
    <w:rsid w:val="001E1A9E"/>
    <w:rsid w:val="001E1B41"/>
    <w:rsid w:val="001E1C12"/>
    <w:rsid w:val="001E1C1D"/>
    <w:rsid w:val="001E1CBB"/>
    <w:rsid w:val="001E1DF4"/>
    <w:rsid w:val="001E1EF9"/>
    <w:rsid w:val="001E1FAA"/>
    <w:rsid w:val="001E2012"/>
    <w:rsid w:val="001E2027"/>
    <w:rsid w:val="001E2206"/>
    <w:rsid w:val="001E2328"/>
    <w:rsid w:val="001E2474"/>
    <w:rsid w:val="001E25F9"/>
    <w:rsid w:val="001E25FB"/>
    <w:rsid w:val="001E2A94"/>
    <w:rsid w:val="001E2AA3"/>
    <w:rsid w:val="001E2C1B"/>
    <w:rsid w:val="001E2E8F"/>
    <w:rsid w:val="001E2E9D"/>
    <w:rsid w:val="001E2F8F"/>
    <w:rsid w:val="001E3619"/>
    <w:rsid w:val="001E37CE"/>
    <w:rsid w:val="001E3B8A"/>
    <w:rsid w:val="001E3C29"/>
    <w:rsid w:val="001E3DAC"/>
    <w:rsid w:val="001E3F94"/>
    <w:rsid w:val="001E4118"/>
    <w:rsid w:val="001E4140"/>
    <w:rsid w:val="001E4306"/>
    <w:rsid w:val="001E44D0"/>
    <w:rsid w:val="001E4DB7"/>
    <w:rsid w:val="001E4E49"/>
    <w:rsid w:val="001E4E54"/>
    <w:rsid w:val="001E50F3"/>
    <w:rsid w:val="001E51B5"/>
    <w:rsid w:val="001E51B9"/>
    <w:rsid w:val="001E545D"/>
    <w:rsid w:val="001E5660"/>
    <w:rsid w:val="001E57E4"/>
    <w:rsid w:val="001E5832"/>
    <w:rsid w:val="001E592B"/>
    <w:rsid w:val="001E5BC4"/>
    <w:rsid w:val="001E5E1D"/>
    <w:rsid w:val="001E60EA"/>
    <w:rsid w:val="001E62E8"/>
    <w:rsid w:val="001E6705"/>
    <w:rsid w:val="001E693F"/>
    <w:rsid w:val="001E6CFE"/>
    <w:rsid w:val="001E6E10"/>
    <w:rsid w:val="001E6E7D"/>
    <w:rsid w:val="001E6F11"/>
    <w:rsid w:val="001E6FBE"/>
    <w:rsid w:val="001E7024"/>
    <w:rsid w:val="001E7146"/>
    <w:rsid w:val="001E71AD"/>
    <w:rsid w:val="001E7243"/>
    <w:rsid w:val="001E724C"/>
    <w:rsid w:val="001E7257"/>
    <w:rsid w:val="001E72B5"/>
    <w:rsid w:val="001E74CF"/>
    <w:rsid w:val="001E7501"/>
    <w:rsid w:val="001E751B"/>
    <w:rsid w:val="001E75E4"/>
    <w:rsid w:val="001E77C3"/>
    <w:rsid w:val="001E7867"/>
    <w:rsid w:val="001E7918"/>
    <w:rsid w:val="001E7AC3"/>
    <w:rsid w:val="001E7BDB"/>
    <w:rsid w:val="001E7F2D"/>
    <w:rsid w:val="001E7FE6"/>
    <w:rsid w:val="001F01DA"/>
    <w:rsid w:val="001F0261"/>
    <w:rsid w:val="001F080B"/>
    <w:rsid w:val="001F0C2F"/>
    <w:rsid w:val="001F0F09"/>
    <w:rsid w:val="001F0FDB"/>
    <w:rsid w:val="001F106F"/>
    <w:rsid w:val="001F116D"/>
    <w:rsid w:val="001F12CD"/>
    <w:rsid w:val="001F13FD"/>
    <w:rsid w:val="001F17F8"/>
    <w:rsid w:val="001F1856"/>
    <w:rsid w:val="001F1963"/>
    <w:rsid w:val="001F1B48"/>
    <w:rsid w:val="001F1FE1"/>
    <w:rsid w:val="001F23AC"/>
    <w:rsid w:val="001F2576"/>
    <w:rsid w:val="001F2627"/>
    <w:rsid w:val="001F2898"/>
    <w:rsid w:val="001F28A2"/>
    <w:rsid w:val="001F28C3"/>
    <w:rsid w:val="001F290F"/>
    <w:rsid w:val="001F2B90"/>
    <w:rsid w:val="001F2C07"/>
    <w:rsid w:val="001F2C38"/>
    <w:rsid w:val="001F2C67"/>
    <w:rsid w:val="001F2E8A"/>
    <w:rsid w:val="001F3122"/>
    <w:rsid w:val="001F3391"/>
    <w:rsid w:val="001F33DB"/>
    <w:rsid w:val="001F3492"/>
    <w:rsid w:val="001F35E1"/>
    <w:rsid w:val="001F37A6"/>
    <w:rsid w:val="001F39F4"/>
    <w:rsid w:val="001F3AE2"/>
    <w:rsid w:val="001F3B64"/>
    <w:rsid w:val="001F3ED7"/>
    <w:rsid w:val="001F4018"/>
    <w:rsid w:val="001F40B6"/>
    <w:rsid w:val="001F414E"/>
    <w:rsid w:val="001F41DF"/>
    <w:rsid w:val="001F43B4"/>
    <w:rsid w:val="001F44CD"/>
    <w:rsid w:val="001F4557"/>
    <w:rsid w:val="001F45CF"/>
    <w:rsid w:val="001F45E8"/>
    <w:rsid w:val="001F4700"/>
    <w:rsid w:val="001F47DC"/>
    <w:rsid w:val="001F488E"/>
    <w:rsid w:val="001F4E71"/>
    <w:rsid w:val="001F4F4B"/>
    <w:rsid w:val="001F50E5"/>
    <w:rsid w:val="001F574F"/>
    <w:rsid w:val="001F5860"/>
    <w:rsid w:val="001F59E4"/>
    <w:rsid w:val="001F59E7"/>
    <w:rsid w:val="001F5A8C"/>
    <w:rsid w:val="001F5B86"/>
    <w:rsid w:val="001F5CD3"/>
    <w:rsid w:val="001F5D65"/>
    <w:rsid w:val="001F5DCB"/>
    <w:rsid w:val="001F5E2A"/>
    <w:rsid w:val="001F5E7B"/>
    <w:rsid w:val="001F5FF3"/>
    <w:rsid w:val="001F6257"/>
    <w:rsid w:val="001F636B"/>
    <w:rsid w:val="001F636D"/>
    <w:rsid w:val="001F646B"/>
    <w:rsid w:val="001F65CB"/>
    <w:rsid w:val="001F686B"/>
    <w:rsid w:val="001F68A1"/>
    <w:rsid w:val="001F6E21"/>
    <w:rsid w:val="001F6E25"/>
    <w:rsid w:val="001F6E83"/>
    <w:rsid w:val="001F6ED5"/>
    <w:rsid w:val="001F711C"/>
    <w:rsid w:val="001F7156"/>
    <w:rsid w:val="001F72A9"/>
    <w:rsid w:val="001F7470"/>
    <w:rsid w:val="001F79FC"/>
    <w:rsid w:val="001F7EEE"/>
    <w:rsid w:val="00200023"/>
    <w:rsid w:val="0020015E"/>
    <w:rsid w:val="002001ED"/>
    <w:rsid w:val="00200269"/>
    <w:rsid w:val="002002C8"/>
    <w:rsid w:val="00200388"/>
    <w:rsid w:val="00200399"/>
    <w:rsid w:val="002006DE"/>
    <w:rsid w:val="0020080A"/>
    <w:rsid w:val="00200D71"/>
    <w:rsid w:val="00200EB8"/>
    <w:rsid w:val="00200EF3"/>
    <w:rsid w:val="00200F90"/>
    <w:rsid w:val="00200FFA"/>
    <w:rsid w:val="00201091"/>
    <w:rsid w:val="002012DF"/>
    <w:rsid w:val="0020132D"/>
    <w:rsid w:val="00201868"/>
    <w:rsid w:val="00201BAD"/>
    <w:rsid w:val="00201C38"/>
    <w:rsid w:val="00201F29"/>
    <w:rsid w:val="00201FC5"/>
    <w:rsid w:val="002020AB"/>
    <w:rsid w:val="002022EE"/>
    <w:rsid w:val="00202385"/>
    <w:rsid w:val="00202563"/>
    <w:rsid w:val="00202586"/>
    <w:rsid w:val="002027CF"/>
    <w:rsid w:val="002029D8"/>
    <w:rsid w:val="00202ABD"/>
    <w:rsid w:val="00202AEA"/>
    <w:rsid w:val="00202BB7"/>
    <w:rsid w:val="00202D0B"/>
    <w:rsid w:val="00202E70"/>
    <w:rsid w:val="002032A8"/>
    <w:rsid w:val="002033D4"/>
    <w:rsid w:val="00203454"/>
    <w:rsid w:val="002034C8"/>
    <w:rsid w:val="002035C3"/>
    <w:rsid w:val="002035F4"/>
    <w:rsid w:val="0020369A"/>
    <w:rsid w:val="00203ADF"/>
    <w:rsid w:val="00203CCD"/>
    <w:rsid w:val="00203E99"/>
    <w:rsid w:val="00203F49"/>
    <w:rsid w:val="0020404E"/>
    <w:rsid w:val="002040EF"/>
    <w:rsid w:val="002041B1"/>
    <w:rsid w:val="00204360"/>
    <w:rsid w:val="0020436A"/>
    <w:rsid w:val="0020449D"/>
    <w:rsid w:val="0020463A"/>
    <w:rsid w:val="002046D9"/>
    <w:rsid w:val="002047CA"/>
    <w:rsid w:val="002047F3"/>
    <w:rsid w:val="002049A5"/>
    <w:rsid w:val="002049F6"/>
    <w:rsid w:val="00204BFF"/>
    <w:rsid w:val="00204FCF"/>
    <w:rsid w:val="00204FF8"/>
    <w:rsid w:val="002050D7"/>
    <w:rsid w:val="002050F5"/>
    <w:rsid w:val="0020520D"/>
    <w:rsid w:val="002053EF"/>
    <w:rsid w:val="002053F7"/>
    <w:rsid w:val="0020551F"/>
    <w:rsid w:val="002058A9"/>
    <w:rsid w:val="00205AFF"/>
    <w:rsid w:val="00205B56"/>
    <w:rsid w:val="00205CC8"/>
    <w:rsid w:val="0020610B"/>
    <w:rsid w:val="00206421"/>
    <w:rsid w:val="00206493"/>
    <w:rsid w:val="002067C0"/>
    <w:rsid w:val="00206881"/>
    <w:rsid w:val="00206896"/>
    <w:rsid w:val="002068E1"/>
    <w:rsid w:val="00206E4E"/>
    <w:rsid w:val="00206EF2"/>
    <w:rsid w:val="00206F7F"/>
    <w:rsid w:val="00206F92"/>
    <w:rsid w:val="00206FA2"/>
    <w:rsid w:val="00207120"/>
    <w:rsid w:val="0020723F"/>
    <w:rsid w:val="002072F8"/>
    <w:rsid w:val="002074E8"/>
    <w:rsid w:val="002076B1"/>
    <w:rsid w:val="00207709"/>
    <w:rsid w:val="00207946"/>
    <w:rsid w:val="002079C8"/>
    <w:rsid w:val="00207A92"/>
    <w:rsid w:val="00207C3D"/>
    <w:rsid w:val="00207CFE"/>
    <w:rsid w:val="00207E2B"/>
    <w:rsid w:val="00207F0B"/>
    <w:rsid w:val="00207F68"/>
    <w:rsid w:val="0021018D"/>
    <w:rsid w:val="002101C6"/>
    <w:rsid w:val="002102CF"/>
    <w:rsid w:val="00210305"/>
    <w:rsid w:val="0021036A"/>
    <w:rsid w:val="00210479"/>
    <w:rsid w:val="0021096C"/>
    <w:rsid w:val="00210B92"/>
    <w:rsid w:val="00210D9C"/>
    <w:rsid w:val="00210E1D"/>
    <w:rsid w:val="00210E9E"/>
    <w:rsid w:val="002115E3"/>
    <w:rsid w:val="002116E7"/>
    <w:rsid w:val="002117F5"/>
    <w:rsid w:val="00211A63"/>
    <w:rsid w:val="00211C19"/>
    <w:rsid w:val="00211CDF"/>
    <w:rsid w:val="00211FAB"/>
    <w:rsid w:val="00211FB1"/>
    <w:rsid w:val="0021205C"/>
    <w:rsid w:val="002122C6"/>
    <w:rsid w:val="0021236D"/>
    <w:rsid w:val="002124AE"/>
    <w:rsid w:val="002124C5"/>
    <w:rsid w:val="0021263C"/>
    <w:rsid w:val="00212860"/>
    <w:rsid w:val="0021296B"/>
    <w:rsid w:val="00212B5C"/>
    <w:rsid w:val="00212D8D"/>
    <w:rsid w:val="00212F83"/>
    <w:rsid w:val="00212F92"/>
    <w:rsid w:val="002130E2"/>
    <w:rsid w:val="0021317A"/>
    <w:rsid w:val="00213529"/>
    <w:rsid w:val="002135AD"/>
    <w:rsid w:val="00213640"/>
    <w:rsid w:val="0021377D"/>
    <w:rsid w:val="002137D5"/>
    <w:rsid w:val="00213919"/>
    <w:rsid w:val="00213B0D"/>
    <w:rsid w:val="00213B10"/>
    <w:rsid w:val="00213CB8"/>
    <w:rsid w:val="00213DD0"/>
    <w:rsid w:val="00213EA4"/>
    <w:rsid w:val="00213ED1"/>
    <w:rsid w:val="00213FB0"/>
    <w:rsid w:val="00214134"/>
    <w:rsid w:val="00214221"/>
    <w:rsid w:val="002142EC"/>
    <w:rsid w:val="00214412"/>
    <w:rsid w:val="0021454B"/>
    <w:rsid w:val="00214555"/>
    <w:rsid w:val="00214955"/>
    <w:rsid w:val="00214E0A"/>
    <w:rsid w:val="00214F8A"/>
    <w:rsid w:val="00215151"/>
    <w:rsid w:val="0021574C"/>
    <w:rsid w:val="002158FE"/>
    <w:rsid w:val="00215A17"/>
    <w:rsid w:val="00215DE3"/>
    <w:rsid w:val="00215E4B"/>
    <w:rsid w:val="0021615B"/>
    <w:rsid w:val="00216274"/>
    <w:rsid w:val="002164E4"/>
    <w:rsid w:val="0021689F"/>
    <w:rsid w:val="00216CE4"/>
    <w:rsid w:val="00216DC6"/>
    <w:rsid w:val="00216DEC"/>
    <w:rsid w:val="00216EF8"/>
    <w:rsid w:val="00216F0C"/>
    <w:rsid w:val="00216FAD"/>
    <w:rsid w:val="00216FBA"/>
    <w:rsid w:val="00217775"/>
    <w:rsid w:val="0021790E"/>
    <w:rsid w:val="00217C77"/>
    <w:rsid w:val="00217D83"/>
    <w:rsid w:val="00217E29"/>
    <w:rsid w:val="00217F16"/>
    <w:rsid w:val="002200C3"/>
    <w:rsid w:val="0022064B"/>
    <w:rsid w:val="002207B2"/>
    <w:rsid w:val="0022088F"/>
    <w:rsid w:val="00220981"/>
    <w:rsid w:val="00220B79"/>
    <w:rsid w:val="00220CA2"/>
    <w:rsid w:val="00220CB6"/>
    <w:rsid w:val="00220EBE"/>
    <w:rsid w:val="00221016"/>
    <w:rsid w:val="00221225"/>
    <w:rsid w:val="00221616"/>
    <w:rsid w:val="00221701"/>
    <w:rsid w:val="00221CC0"/>
    <w:rsid w:val="00221E29"/>
    <w:rsid w:val="00221EC3"/>
    <w:rsid w:val="00222046"/>
    <w:rsid w:val="00222128"/>
    <w:rsid w:val="0022215A"/>
    <w:rsid w:val="002221B3"/>
    <w:rsid w:val="00222587"/>
    <w:rsid w:val="002226D4"/>
    <w:rsid w:val="0022293F"/>
    <w:rsid w:val="00222A7C"/>
    <w:rsid w:val="00222AF1"/>
    <w:rsid w:val="00222C22"/>
    <w:rsid w:val="00222F2F"/>
    <w:rsid w:val="00222F8F"/>
    <w:rsid w:val="002233EE"/>
    <w:rsid w:val="00223577"/>
    <w:rsid w:val="00223590"/>
    <w:rsid w:val="0022382F"/>
    <w:rsid w:val="00223A32"/>
    <w:rsid w:val="00223C12"/>
    <w:rsid w:val="00223D5A"/>
    <w:rsid w:val="00224292"/>
    <w:rsid w:val="002244FA"/>
    <w:rsid w:val="00224695"/>
    <w:rsid w:val="002247BF"/>
    <w:rsid w:val="00224BE1"/>
    <w:rsid w:val="00224D03"/>
    <w:rsid w:val="00224D19"/>
    <w:rsid w:val="00224E33"/>
    <w:rsid w:val="00224EA0"/>
    <w:rsid w:val="00225330"/>
    <w:rsid w:val="002253BC"/>
    <w:rsid w:val="00225437"/>
    <w:rsid w:val="002255CB"/>
    <w:rsid w:val="002255CF"/>
    <w:rsid w:val="00225881"/>
    <w:rsid w:val="0022596F"/>
    <w:rsid w:val="00225CEC"/>
    <w:rsid w:val="00225D62"/>
    <w:rsid w:val="00225F29"/>
    <w:rsid w:val="0022619E"/>
    <w:rsid w:val="00226263"/>
    <w:rsid w:val="00226446"/>
    <w:rsid w:val="002265D0"/>
    <w:rsid w:val="0022670A"/>
    <w:rsid w:val="0022685C"/>
    <w:rsid w:val="0022694B"/>
    <w:rsid w:val="00226A10"/>
    <w:rsid w:val="00226F57"/>
    <w:rsid w:val="00227116"/>
    <w:rsid w:val="002273CC"/>
    <w:rsid w:val="002273F0"/>
    <w:rsid w:val="002274BD"/>
    <w:rsid w:val="00227571"/>
    <w:rsid w:val="00227606"/>
    <w:rsid w:val="0022773D"/>
    <w:rsid w:val="0022777A"/>
    <w:rsid w:val="00227850"/>
    <w:rsid w:val="002278B2"/>
    <w:rsid w:val="00227E3A"/>
    <w:rsid w:val="00227ED8"/>
    <w:rsid w:val="00230064"/>
    <w:rsid w:val="00230412"/>
    <w:rsid w:val="0023053F"/>
    <w:rsid w:val="00230848"/>
    <w:rsid w:val="00230870"/>
    <w:rsid w:val="0023099F"/>
    <w:rsid w:val="00230A01"/>
    <w:rsid w:val="00230BDC"/>
    <w:rsid w:val="00230BEF"/>
    <w:rsid w:val="00230CA1"/>
    <w:rsid w:val="00231091"/>
    <w:rsid w:val="002310E4"/>
    <w:rsid w:val="00231100"/>
    <w:rsid w:val="0023162E"/>
    <w:rsid w:val="00231BEB"/>
    <w:rsid w:val="00231C5B"/>
    <w:rsid w:val="00231CA2"/>
    <w:rsid w:val="00231CB5"/>
    <w:rsid w:val="00231E3A"/>
    <w:rsid w:val="0023241D"/>
    <w:rsid w:val="00232536"/>
    <w:rsid w:val="002325DC"/>
    <w:rsid w:val="00232749"/>
    <w:rsid w:val="0023287B"/>
    <w:rsid w:val="00232C3D"/>
    <w:rsid w:val="0023307B"/>
    <w:rsid w:val="00233173"/>
    <w:rsid w:val="002333D2"/>
    <w:rsid w:val="00233424"/>
    <w:rsid w:val="0023354B"/>
    <w:rsid w:val="00233B16"/>
    <w:rsid w:val="00233B82"/>
    <w:rsid w:val="0023401A"/>
    <w:rsid w:val="0023430E"/>
    <w:rsid w:val="002343C0"/>
    <w:rsid w:val="002344AD"/>
    <w:rsid w:val="002349E9"/>
    <w:rsid w:val="002349EB"/>
    <w:rsid w:val="00234B44"/>
    <w:rsid w:val="00234D1C"/>
    <w:rsid w:val="00234D84"/>
    <w:rsid w:val="00234DDF"/>
    <w:rsid w:val="00235067"/>
    <w:rsid w:val="002350D7"/>
    <w:rsid w:val="0023530F"/>
    <w:rsid w:val="00235321"/>
    <w:rsid w:val="002355EE"/>
    <w:rsid w:val="002356D4"/>
    <w:rsid w:val="00235844"/>
    <w:rsid w:val="00235AC8"/>
    <w:rsid w:val="00235B40"/>
    <w:rsid w:val="00236219"/>
    <w:rsid w:val="00236601"/>
    <w:rsid w:val="002366B5"/>
    <w:rsid w:val="0023670B"/>
    <w:rsid w:val="00236767"/>
    <w:rsid w:val="0023683B"/>
    <w:rsid w:val="00236AC8"/>
    <w:rsid w:val="00236C0D"/>
    <w:rsid w:val="00236F1B"/>
    <w:rsid w:val="00237014"/>
    <w:rsid w:val="0023720D"/>
    <w:rsid w:val="00237258"/>
    <w:rsid w:val="002372F6"/>
    <w:rsid w:val="002373E0"/>
    <w:rsid w:val="00237439"/>
    <w:rsid w:val="00237884"/>
    <w:rsid w:val="00237946"/>
    <w:rsid w:val="00237B64"/>
    <w:rsid w:val="00237C09"/>
    <w:rsid w:val="00237E41"/>
    <w:rsid w:val="00237FC2"/>
    <w:rsid w:val="002403C9"/>
    <w:rsid w:val="0024045C"/>
    <w:rsid w:val="00240767"/>
    <w:rsid w:val="002409B6"/>
    <w:rsid w:val="00240CFE"/>
    <w:rsid w:val="00240D8C"/>
    <w:rsid w:val="00240FAF"/>
    <w:rsid w:val="0024133B"/>
    <w:rsid w:val="002416BD"/>
    <w:rsid w:val="002417BF"/>
    <w:rsid w:val="0024183F"/>
    <w:rsid w:val="00241D69"/>
    <w:rsid w:val="0024209C"/>
    <w:rsid w:val="002423AB"/>
    <w:rsid w:val="0024243B"/>
    <w:rsid w:val="0024249C"/>
    <w:rsid w:val="002424EC"/>
    <w:rsid w:val="00242517"/>
    <w:rsid w:val="00242631"/>
    <w:rsid w:val="002428D3"/>
    <w:rsid w:val="00242A5D"/>
    <w:rsid w:val="00242AE1"/>
    <w:rsid w:val="00242D57"/>
    <w:rsid w:val="00242D70"/>
    <w:rsid w:val="00242FCD"/>
    <w:rsid w:val="002430A2"/>
    <w:rsid w:val="00243337"/>
    <w:rsid w:val="00243405"/>
    <w:rsid w:val="0024340B"/>
    <w:rsid w:val="00243603"/>
    <w:rsid w:val="0024383B"/>
    <w:rsid w:val="0024387F"/>
    <w:rsid w:val="00243AD2"/>
    <w:rsid w:val="00243CDA"/>
    <w:rsid w:val="00243DDC"/>
    <w:rsid w:val="00243E2A"/>
    <w:rsid w:val="00243E37"/>
    <w:rsid w:val="0024414C"/>
    <w:rsid w:val="002442F7"/>
    <w:rsid w:val="002443F8"/>
    <w:rsid w:val="00244592"/>
    <w:rsid w:val="0024465B"/>
    <w:rsid w:val="0024466B"/>
    <w:rsid w:val="0024471D"/>
    <w:rsid w:val="0024474C"/>
    <w:rsid w:val="002447BD"/>
    <w:rsid w:val="00244874"/>
    <w:rsid w:val="00244A18"/>
    <w:rsid w:val="00244CB3"/>
    <w:rsid w:val="00244ECC"/>
    <w:rsid w:val="00245360"/>
    <w:rsid w:val="002453BE"/>
    <w:rsid w:val="00245573"/>
    <w:rsid w:val="002455A3"/>
    <w:rsid w:val="00245999"/>
    <w:rsid w:val="002459C0"/>
    <w:rsid w:val="00245A02"/>
    <w:rsid w:val="00245A3F"/>
    <w:rsid w:val="00245AFB"/>
    <w:rsid w:val="00245CC8"/>
    <w:rsid w:val="00245E6A"/>
    <w:rsid w:val="00245FC6"/>
    <w:rsid w:val="002460D0"/>
    <w:rsid w:val="002461E6"/>
    <w:rsid w:val="00246220"/>
    <w:rsid w:val="00246326"/>
    <w:rsid w:val="00246577"/>
    <w:rsid w:val="002469C5"/>
    <w:rsid w:val="00246A06"/>
    <w:rsid w:val="00246AC1"/>
    <w:rsid w:val="00246CA5"/>
    <w:rsid w:val="00246E82"/>
    <w:rsid w:val="002470C5"/>
    <w:rsid w:val="00247152"/>
    <w:rsid w:val="0024792F"/>
    <w:rsid w:val="00247AA1"/>
    <w:rsid w:val="00247C4C"/>
    <w:rsid w:val="00247FD0"/>
    <w:rsid w:val="00250118"/>
    <w:rsid w:val="0025016B"/>
    <w:rsid w:val="002503E3"/>
    <w:rsid w:val="0025072C"/>
    <w:rsid w:val="002507E1"/>
    <w:rsid w:val="00250932"/>
    <w:rsid w:val="00250A6B"/>
    <w:rsid w:val="00250B4C"/>
    <w:rsid w:val="00250C04"/>
    <w:rsid w:val="00250D3C"/>
    <w:rsid w:val="00250D65"/>
    <w:rsid w:val="00250DFC"/>
    <w:rsid w:val="00250E2C"/>
    <w:rsid w:val="00250EFA"/>
    <w:rsid w:val="00250F72"/>
    <w:rsid w:val="00251142"/>
    <w:rsid w:val="00251652"/>
    <w:rsid w:val="0025180A"/>
    <w:rsid w:val="002518EF"/>
    <w:rsid w:val="00251971"/>
    <w:rsid w:val="00251B27"/>
    <w:rsid w:val="00251D1D"/>
    <w:rsid w:val="00251DC9"/>
    <w:rsid w:val="00251F2D"/>
    <w:rsid w:val="00251FBA"/>
    <w:rsid w:val="0025233B"/>
    <w:rsid w:val="00252372"/>
    <w:rsid w:val="002523FC"/>
    <w:rsid w:val="00252447"/>
    <w:rsid w:val="00252824"/>
    <w:rsid w:val="0025289C"/>
    <w:rsid w:val="002529EB"/>
    <w:rsid w:val="00252C78"/>
    <w:rsid w:val="00252E27"/>
    <w:rsid w:val="00253354"/>
    <w:rsid w:val="002533C3"/>
    <w:rsid w:val="0025341F"/>
    <w:rsid w:val="00253663"/>
    <w:rsid w:val="002537C1"/>
    <w:rsid w:val="0025380A"/>
    <w:rsid w:val="002538B7"/>
    <w:rsid w:val="00253AA1"/>
    <w:rsid w:val="00253B77"/>
    <w:rsid w:val="00253B7B"/>
    <w:rsid w:val="00253EDF"/>
    <w:rsid w:val="00253F03"/>
    <w:rsid w:val="002540BB"/>
    <w:rsid w:val="00254199"/>
    <w:rsid w:val="00254276"/>
    <w:rsid w:val="0025441F"/>
    <w:rsid w:val="0025442B"/>
    <w:rsid w:val="0025476C"/>
    <w:rsid w:val="00254889"/>
    <w:rsid w:val="00254BC6"/>
    <w:rsid w:val="00254DD7"/>
    <w:rsid w:val="00254DE5"/>
    <w:rsid w:val="00254FD4"/>
    <w:rsid w:val="002551A1"/>
    <w:rsid w:val="00255380"/>
    <w:rsid w:val="00255391"/>
    <w:rsid w:val="002555E3"/>
    <w:rsid w:val="0025563F"/>
    <w:rsid w:val="00255D37"/>
    <w:rsid w:val="00255EAA"/>
    <w:rsid w:val="002560CB"/>
    <w:rsid w:val="0025617A"/>
    <w:rsid w:val="002563C3"/>
    <w:rsid w:val="002568E9"/>
    <w:rsid w:val="002568F0"/>
    <w:rsid w:val="002569F9"/>
    <w:rsid w:val="00256B79"/>
    <w:rsid w:val="00256CB4"/>
    <w:rsid w:val="00256D02"/>
    <w:rsid w:val="00256E66"/>
    <w:rsid w:val="00257179"/>
    <w:rsid w:val="0025721D"/>
    <w:rsid w:val="002572BF"/>
    <w:rsid w:val="00257751"/>
    <w:rsid w:val="00257A22"/>
    <w:rsid w:val="00257B45"/>
    <w:rsid w:val="00257D32"/>
    <w:rsid w:val="00257DC5"/>
    <w:rsid w:val="00257ED1"/>
    <w:rsid w:val="00257EFF"/>
    <w:rsid w:val="00260079"/>
    <w:rsid w:val="00260090"/>
    <w:rsid w:val="002604BB"/>
    <w:rsid w:val="00260607"/>
    <w:rsid w:val="002606A2"/>
    <w:rsid w:val="00260762"/>
    <w:rsid w:val="00260850"/>
    <w:rsid w:val="00260B89"/>
    <w:rsid w:val="00260B93"/>
    <w:rsid w:val="00260B9D"/>
    <w:rsid w:val="00260CDC"/>
    <w:rsid w:val="00260D4F"/>
    <w:rsid w:val="00260D8A"/>
    <w:rsid w:val="00260F21"/>
    <w:rsid w:val="00261048"/>
    <w:rsid w:val="002612E6"/>
    <w:rsid w:val="0026157F"/>
    <w:rsid w:val="002615CA"/>
    <w:rsid w:val="002615DE"/>
    <w:rsid w:val="0026160C"/>
    <w:rsid w:val="002617F6"/>
    <w:rsid w:val="002619ED"/>
    <w:rsid w:val="002619EF"/>
    <w:rsid w:val="00261AAC"/>
    <w:rsid w:val="00261D10"/>
    <w:rsid w:val="00262077"/>
    <w:rsid w:val="002620DD"/>
    <w:rsid w:val="00262146"/>
    <w:rsid w:val="0026236D"/>
    <w:rsid w:val="0026242E"/>
    <w:rsid w:val="0026272E"/>
    <w:rsid w:val="002628C8"/>
    <w:rsid w:val="00262CBC"/>
    <w:rsid w:val="00263005"/>
    <w:rsid w:val="002632FB"/>
    <w:rsid w:val="0026330E"/>
    <w:rsid w:val="00263790"/>
    <w:rsid w:val="00263C41"/>
    <w:rsid w:val="00263D62"/>
    <w:rsid w:val="00264156"/>
    <w:rsid w:val="002641ED"/>
    <w:rsid w:val="0026422C"/>
    <w:rsid w:val="002643C1"/>
    <w:rsid w:val="0026461D"/>
    <w:rsid w:val="002647E5"/>
    <w:rsid w:val="00264A0F"/>
    <w:rsid w:val="0026504E"/>
    <w:rsid w:val="00265086"/>
    <w:rsid w:val="002650CA"/>
    <w:rsid w:val="00265105"/>
    <w:rsid w:val="00265173"/>
    <w:rsid w:val="00265245"/>
    <w:rsid w:val="00265284"/>
    <w:rsid w:val="00265674"/>
    <w:rsid w:val="00265867"/>
    <w:rsid w:val="00265986"/>
    <w:rsid w:val="00265C92"/>
    <w:rsid w:val="00265ED2"/>
    <w:rsid w:val="00265FAE"/>
    <w:rsid w:val="002660EE"/>
    <w:rsid w:val="0026626B"/>
    <w:rsid w:val="0026634C"/>
    <w:rsid w:val="00266733"/>
    <w:rsid w:val="00266B08"/>
    <w:rsid w:val="00266B5D"/>
    <w:rsid w:val="00266CBE"/>
    <w:rsid w:val="00266DA3"/>
    <w:rsid w:val="00266DBB"/>
    <w:rsid w:val="00266E1E"/>
    <w:rsid w:val="002670DD"/>
    <w:rsid w:val="0026731B"/>
    <w:rsid w:val="0026739A"/>
    <w:rsid w:val="002674D2"/>
    <w:rsid w:val="00267620"/>
    <w:rsid w:val="002676AF"/>
    <w:rsid w:val="0026798B"/>
    <w:rsid w:val="00267C2C"/>
    <w:rsid w:val="00267C81"/>
    <w:rsid w:val="00267EDA"/>
    <w:rsid w:val="00267F20"/>
    <w:rsid w:val="0027008F"/>
    <w:rsid w:val="002706F4"/>
    <w:rsid w:val="00271112"/>
    <w:rsid w:val="00271805"/>
    <w:rsid w:val="00271866"/>
    <w:rsid w:val="00271913"/>
    <w:rsid w:val="00271CBA"/>
    <w:rsid w:val="00271E28"/>
    <w:rsid w:val="002721F2"/>
    <w:rsid w:val="0027225D"/>
    <w:rsid w:val="002726D5"/>
    <w:rsid w:val="002726F1"/>
    <w:rsid w:val="002727D9"/>
    <w:rsid w:val="0027285F"/>
    <w:rsid w:val="00272A55"/>
    <w:rsid w:val="00272B59"/>
    <w:rsid w:val="002732D9"/>
    <w:rsid w:val="0027337A"/>
    <w:rsid w:val="00273488"/>
    <w:rsid w:val="00273550"/>
    <w:rsid w:val="00273775"/>
    <w:rsid w:val="002739EC"/>
    <w:rsid w:val="00273A50"/>
    <w:rsid w:val="00273A6C"/>
    <w:rsid w:val="00273B12"/>
    <w:rsid w:val="00273BE0"/>
    <w:rsid w:val="00273D8A"/>
    <w:rsid w:val="00273FA3"/>
    <w:rsid w:val="002740A4"/>
    <w:rsid w:val="002746A5"/>
    <w:rsid w:val="002748C2"/>
    <w:rsid w:val="002748D2"/>
    <w:rsid w:val="00274AAC"/>
    <w:rsid w:val="00274BE0"/>
    <w:rsid w:val="00274C28"/>
    <w:rsid w:val="00274E3D"/>
    <w:rsid w:val="0027515A"/>
    <w:rsid w:val="00275372"/>
    <w:rsid w:val="002753B0"/>
    <w:rsid w:val="00275431"/>
    <w:rsid w:val="0027548A"/>
    <w:rsid w:val="002754F4"/>
    <w:rsid w:val="00275518"/>
    <w:rsid w:val="00275519"/>
    <w:rsid w:val="002755C3"/>
    <w:rsid w:val="00275681"/>
    <w:rsid w:val="002756C2"/>
    <w:rsid w:val="002758AA"/>
    <w:rsid w:val="00275914"/>
    <w:rsid w:val="00275A12"/>
    <w:rsid w:val="00275BCA"/>
    <w:rsid w:val="00275C09"/>
    <w:rsid w:val="00275CCE"/>
    <w:rsid w:val="00275FAF"/>
    <w:rsid w:val="002763BD"/>
    <w:rsid w:val="0027666D"/>
    <w:rsid w:val="00276679"/>
    <w:rsid w:val="00276760"/>
    <w:rsid w:val="002767BB"/>
    <w:rsid w:val="002767D9"/>
    <w:rsid w:val="002767FB"/>
    <w:rsid w:val="00276847"/>
    <w:rsid w:val="00276932"/>
    <w:rsid w:val="00276BE9"/>
    <w:rsid w:val="00276D24"/>
    <w:rsid w:val="00276F96"/>
    <w:rsid w:val="0027701D"/>
    <w:rsid w:val="002770CC"/>
    <w:rsid w:val="0027714C"/>
    <w:rsid w:val="00277250"/>
    <w:rsid w:val="0027741B"/>
    <w:rsid w:val="00277595"/>
    <w:rsid w:val="002776DF"/>
    <w:rsid w:val="00277A7B"/>
    <w:rsid w:val="00277AFB"/>
    <w:rsid w:val="00277D60"/>
    <w:rsid w:val="00277EB7"/>
    <w:rsid w:val="00280251"/>
    <w:rsid w:val="00280537"/>
    <w:rsid w:val="0028059E"/>
    <w:rsid w:val="002805CE"/>
    <w:rsid w:val="00280890"/>
    <w:rsid w:val="00280A78"/>
    <w:rsid w:val="00280B07"/>
    <w:rsid w:val="00280B2F"/>
    <w:rsid w:val="00280B60"/>
    <w:rsid w:val="00280C3E"/>
    <w:rsid w:val="00280C65"/>
    <w:rsid w:val="00280C76"/>
    <w:rsid w:val="0028132A"/>
    <w:rsid w:val="0028133F"/>
    <w:rsid w:val="00281360"/>
    <w:rsid w:val="002817E7"/>
    <w:rsid w:val="00281973"/>
    <w:rsid w:val="002819AF"/>
    <w:rsid w:val="002819DA"/>
    <w:rsid w:val="00281C6B"/>
    <w:rsid w:val="00281CBE"/>
    <w:rsid w:val="00281D4A"/>
    <w:rsid w:val="00281ED6"/>
    <w:rsid w:val="002821D5"/>
    <w:rsid w:val="00282348"/>
    <w:rsid w:val="002824BC"/>
    <w:rsid w:val="0028288B"/>
    <w:rsid w:val="00282BE3"/>
    <w:rsid w:val="00282C74"/>
    <w:rsid w:val="00282C7B"/>
    <w:rsid w:val="00282C80"/>
    <w:rsid w:val="00282EDD"/>
    <w:rsid w:val="00283055"/>
    <w:rsid w:val="002833AF"/>
    <w:rsid w:val="002834FB"/>
    <w:rsid w:val="002835F4"/>
    <w:rsid w:val="00283E5C"/>
    <w:rsid w:val="00283F55"/>
    <w:rsid w:val="00283FE2"/>
    <w:rsid w:val="002846AA"/>
    <w:rsid w:val="002846AE"/>
    <w:rsid w:val="002848ED"/>
    <w:rsid w:val="002849B8"/>
    <w:rsid w:val="00284AF6"/>
    <w:rsid w:val="00284B9E"/>
    <w:rsid w:val="00284BF6"/>
    <w:rsid w:val="00284DF4"/>
    <w:rsid w:val="00284E7D"/>
    <w:rsid w:val="002852CD"/>
    <w:rsid w:val="0028552B"/>
    <w:rsid w:val="0028569C"/>
    <w:rsid w:val="00285A29"/>
    <w:rsid w:val="00285D0B"/>
    <w:rsid w:val="0028600E"/>
    <w:rsid w:val="00286367"/>
    <w:rsid w:val="0028639B"/>
    <w:rsid w:val="002866C0"/>
    <w:rsid w:val="00286946"/>
    <w:rsid w:val="00286993"/>
    <w:rsid w:val="00286C85"/>
    <w:rsid w:val="00286D1C"/>
    <w:rsid w:val="00286E07"/>
    <w:rsid w:val="00286F14"/>
    <w:rsid w:val="00286F85"/>
    <w:rsid w:val="002870C6"/>
    <w:rsid w:val="00287205"/>
    <w:rsid w:val="002876FF"/>
    <w:rsid w:val="002877DA"/>
    <w:rsid w:val="002879F9"/>
    <w:rsid w:val="00287AAC"/>
    <w:rsid w:val="00287B9E"/>
    <w:rsid w:val="00287D86"/>
    <w:rsid w:val="00290186"/>
    <w:rsid w:val="002901ED"/>
    <w:rsid w:val="00290411"/>
    <w:rsid w:val="00290511"/>
    <w:rsid w:val="00290541"/>
    <w:rsid w:val="002905EA"/>
    <w:rsid w:val="0029087F"/>
    <w:rsid w:val="00290A55"/>
    <w:rsid w:val="00290ABB"/>
    <w:rsid w:val="00290B0E"/>
    <w:rsid w:val="00290B8A"/>
    <w:rsid w:val="00290F19"/>
    <w:rsid w:val="00291003"/>
    <w:rsid w:val="0029105D"/>
    <w:rsid w:val="002910CB"/>
    <w:rsid w:val="002912F2"/>
    <w:rsid w:val="00291383"/>
    <w:rsid w:val="002914CA"/>
    <w:rsid w:val="0029166D"/>
    <w:rsid w:val="002916B0"/>
    <w:rsid w:val="002916F5"/>
    <w:rsid w:val="002918C6"/>
    <w:rsid w:val="00291A15"/>
    <w:rsid w:val="00291AFE"/>
    <w:rsid w:val="00291B39"/>
    <w:rsid w:val="00291B8D"/>
    <w:rsid w:val="00291C0C"/>
    <w:rsid w:val="00291C52"/>
    <w:rsid w:val="00291C95"/>
    <w:rsid w:val="00291CA4"/>
    <w:rsid w:val="00291CCA"/>
    <w:rsid w:val="00291D80"/>
    <w:rsid w:val="00291EE1"/>
    <w:rsid w:val="0029215E"/>
    <w:rsid w:val="002924FE"/>
    <w:rsid w:val="00292532"/>
    <w:rsid w:val="002928DF"/>
    <w:rsid w:val="00292975"/>
    <w:rsid w:val="00292B3A"/>
    <w:rsid w:val="00292C8F"/>
    <w:rsid w:val="00292CBC"/>
    <w:rsid w:val="00292F92"/>
    <w:rsid w:val="00292FFA"/>
    <w:rsid w:val="00292FFC"/>
    <w:rsid w:val="0029305B"/>
    <w:rsid w:val="002930D1"/>
    <w:rsid w:val="002931F3"/>
    <w:rsid w:val="00293237"/>
    <w:rsid w:val="00293247"/>
    <w:rsid w:val="0029364C"/>
    <w:rsid w:val="0029366F"/>
    <w:rsid w:val="002936E8"/>
    <w:rsid w:val="00293772"/>
    <w:rsid w:val="0029385B"/>
    <w:rsid w:val="0029390B"/>
    <w:rsid w:val="00293933"/>
    <w:rsid w:val="002939A6"/>
    <w:rsid w:val="00293B80"/>
    <w:rsid w:val="00293B86"/>
    <w:rsid w:val="00293C7D"/>
    <w:rsid w:val="00293D2C"/>
    <w:rsid w:val="00293E18"/>
    <w:rsid w:val="00293EA1"/>
    <w:rsid w:val="00293EC9"/>
    <w:rsid w:val="00294368"/>
    <w:rsid w:val="0029491A"/>
    <w:rsid w:val="00294985"/>
    <w:rsid w:val="00294AE9"/>
    <w:rsid w:val="00294C7E"/>
    <w:rsid w:val="00294E3B"/>
    <w:rsid w:val="002951E9"/>
    <w:rsid w:val="0029540A"/>
    <w:rsid w:val="00295796"/>
    <w:rsid w:val="002957AA"/>
    <w:rsid w:val="00295876"/>
    <w:rsid w:val="00295AA9"/>
    <w:rsid w:val="00295BCA"/>
    <w:rsid w:val="00295E52"/>
    <w:rsid w:val="00295F2B"/>
    <w:rsid w:val="00296285"/>
    <w:rsid w:val="002962D0"/>
    <w:rsid w:val="0029644E"/>
    <w:rsid w:val="0029661A"/>
    <w:rsid w:val="002968C9"/>
    <w:rsid w:val="00296E9A"/>
    <w:rsid w:val="00296EFF"/>
    <w:rsid w:val="002972DA"/>
    <w:rsid w:val="0029735D"/>
    <w:rsid w:val="002974E8"/>
    <w:rsid w:val="002975B5"/>
    <w:rsid w:val="00297790"/>
    <w:rsid w:val="002978D7"/>
    <w:rsid w:val="00297990"/>
    <w:rsid w:val="00297B4A"/>
    <w:rsid w:val="00297F09"/>
    <w:rsid w:val="002A011E"/>
    <w:rsid w:val="002A029E"/>
    <w:rsid w:val="002A04B0"/>
    <w:rsid w:val="002A079E"/>
    <w:rsid w:val="002A08C8"/>
    <w:rsid w:val="002A0941"/>
    <w:rsid w:val="002A09D2"/>
    <w:rsid w:val="002A0D31"/>
    <w:rsid w:val="002A0E29"/>
    <w:rsid w:val="002A0EFA"/>
    <w:rsid w:val="002A13FF"/>
    <w:rsid w:val="002A1524"/>
    <w:rsid w:val="002A16F7"/>
    <w:rsid w:val="002A17AE"/>
    <w:rsid w:val="002A180B"/>
    <w:rsid w:val="002A181C"/>
    <w:rsid w:val="002A18C3"/>
    <w:rsid w:val="002A18DC"/>
    <w:rsid w:val="002A1BB3"/>
    <w:rsid w:val="002A1D89"/>
    <w:rsid w:val="002A2228"/>
    <w:rsid w:val="002A22C0"/>
    <w:rsid w:val="002A22EE"/>
    <w:rsid w:val="002A24BB"/>
    <w:rsid w:val="002A2584"/>
    <w:rsid w:val="002A25CC"/>
    <w:rsid w:val="002A26BB"/>
    <w:rsid w:val="002A271E"/>
    <w:rsid w:val="002A2897"/>
    <w:rsid w:val="002A2E21"/>
    <w:rsid w:val="002A2F24"/>
    <w:rsid w:val="002A3259"/>
    <w:rsid w:val="002A342B"/>
    <w:rsid w:val="002A3618"/>
    <w:rsid w:val="002A36BE"/>
    <w:rsid w:val="002A37DC"/>
    <w:rsid w:val="002A39EF"/>
    <w:rsid w:val="002A3C1D"/>
    <w:rsid w:val="002A3CD6"/>
    <w:rsid w:val="002A3CEA"/>
    <w:rsid w:val="002A3E07"/>
    <w:rsid w:val="002A3EC0"/>
    <w:rsid w:val="002A4068"/>
    <w:rsid w:val="002A414C"/>
    <w:rsid w:val="002A41C8"/>
    <w:rsid w:val="002A4560"/>
    <w:rsid w:val="002A45DB"/>
    <w:rsid w:val="002A4839"/>
    <w:rsid w:val="002A49C1"/>
    <w:rsid w:val="002A4B5D"/>
    <w:rsid w:val="002A4DC6"/>
    <w:rsid w:val="002A4DFB"/>
    <w:rsid w:val="002A5111"/>
    <w:rsid w:val="002A51A6"/>
    <w:rsid w:val="002A5374"/>
    <w:rsid w:val="002A5422"/>
    <w:rsid w:val="002A543F"/>
    <w:rsid w:val="002A59A9"/>
    <w:rsid w:val="002A59DE"/>
    <w:rsid w:val="002A5D64"/>
    <w:rsid w:val="002A5E05"/>
    <w:rsid w:val="002A5ED6"/>
    <w:rsid w:val="002A65B0"/>
    <w:rsid w:val="002A6703"/>
    <w:rsid w:val="002A6734"/>
    <w:rsid w:val="002A6857"/>
    <w:rsid w:val="002A6992"/>
    <w:rsid w:val="002A6A16"/>
    <w:rsid w:val="002A6EAB"/>
    <w:rsid w:val="002A7244"/>
    <w:rsid w:val="002A7369"/>
    <w:rsid w:val="002A7668"/>
    <w:rsid w:val="002A7672"/>
    <w:rsid w:val="002A7934"/>
    <w:rsid w:val="002A7947"/>
    <w:rsid w:val="002A7B78"/>
    <w:rsid w:val="002A7BC4"/>
    <w:rsid w:val="002A7CCC"/>
    <w:rsid w:val="002B0081"/>
    <w:rsid w:val="002B04FF"/>
    <w:rsid w:val="002B05B5"/>
    <w:rsid w:val="002B06D9"/>
    <w:rsid w:val="002B091A"/>
    <w:rsid w:val="002B0ABB"/>
    <w:rsid w:val="002B0B6D"/>
    <w:rsid w:val="002B0D29"/>
    <w:rsid w:val="002B0D82"/>
    <w:rsid w:val="002B0F14"/>
    <w:rsid w:val="002B0F1C"/>
    <w:rsid w:val="002B0F76"/>
    <w:rsid w:val="002B10CA"/>
    <w:rsid w:val="002B11F9"/>
    <w:rsid w:val="002B12B2"/>
    <w:rsid w:val="002B12E9"/>
    <w:rsid w:val="002B180B"/>
    <w:rsid w:val="002B19FC"/>
    <w:rsid w:val="002B1CEC"/>
    <w:rsid w:val="002B1E1E"/>
    <w:rsid w:val="002B1F68"/>
    <w:rsid w:val="002B1F69"/>
    <w:rsid w:val="002B20B0"/>
    <w:rsid w:val="002B232A"/>
    <w:rsid w:val="002B233C"/>
    <w:rsid w:val="002B24D5"/>
    <w:rsid w:val="002B284E"/>
    <w:rsid w:val="002B2A04"/>
    <w:rsid w:val="002B303C"/>
    <w:rsid w:val="002B30F7"/>
    <w:rsid w:val="002B3193"/>
    <w:rsid w:val="002B352F"/>
    <w:rsid w:val="002B36EF"/>
    <w:rsid w:val="002B37D7"/>
    <w:rsid w:val="002B38D0"/>
    <w:rsid w:val="002B3A20"/>
    <w:rsid w:val="002B3DC8"/>
    <w:rsid w:val="002B3DCE"/>
    <w:rsid w:val="002B3F4C"/>
    <w:rsid w:val="002B4178"/>
    <w:rsid w:val="002B42B5"/>
    <w:rsid w:val="002B4632"/>
    <w:rsid w:val="002B492F"/>
    <w:rsid w:val="002B4C53"/>
    <w:rsid w:val="002B4D5B"/>
    <w:rsid w:val="002B4D65"/>
    <w:rsid w:val="002B4F02"/>
    <w:rsid w:val="002B4F4F"/>
    <w:rsid w:val="002B4FF9"/>
    <w:rsid w:val="002B50BF"/>
    <w:rsid w:val="002B50F2"/>
    <w:rsid w:val="002B5351"/>
    <w:rsid w:val="002B5391"/>
    <w:rsid w:val="002B544E"/>
    <w:rsid w:val="002B550D"/>
    <w:rsid w:val="002B574A"/>
    <w:rsid w:val="002B5FFF"/>
    <w:rsid w:val="002B61A2"/>
    <w:rsid w:val="002B6353"/>
    <w:rsid w:val="002B643E"/>
    <w:rsid w:val="002B6469"/>
    <w:rsid w:val="002B6485"/>
    <w:rsid w:val="002B65A0"/>
    <w:rsid w:val="002B6A28"/>
    <w:rsid w:val="002B6E4A"/>
    <w:rsid w:val="002B7233"/>
    <w:rsid w:val="002B7328"/>
    <w:rsid w:val="002B733E"/>
    <w:rsid w:val="002B758B"/>
    <w:rsid w:val="002B7624"/>
    <w:rsid w:val="002B7655"/>
    <w:rsid w:val="002B79B9"/>
    <w:rsid w:val="002B7F3D"/>
    <w:rsid w:val="002C0483"/>
    <w:rsid w:val="002C069F"/>
    <w:rsid w:val="002C09A6"/>
    <w:rsid w:val="002C0ECD"/>
    <w:rsid w:val="002C113E"/>
    <w:rsid w:val="002C1161"/>
    <w:rsid w:val="002C12EC"/>
    <w:rsid w:val="002C1727"/>
    <w:rsid w:val="002C1728"/>
    <w:rsid w:val="002C17EC"/>
    <w:rsid w:val="002C1A0F"/>
    <w:rsid w:val="002C1AEF"/>
    <w:rsid w:val="002C1CC2"/>
    <w:rsid w:val="002C2306"/>
    <w:rsid w:val="002C2BC0"/>
    <w:rsid w:val="002C2CB3"/>
    <w:rsid w:val="002C2CFC"/>
    <w:rsid w:val="002C2D30"/>
    <w:rsid w:val="002C2F5F"/>
    <w:rsid w:val="002C32B5"/>
    <w:rsid w:val="002C3310"/>
    <w:rsid w:val="002C357A"/>
    <w:rsid w:val="002C3659"/>
    <w:rsid w:val="002C36E6"/>
    <w:rsid w:val="002C3887"/>
    <w:rsid w:val="002C3C27"/>
    <w:rsid w:val="002C407E"/>
    <w:rsid w:val="002C41DD"/>
    <w:rsid w:val="002C436C"/>
    <w:rsid w:val="002C458F"/>
    <w:rsid w:val="002C462A"/>
    <w:rsid w:val="002C4806"/>
    <w:rsid w:val="002C49C2"/>
    <w:rsid w:val="002C4AA7"/>
    <w:rsid w:val="002C4AED"/>
    <w:rsid w:val="002C4D61"/>
    <w:rsid w:val="002C4E11"/>
    <w:rsid w:val="002C5528"/>
    <w:rsid w:val="002C5576"/>
    <w:rsid w:val="002C57F2"/>
    <w:rsid w:val="002C58D6"/>
    <w:rsid w:val="002C59A6"/>
    <w:rsid w:val="002C59CE"/>
    <w:rsid w:val="002C5A39"/>
    <w:rsid w:val="002C5A83"/>
    <w:rsid w:val="002C5B1D"/>
    <w:rsid w:val="002C5B38"/>
    <w:rsid w:val="002C5BB8"/>
    <w:rsid w:val="002C5C8B"/>
    <w:rsid w:val="002C5D22"/>
    <w:rsid w:val="002C5F12"/>
    <w:rsid w:val="002C606E"/>
    <w:rsid w:val="002C612C"/>
    <w:rsid w:val="002C6297"/>
    <w:rsid w:val="002C63E4"/>
    <w:rsid w:val="002C6557"/>
    <w:rsid w:val="002C67A8"/>
    <w:rsid w:val="002C7136"/>
    <w:rsid w:val="002C7176"/>
    <w:rsid w:val="002C720B"/>
    <w:rsid w:val="002C7333"/>
    <w:rsid w:val="002C7449"/>
    <w:rsid w:val="002C7571"/>
    <w:rsid w:val="002C76D4"/>
    <w:rsid w:val="002C77A9"/>
    <w:rsid w:val="002C77EA"/>
    <w:rsid w:val="002C789E"/>
    <w:rsid w:val="002C78F8"/>
    <w:rsid w:val="002C7AB4"/>
    <w:rsid w:val="002C7AC6"/>
    <w:rsid w:val="002C7F20"/>
    <w:rsid w:val="002D0017"/>
    <w:rsid w:val="002D02C4"/>
    <w:rsid w:val="002D0302"/>
    <w:rsid w:val="002D06C5"/>
    <w:rsid w:val="002D086A"/>
    <w:rsid w:val="002D0C13"/>
    <w:rsid w:val="002D0C17"/>
    <w:rsid w:val="002D0FBA"/>
    <w:rsid w:val="002D107A"/>
    <w:rsid w:val="002D10D1"/>
    <w:rsid w:val="002D127D"/>
    <w:rsid w:val="002D12A6"/>
    <w:rsid w:val="002D12F5"/>
    <w:rsid w:val="002D1399"/>
    <w:rsid w:val="002D1553"/>
    <w:rsid w:val="002D1578"/>
    <w:rsid w:val="002D1A83"/>
    <w:rsid w:val="002D1ABB"/>
    <w:rsid w:val="002D1AF0"/>
    <w:rsid w:val="002D1D98"/>
    <w:rsid w:val="002D1DB1"/>
    <w:rsid w:val="002D1E22"/>
    <w:rsid w:val="002D1E59"/>
    <w:rsid w:val="002D1FB6"/>
    <w:rsid w:val="002D2047"/>
    <w:rsid w:val="002D20A6"/>
    <w:rsid w:val="002D2273"/>
    <w:rsid w:val="002D227B"/>
    <w:rsid w:val="002D2467"/>
    <w:rsid w:val="002D271C"/>
    <w:rsid w:val="002D28F1"/>
    <w:rsid w:val="002D292B"/>
    <w:rsid w:val="002D298E"/>
    <w:rsid w:val="002D2A12"/>
    <w:rsid w:val="002D2AF9"/>
    <w:rsid w:val="002D2E88"/>
    <w:rsid w:val="002D2F48"/>
    <w:rsid w:val="002D313E"/>
    <w:rsid w:val="002D3291"/>
    <w:rsid w:val="002D350D"/>
    <w:rsid w:val="002D352E"/>
    <w:rsid w:val="002D35FF"/>
    <w:rsid w:val="002D3900"/>
    <w:rsid w:val="002D3A9A"/>
    <w:rsid w:val="002D3C3C"/>
    <w:rsid w:val="002D3E77"/>
    <w:rsid w:val="002D419C"/>
    <w:rsid w:val="002D46B1"/>
    <w:rsid w:val="002D4782"/>
    <w:rsid w:val="002D4787"/>
    <w:rsid w:val="002D4AD8"/>
    <w:rsid w:val="002D4ADB"/>
    <w:rsid w:val="002D4FA7"/>
    <w:rsid w:val="002D51BD"/>
    <w:rsid w:val="002D54CF"/>
    <w:rsid w:val="002D599C"/>
    <w:rsid w:val="002D5ABC"/>
    <w:rsid w:val="002D6036"/>
    <w:rsid w:val="002D65C0"/>
    <w:rsid w:val="002D6613"/>
    <w:rsid w:val="002D68A7"/>
    <w:rsid w:val="002D6916"/>
    <w:rsid w:val="002D69FD"/>
    <w:rsid w:val="002D6AC2"/>
    <w:rsid w:val="002D6C8D"/>
    <w:rsid w:val="002D6D48"/>
    <w:rsid w:val="002D6F53"/>
    <w:rsid w:val="002D70FD"/>
    <w:rsid w:val="002D72D9"/>
    <w:rsid w:val="002D734A"/>
    <w:rsid w:val="002D746C"/>
    <w:rsid w:val="002D7575"/>
    <w:rsid w:val="002D77A4"/>
    <w:rsid w:val="002D7CCA"/>
    <w:rsid w:val="002D7D23"/>
    <w:rsid w:val="002E0008"/>
    <w:rsid w:val="002E022E"/>
    <w:rsid w:val="002E0441"/>
    <w:rsid w:val="002E0499"/>
    <w:rsid w:val="002E04A9"/>
    <w:rsid w:val="002E055B"/>
    <w:rsid w:val="002E0701"/>
    <w:rsid w:val="002E0762"/>
    <w:rsid w:val="002E0788"/>
    <w:rsid w:val="002E07A2"/>
    <w:rsid w:val="002E0824"/>
    <w:rsid w:val="002E09A5"/>
    <w:rsid w:val="002E0AFA"/>
    <w:rsid w:val="002E0D3D"/>
    <w:rsid w:val="002E0E1A"/>
    <w:rsid w:val="002E1001"/>
    <w:rsid w:val="002E1086"/>
    <w:rsid w:val="002E1277"/>
    <w:rsid w:val="002E1386"/>
    <w:rsid w:val="002E1A2D"/>
    <w:rsid w:val="002E1A6F"/>
    <w:rsid w:val="002E1C80"/>
    <w:rsid w:val="002E1E38"/>
    <w:rsid w:val="002E1FB9"/>
    <w:rsid w:val="002E240D"/>
    <w:rsid w:val="002E29A5"/>
    <w:rsid w:val="002E2AC1"/>
    <w:rsid w:val="002E2B4D"/>
    <w:rsid w:val="002E2C58"/>
    <w:rsid w:val="002E3167"/>
    <w:rsid w:val="002E32E7"/>
    <w:rsid w:val="002E330A"/>
    <w:rsid w:val="002E3379"/>
    <w:rsid w:val="002E340A"/>
    <w:rsid w:val="002E36BA"/>
    <w:rsid w:val="002E378A"/>
    <w:rsid w:val="002E37CB"/>
    <w:rsid w:val="002E382A"/>
    <w:rsid w:val="002E3873"/>
    <w:rsid w:val="002E3BDA"/>
    <w:rsid w:val="002E3C1E"/>
    <w:rsid w:val="002E3C2B"/>
    <w:rsid w:val="002E3E20"/>
    <w:rsid w:val="002E3E4A"/>
    <w:rsid w:val="002E3FC2"/>
    <w:rsid w:val="002E4087"/>
    <w:rsid w:val="002E41B0"/>
    <w:rsid w:val="002E42BB"/>
    <w:rsid w:val="002E43CE"/>
    <w:rsid w:val="002E43ED"/>
    <w:rsid w:val="002E4522"/>
    <w:rsid w:val="002E45EB"/>
    <w:rsid w:val="002E47EA"/>
    <w:rsid w:val="002E489E"/>
    <w:rsid w:val="002E498F"/>
    <w:rsid w:val="002E49FA"/>
    <w:rsid w:val="002E4A71"/>
    <w:rsid w:val="002E4BDE"/>
    <w:rsid w:val="002E4FD1"/>
    <w:rsid w:val="002E5008"/>
    <w:rsid w:val="002E515B"/>
    <w:rsid w:val="002E5180"/>
    <w:rsid w:val="002E52EE"/>
    <w:rsid w:val="002E53AD"/>
    <w:rsid w:val="002E54B3"/>
    <w:rsid w:val="002E5528"/>
    <w:rsid w:val="002E56A4"/>
    <w:rsid w:val="002E56E0"/>
    <w:rsid w:val="002E58FB"/>
    <w:rsid w:val="002E5AA8"/>
    <w:rsid w:val="002E5D2B"/>
    <w:rsid w:val="002E5FAF"/>
    <w:rsid w:val="002E5FDE"/>
    <w:rsid w:val="002E622A"/>
    <w:rsid w:val="002E627F"/>
    <w:rsid w:val="002E62D6"/>
    <w:rsid w:val="002E6472"/>
    <w:rsid w:val="002E6798"/>
    <w:rsid w:val="002E695D"/>
    <w:rsid w:val="002E6B04"/>
    <w:rsid w:val="002E6B41"/>
    <w:rsid w:val="002E6C76"/>
    <w:rsid w:val="002E6F7D"/>
    <w:rsid w:val="002E6FCD"/>
    <w:rsid w:val="002E7047"/>
    <w:rsid w:val="002E7060"/>
    <w:rsid w:val="002E71D1"/>
    <w:rsid w:val="002E7740"/>
    <w:rsid w:val="002E78CE"/>
    <w:rsid w:val="002E7BB7"/>
    <w:rsid w:val="002F0068"/>
    <w:rsid w:val="002F0231"/>
    <w:rsid w:val="002F04BF"/>
    <w:rsid w:val="002F06E8"/>
    <w:rsid w:val="002F08AE"/>
    <w:rsid w:val="002F0957"/>
    <w:rsid w:val="002F0ADA"/>
    <w:rsid w:val="002F0BE6"/>
    <w:rsid w:val="002F0DB8"/>
    <w:rsid w:val="002F0EC2"/>
    <w:rsid w:val="002F0EEC"/>
    <w:rsid w:val="002F1258"/>
    <w:rsid w:val="002F158A"/>
    <w:rsid w:val="002F17F6"/>
    <w:rsid w:val="002F1851"/>
    <w:rsid w:val="002F18D7"/>
    <w:rsid w:val="002F190A"/>
    <w:rsid w:val="002F1DC5"/>
    <w:rsid w:val="002F20AB"/>
    <w:rsid w:val="002F21A2"/>
    <w:rsid w:val="002F222F"/>
    <w:rsid w:val="002F22E3"/>
    <w:rsid w:val="002F22EA"/>
    <w:rsid w:val="002F258C"/>
    <w:rsid w:val="002F272F"/>
    <w:rsid w:val="002F294B"/>
    <w:rsid w:val="002F29B4"/>
    <w:rsid w:val="002F2CF5"/>
    <w:rsid w:val="002F2EEA"/>
    <w:rsid w:val="002F301C"/>
    <w:rsid w:val="002F3046"/>
    <w:rsid w:val="002F30FC"/>
    <w:rsid w:val="002F3324"/>
    <w:rsid w:val="002F3798"/>
    <w:rsid w:val="002F3858"/>
    <w:rsid w:val="002F3892"/>
    <w:rsid w:val="002F38D3"/>
    <w:rsid w:val="002F3901"/>
    <w:rsid w:val="002F3ABC"/>
    <w:rsid w:val="002F3C4C"/>
    <w:rsid w:val="002F3E23"/>
    <w:rsid w:val="002F3E73"/>
    <w:rsid w:val="002F41C7"/>
    <w:rsid w:val="002F4307"/>
    <w:rsid w:val="002F47F2"/>
    <w:rsid w:val="002F48A2"/>
    <w:rsid w:val="002F4B47"/>
    <w:rsid w:val="002F4B88"/>
    <w:rsid w:val="002F4E6C"/>
    <w:rsid w:val="002F51FD"/>
    <w:rsid w:val="002F5207"/>
    <w:rsid w:val="002F55D5"/>
    <w:rsid w:val="002F5615"/>
    <w:rsid w:val="002F565D"/>
    <w:rsid w:val="002F566F"/>
    <w:rsid w:val="002F5843"/>
    <w:rsid w:val="002F5976"/>
    <w:rsid w:val="002F5AA9"/>
    <w:rsid w:val="002F5B93"/>
    <w:rsid w:val="002F5BBF"/>
    <w:rsid w:val="002F6204"/>
    <w:rsid w:val="002F6679"/>
    <w:rsid w:val="002F6859"/>
    <w:rsid w:val="002F686A"/>
    <w:rsid w:val="002F69EF"/>
    <w:rsid w:val="002F6BA6"/>
    <w:rsid w:val="002F70A5"/>
    <w:rsid w:val="002F713D"/>
    <w:rsid w:val="002F730D"/>
    <w:rsid w:val="002F731C"/>
    <w:rsid w:val="002F7427"/>
    <w:rsid w:val="002F78B3"/>
    <w:rsid w:val="002F7994"/>
    <w:rsid w:val="002F79A4"/>
    <w:rsid w:val="002F7E5D"/>
    <w:rsid w:val="002F7EE6"/>
    <w:rsid w:val="0030040B"/>
    <w:rsid w:val="0030067D"/>
    <w:rsid w:val="00300949"/>
    <w:rsid w:val="0030096B"/>
    <w:rsid w:val="00300B84"/>
    <w:rsid w:val="00300D02"/>
    <w:rsid w:val="00300DA8"/>
    <w:rsid w:val="00300E16"/>
    <w:rsid w:val="00300E55"/>
    <w:rsid w:val="00301243"/>
    <w:rsid w:val="00301830"/>
    <w:rsid w:val="00301880"/>
    <w:rsid w:val="00301922"/>
    <w:rsid w:val="00301A40"/>
    <w:rsid w:val="00301E31"/>
    <w:rsid w:val="00301F01"/>
    <w:rsid w:val="00301FC8"/>
    <w:rsid w:val="003020C7"/>
    <w:rsid w:val="00302389"/>
    <w:rsid w:val="003025DA"/>
    <w:rsid w:val="00302799"/>
    <w:rsid w:val="003027C8"/>
    <w:rsid w:val="003028F6"/>
    <w:rsid w:val="0030296B"/>
    <w:rsid w:val="00302CDB"/>
    <w:rsid w:val="00302EB7"/>
    <w:rsid w:val="0030309A"/>
    <w:rsid w:val="0030318C"/>
    <w:rsid w:val="003031B9"/>
    <w:rsid w:val="0030357E"/>
    <w:rsid w:val="003036E6"/>
    <w:rsid w:val="003037B2"/>
    <w:rsid w:val="00303881"/>
    <w:rsid w:val="00303918"/>
    <w:rsid w:val="00303E80"/>
    <w:rsid w:val="00303F99"/>
    <w:rsid w:val="00304132"/>
    <w:rsid w:val="003045E8"/>
    <w:rsid w:val="00304638"/>
    <w:rsid w:val="003046BE"/>
    <w:rsid w:val="00304958"/>
    <w:rsid w:val="003049BB"/>
    <w:rsid w:val="00304A00"/>
    <w:rsid w:val="00304B33"/>
    <w:rsid w:val="00304E4D"/>
    <w:rsid w:val="003050A7"/>
    <w:rsid w:val="0030520A"/>
    <w:rsid w:val="0030548A"/>
    <w:rsid w:val="0030558D"/>
    <w:rsid w:val="003056A6"/>
    <w:rsid w:val="0030587B"/>
    <w:rsid w:val="003058D2"/>
    <w:rsid w:val="00305C01"/>
    <w:rsid w:val="00305C2F"/>
    <w:rsid w:val="00305D69"/>
    <w:rsid w:val="00306030"/>
    <w:rsid w:val="0030612C"/>
    <w:rsid w:val="0030612F"/>
    <w:rsid w:val="003062D4"/>
    <w:rsid w:val="0030632F"/>
    <w:rsid w:val="00306357"/>
    <w:rsid w:val="00306FEA"/>
    <w:rsid w:val="003073B6"/>
    <w:rsid w:val="0030767C"/>
    <w:rsid w:val="00307949"/>
    <w:rsid w:val="00307ACB"/>
    <w:rsid w:val="00307E61"/>
    <w:rsid w:val="00310007"/>
    <w:rsid w:val="0031020E"/>
    <w:rsid w:val="00310226"/>
    <w:rsid w:val="003103DB"/>
    <w:rsid w:val="003106FF"/>
    <w:rsid w:val="0031080D"/>
    <w:rsid w:val="00310D8F"/>
    <w:rsid w:val="00310FF9"/>
    <w:rsid w:val="00311D3C"/>
    <w:rsid w:val="00311E73"/>
    <w:rsid w:val="00311F8F"/>
    <w:rsid w:val="00311FBB"/>
    <w:rsid w:val="003120E5"/>
    <w:rsid w:val="003124F0"/>
    <w:rsid w:val="00312537"/>
    <w:rsid w:val="0031268E"/>
    <w:rsid w:val="0031282E"/>
    <w:rsid w:val="00312CA5"/>
    <w:rsid w:val="00312CB2"/>
    <w:rsid w:val="00312CFA"/>
    <w:rsid w:val="00312DBD"/>
    <w:rsid w:val="00312E4D"/>
    <w:rsid w:val="00312EE7"/>
    <w:rsid w:val="00312F42"/>
    <w:rsid w:val="00312F84"/>
    <w:rsid w:val="00313227"/>
    <w:rsid w:val="00313389"/>
    <w:rsid w:val="003133D5"/>
    <w:rsid w:val="003137CE"/>
    <w:rsid w:val="00313863"/>
    <w:rsid w:val="00313AE5"/>
    <w:rsid w:val="00313C80"/>
    <w:rsid w:val="00313CB5"/>
    <w:rsid w:val="00313EAB"/>
    <w:rsid w:val="00314699"/>
    <w:rsid w:val="00314779"/>
    <w:rsid w:val="00314B0D"/>
    <w:rsid w:val="00314B2F"/>
    <w:rsid w:val="00314D57"/>
    <w:rsid w:val="00314F46"/>
    <w:rsid w:val="003151B9"/>
    <w:rsid w:val="003151F3"/>
    <w:rsid w:val="003153A7"/>
    <w:rsid w:val="0031573F"/>
    <w:rsid w:val="00315845"/>
    <w:rsid w:val="00315A73"/>
    <w:rsid w:val="00315B36"/>
    <w:rsid w:val="00315F20"/>
    <w:rsid w:val="00316182"/>
    <w:rsid w:val="003162C3"/>
    <w:rsid w:val="0031630A"/>
    <w:rsid w:val="0031643D"/>
    <w:rsid w:val="003165BA"/>
    <w:rsid w:val="00316650"/>
    <w:rsid w:val="0031673A"/>
    <w:rsid w:val="00316A43"/>
    <w:rsid w:val="00316BE5"/>
    <w:rsid w:val="00316C5E"/>
    <w:rsid w:val="00316CE0"/>
    <w:rsid w:val="00316CEC"/>
    <w:rsid w:val="00316D61"/>
    <w:rsid w:val="00316F7C"/>
    <w:rsid w:val="00317146"/>
    <w:rsid w:val="003171F2"/>
    <w:rsid w:val="00317268"/>
    <w:rsid w:val="003174E0"/>
    <w:rsid w:val="003174FC"/>
    <w:rsid w:val="00317546"/>
    <w:rsid w:val="003176A9"/>
    <w:rsid w:val="00317A1F"/>
    <w:rsid w:val="00317AA4"/>
    <w:rsid w:val="00317BD9"/>
    <w:rsid w:val="003200E5"/>
    <w:rsid w:val="00320550"/>
    <w:rsid w:val="00320689"/>
    <w:rsid w:val="00320A43"/>
    <w:rsid w:val="00320E08"/>
    <w:rsid w:val="00320FA6"/>
    <w:rsid w:val="003210B2"/>
    <w:rsid w:val="00321115"/>
    <w:rsid w:val="0032150B"/>
    <w:rsid w:val="00321698"/>
    <w:rsid w:val="003216CC"/>
    <w:rsid w:val="003219FA"/>
    <w:rsid w:val="00321B51"/>
    <w:rsid w:val="00321F4C"/>
    <w:rsid w:val="003220AC"/>
    <w:rsid w:val="003220F4"/>
    <w:rsid w:val="00322153"/>
    <w:rsid w:val="003221C3"/>
    <w:rsid w:val="00322284"/>
    <w:rsid w:val="003225DD"/>
    <w:rsid w:val="003228C3"/>
    <w:rsid w:val="003228ED"/>
    <w:rsid w:val="00322A00"/>
    <w:rsid w:val="00322B09"/>
    <w:rsid w:val="00322B85"/>
    <w:rsid w:val="00322C76"/>
    <w:rsid w:val="00322DAE"/>
    <w:rsid w:val="00322E25"/>
    <w:rsid w:val="00322E74"/>
    <w:rsid w:val="0032338F"/>
    <w:rsid w:val="003234A1"/>
    <w:rsid w:val="003235CF"/>
    <w:rsid w:val="0032376A"/>
    <w:rsid w:val="00323810"/>
    <w:rsid w:val="0032389D"/>
    <w:rsid w:val="00323DD2"/>
    <w:rsid w:val="00323FE9"/>
    <w:rsid w:val="00324041"/>
    <w:rsid w:val="00324183"/>
    <w:rsid w:val="0032424C"/>
    <w:rsid w:val="003246E4"/>
    <w:rsid w:val="00324792"/>
    <w:rsid w:val="00324AEE"/>
    <w:rsid w:val="00324B19"/>
    <w:rsid w:val="00324C39"/>
    <w:rsid w:val="00325129"/>
    <w:rsid w:val="003251ED"/>
    <w:rsid w:val="00325301"/>
    <w:rsid w:val="00325305"/>
    <w:rsid w:val="00325516"/>
    <w:rsid w:val="003257F1"/>
    <w:rsid w:val="00325864"/>
    <w:rsid w:val="003258B6"/>
    <w:rsid w:val="00325AD9"/>
    <w:rsid w:val="00325BF4"/>
    <w:rsid w:val="00325C86"/>
    <w:rsid w:val="00325D24"/>
    <w:rsid w:val="00325E5D"/>
    <w:rsid w:val="00325F06"/>
    <w:rsid w:val="003262C8"/>
    <w:rsid w:val="00326396"/>
    <w:rsid w:val="003266B0"/>
    <w:rsid w:val="003267D9"/>
    <w:rsid w:val="003268B3"/>
    <w:rsid w:val="00326B2B"/>
    <w:rsid w:val="00326CB1"/>
    <w:rsid w:val="00326CBA"/>
    <w:rsid w:val="00326E37"/>
    <w:rsid w:val="00326F38"/>
    <w:rsid w:val="003270DB"/>
    <w:rsid w:val="00327351"/>
    <w:rsid w:val="003274BB"/>
    <w:rsid w:val="0032760A"/>
    <w:rsid w:val="003279D0"/>
    <w:rsid w:val="00327A13"/>
    <w:rsid w:val="00327A6A"/>
    <w:rsid w:val="00327E8E"/>
    <w:rsid w:val="00327FE9"/>
    <w:rsid w:val="003302DB"/>
    <w:rsid w:val="0033035E"/>
    <w:rsid w:val="00330405"/>
    <w:rsid w:val="00330580"/>
    <w:rsid w:val="00330814"/>
    <w:rsid w:val="00330A62"/>
    <w:rsid w:val="00330B03"/>
    <w:rsid w:val="00330B72"/>
    <w:rsid w:val="00330B75"/>
    <w:rsid w:val="00330C33"/>
    <w:rsid w:val="00330C88"/>
    <w:rsid w:val="00330D55"/>
    <w:rsid w:val="00331258"/>
    <w:rsid w:val="00331401"/>
    <w:rsid w:val="00331666"/>
    <w:rsid w:val="00331898"/>
    <w:rsid w:val="003319F7"/>
    <w:rsid w:val="00331B8F"/>
    <w:rsid w:val="00331BBA"/>
    <w:rsid w:val="00331D38"/>
    <w:rsid w:val="00331D4F"/>
    <w:rsid w:val="00331DF7"/>
    <w:rsid w:val="00331E6A"/>
    <w:rsid w:val="00331FBD"/>
    <w:rsid w:val="0033209E"/>
    <w:rsid w:val="003321A7"/>
    <w:rsid w:val="00332378"/>
    <w:rsid w:val="0033237C"/>
    <w:rsid w:val="00332532"/>
    <w:rsid w:val="00332619"/>
    <w:rsid w:val="00332A4F"/>
    <w:rsid w:val="00332ACF"/>
    <w:rsid w:val="00332CA9"/>
    <w:rsid w:val="00332D67"/>
    <w:rsid w:val="00332D6F"/>
    <w:rsid w:val="00332E0B"/>
    <w:rsid w:val="00332E55"/>
    <w:rsid w:val="00333357"/>
    <w:rsid w:val="0033336F"/>
    <w:rsid w:val="003333B5"/>
    <w:rsid w:val="003334A6"/>
    <w:rsid w:val="00333555"/>
    <w:rsid w:val="00333557"/>
    <w:rsid w:val="00333ABB"/>
    <w:rsid w:val="00333DCA"/>
    <w:rsid w:val="00334161"/>
    <w:rsid w:val="0033448A"/>
    <w:rsid w:val="00334744"/>
    <w:rsid w:val="003348D7"/>
    <w:rsid w:val="00334DE9"/>
    <w:rsid w:val="00334DED"/>
    <w:rsid w:val="00334E35"/>
    <w:rsid w:val="00335194"/>
    <w:rsid w:val="003352AF"/>
    <w:rsid w:val="00335431"/>
    <w:rsid w:val="003354CE"/>
    <w:rsid w:val="0033575A"/>
    <w:rsid w:val="003358D1"/>
    <w:rsid w:val="00335A4F"/>
    <w:rsid w:val="00335D36"/>
    <w:rsid w:val="00335DE1"/>
    <w:rsid w:val="00335ED6"/>
    <w:rsid w:val="00335F54"/>
    <w:rsid w:val="0033603F"/>
    <w:rsid w:val="00336090"/>
    <w:rsid w:val="00336094"/>
    <w:rsid w:val="00336263"/>
    <w:rsid w:val="00336602"/>
    <w:rsid w:val="003369AC"/>
    <w:rsid w:val="00336A09"/>
    <w:rsid w:val="00336A10"/>
    <w:rsid w:val="00336AA2"/>
    <w:rsid w:val="00336BB7"/>
    <w:rsid w:val="00336CAD"/>
    <w:rsid w:val="00336F57"/>
    <w:rsid w:val="00337178"/>
    <w:rsid w:val="00337287"/>
    <w:rsid w:val="003374FD"/>
    <w:rsid w:val="00337583"/>
    <w:rsid w:val="0033767A"/>
    <w:rsid w:val="003376CE"/>
    <w:rsid w:val="0033778E"/>
    <w:rsid w:val="003377A3"/>
    <w:rsid w:val="003379CD"/>
    <w:rsid w:val="003379D3"/>
    <w:rsid w:val="00337C90"/>
    <w:rsid w:val="00337E9D"/>
    <w:rsid w:val="00337F5B"/>
    <w:rsid w:val="003403CF"/>
    <w:rsid w:val="003405CD"/>
    <w:rsid w:val="00340753"/>
    <w:rsid w:val="003408B6"/>
    <w:rsid w:val="00340C9A"/>
    <w:rsid w:val="00340D9F"/>
    <w:rsid w:val="00340DA8"/>
    <w:rsid w:val="00340E50"/>
    <w:rsid w:val="00340F1E"/>
    <w:rsid w:val="003411C6"/>
    <w:rsid w:val="0034121D"/>
    <w:rsid w:val="003412BE"/>
    <w:rsid w:val="00341350"/>
    <w:rsid w:val="00341511"/>
    <w:rsid w:val="00341535"/>
    <w:rsid w:val="0034161D"/>
    <w:rsid w:val="00341718"/>
    <w:rsid w:val="00341754"/>
    <w:rsid w:val="003419F4"/>
    <w:rsid w:val="00341B86"/>
    <w:rsid w:val="00341C84"/>
    <w:rsid w:val="00341D58"/>
    <w:rsid w:val="00341E02"/>
    <w:rsid w:val="00342185"/>
    <w:rsid w:val="003421A2"/>
    <w:rsid w:val="003421A9"/>
    <w:rsid w:val="00342339"/>
    <w:rsid w:val="0034239A"/>
    <w:rsid w:val="003424F8"/>
    <w:rsid w:val="00342542"/>
    <w:rsid w:val="0034279B"/>
    <w:rsid w:val="00343028"/>
    <w:rsid w:val="00343071"/>
    <w:rsid w:val="00343152"/>
    <w:rsid w:val="003432D9"/>
    <w:rsid w:val="0034338B"/>
    <w:rsid w:val="00343423"/>
    <w:rsid w:val="003436E6"/>
    <w:rsid w:val="00343798"/>
    <w:rsid w:val="003437E1"/>
    <w:rsid w:val="0034391E"/>
    <w:rsid w:val="00343A41"/>
    <w:rsid w:val="00343A68"/>
    <w:rsid w:val="00343BBA"/>
    <w:rsid w:val="00343CDB"/>
    <w:rsid w:val="00343DAB"/>
    <w:rsid w:val="00343E54"/>
    <w:rsid w:val="003442DA"/>
    <w:rsid w:val="00344370"/>
    <w:rsid w:val="00344675"/>
    <w:rsid w:val="003448BD"/>
    <w:rsid w:val="003449EA"/>
    <w:rsid w:val="00344BE5"/>
    <w:rsid w:val="00344C4C"/>
    <w:rsid w:val="00344CC0"/>
    <w:rsid w:val="00344CC4"/>
    <w:rsid w:val="00344D3D"/>
    <w:rsid w:val="00344E3D"/>
    <w:rsid w:val="003451AB"/>
    <w:rsid w:val="003452B4"/>
    <w:rsid w:val="0034542B"/>
    <w:rsid w:val="00345564"/>
    <w:rsid w:val="00345768"/>
    <w:rsid w:val="00345861"/>
    <w:rsid w:val="00345B91"/>
    <w:rsid w:val="00345CB3"/>
    <w:rsid w:val="00346075"/>
    <w:rsid w:val="003462A4"/>
    <w:rsid w:val="003462E3"/>
    <w:rsid w:val="00346439"/>
    <w:rsid w:val="00346743"/>
    <w:rsid w:val="003467A8"/>
    <w:rsid w:val="003469F9"/>
    <w:rsid w:val="00346CD5"/>
    <w:rsid w:val="00346D28"/>
    <w:rsid w:val="00346F95"/>
    <w:rsid w:val="003470CA"/>
    <w:rsid w:val="00347272"/>
    <w:rsid w:val="003474A9"/>
    <w:rsid w:val="00347618"/>
    <w:rsid w:val="00347AF9"/>
    <w:rsid w:val="00347B5A"/>
    <w:rsid w:val="00347E48"/>
    <w:rsid w:val="00350020"/>
    <w:rsid w:val="0035009A"/>
    <w:rsid w:val="0035013D"/>
    <w:rsid w:val="0035022E"/>
    <w:rsid w:val="00350244"/>
    <w:rsid w:val="0035027C"/>
    <w:rsid w:val="00350618"/>
    <w:rsid w:val="0035071F"/>
    <w:rsid w:val="0035073F"/>
    <w:rsid w:val="0035077D"/>
    <w:rsid w:val="003507A7"/>
    <w:rsid w:val="003509B5"/>
    <w:rsid w:val="003509C2"/>
    <w:rsid w:val="00350DF3"/>
    <w:rsid w:val="00351280"/>
    <w:rsid w:val="00351BA7"/>
    <w:rsid w:val="00351BFF"/>
    <w:rsid w:val="00351D8D"/>
    <w:rsid w:val="00351E24"/>
    <w:rsid w:val="00351E59"/>
    <w:rsid w:val="00351FEB"/>
    <w:rsid w:val="003520F4"/>
    <w:rsid w:val="0035216B"/>
    <w:rsid w:val="00352405"/>
    <w:rsid w:val="003526E5"/>
    <w:rsid w:val="0035299B"/>
    <w:rsid w:val="00352B1B"/>
    <w:rsid w:val="00352B42"/>
    <w:rsid w:val="00352B66"/>
    <w:rsid w:val="00352BD7"/>
    <w:rsid w:val="00352F67"/>
    <w:rsid w:val="00353078"/>
    <w:rsid w:val="0035326C"/>
    <w:rsid w:val="00353376"/>
    <w:rsid w:val="00353442"/>
    <w:rsid w:val="00353D76"/>
    <w:rsid w:val="00353F9D"/>
    <w:rsid w:val="0035424D"/>
    <w:rsid w:val="00354376"/>
    <w:rsid w:val="0035467E"/>
    <w:rsid w:val="0035485E"/>
    <w:rsid w:val="00354A86"/>
    <w:rsid w:val="00354CCE"/>
    <w:rsid w:val="00354D9D"/>
    <w:rsid w:val="00354EC2"/>
    <w:rsid w:val="00354FDE"/>
    <w:rsid w:val="0035514C"/>
    <w:rsid w:val="00355A0C"/>
    <w:rsid w:val="00355B25"/>
    <w:rsid w:val="00355B5B"/>
    <w:rsid w:val="00355C15"/>
    <w:rsid w:val="00355C51"/>
    <w:rsid w:val="00355C5A"/>
    <w:rsid w:val="00355C9A"/>
    <w:rsid w:val="00355D36"/>
    <w:rsid w:val="00355D72"/>
    <w:rsid w:val="00355E10"/>
    <w:rsid w:val="00355F47"/>
    <w:rsid w:val="00356015"/>
    <w:rsid w:val="00356167"/>
    <w:rsid w:val="003561BF"/>
    <w:rsid w:val="003563D0"/>
    <w:rsid w:val="003565E2"/>
    <w:rsid w:val="00356905"/>
    <w:rsid w:val="00356A37"/>
    <w:rsid w:val="00356A97"/>
    <w:rsid w:val="00356B41"/>
    <w:rsid w:val="00356BEA"/>
    <w:rsid w:val="00356D7D"/>
    <w:rsid w:val="00356D83"/>
    <w:rsid w:val="00356EFA"/>
    <w:rsid w:val="00356F08"/>
    <w:rsid w:val="00357212"/>
    <w:rsid w:val="0035732C"/>
    <w:rsid w:val="003573F5"/>
    <w:rsid w:val="0035794D"/>
    <w:rsid w:val="00357D01"/>
    <w:rsid w:val="00357E07"/>
    <w:rsid w:val="00357EBE"/>
    <w:rsid w:val="00357F1B"/>
    <w:rsid w:val="00357F38"/>
    <w:rsid w:val="00360151"/>
    <w:rsid w:val="00360674"/>
    <w:rsid w:val="003607D8"/>
    <w:rsid w:val="00360942"/>
    <w:rsid w:val="00360AB4"/>
    <w:rsid w:val="00360BCB"/>
    <w:rsid w:val="00360BFC"/>
    <w:rsid w:val="00360D02"/>
    <w:rsid w:val="00360F83"/>
    <w:rsid w:val="00360FC9"/>
    <w:rsid w:val="0036101D"/>
    <w:rsid w:val="00361162"/>
    <w:rsid w:val="003613FC"/>
    <w:rsid w:val="00361543"/>
    <w:rsid w:val="00361554"/>
    <w:rsid w:val="003618B6"/>
    <w:rsid w:val="00361B0C"/>
    <w:rsid w:val="00361F59"/>
    <w:rsid w:val="0036210D"/>
    <w:rsid w:val="00362131"/>
    <w:rsid w:val="0036215A"/>
    <w:rsid w:val="003621B9"/>
    <w:rsid w:val="003623EC"/>
    <w:rsid w:val="00362519"/>
    <w:rsid w:val="00362A04"/>
    <w:rsid w:val="00362C11"/>
    <w:rsid w:val="00362D1D"/>
    <w:rsid w:val="00362DCB"/>
    <w:rsid w:val="003632E8"/>
    <w:rsid w:val="0036330F"/>
    <w:rsid w:val="00363555"/>
    <w:rsid w:val="00363721"/>
    <w:rsid w:val="00363852"/>
    <w:rsid w:val="00363D33"/>
    <w:rsid w:val="00363DA6"/>
    <w:rsid w:val="00363EBC"/>
    <w:rsid w:val="003640B5"/>
    <w:rsid w:val="0036419C"/>
    <w:rsid w:val="00364254"/>
    <w:rsid w:val="003649D7"/>
    <w:rsid w:val="00364C68"/>
    <w:rsid w:val="00364C8B"/>
    <w:rsid w:val="00364FF6"/>
    <w:rsid w:val="00365352"/>
    <w:rsid w:val="003654F6"/>
    <w:rsid w:val="0036598A"/>
    <w:rsid w:val="00365A54"/>
    <w:rsid w:val="00365CCB"/>
    <w:rsid w:val="00365D30"/>
    <w:rsid w:val="00365D45"/>
    <w:rsid w:val="00365E2E"/>
    <w:rsid w:val="00366172"/>
    <w:rsid w:val="0036622B"/>
    <w:rsid w:val="003662C9"/>
    <w:rsid w:val="003664AD"/>
    <w:rsid w:val="003665CD"/>
    <w:rsid w:val="0036661C"/>
    <w:rsid w:val="003666CB"/>
    <w:rsid w:val="00366935"/>
    <w:rsid w:val="00366B3B"/>
    <w:rsid w:val="00366BC2"/>
    <w:rsid w:val="00366D22"/>
    <w:rsid w:val="00366E00"/>
    <w:rsid w:val="0036718B"/>
    <w:rsid w:val="00367205"/>
    <w:rsid w:val="003672A1"/>
    <w:rsid w:val="0036756E"/>
    <w:rsid w:val="003675C9"/>
    <w:rsid w:val="003677C9"/>
    <w:rsid w:val="00367D92"/>
    <w:rsid w:val="0037011D"/>
    <w:rsid w:val="003702A4"/>
    <w:rsid w:val="00370383"/>
    <w:rsid w:val="00370389"/>
    <w:rsid w:val="00370560"/>
    <w:rsid w:val="0037083B"/>
    <w:rsid w:val="00370892"/>
    <w:rsid w:val="00370941"/>
    <w:rsid w:val="00370965"/>
    <w:rsid w:val="00370D15"/>
    <w:rsid w:val="00370ED0"/>
    <w:rsid w:val="003714CF"/>
    <w:rsid w:val="003716CE"/>
    <w:rsid w:val="003717D0"/>
    <w:rsid w:val="00371B54"/>
    <w:rsid w:val="00371B76"/>
    <w:rsid w:val="00371E9D"/>
    <w:rsid w:val="00371F94"/>
    <w:rsid w:val="00372097"/>
    <w:rsid w:val="003721D1"/>
    <w:rsid w:val="003722F2"/>
    <w:rsid w:val="003725B2"/>
    <w:rsid w:val="00372637"/>
    <w:rsid w:val="00372684"/>
    <w:rsid w:val="00372941"/>
    <w:rsid w:val="00372A3B"/>
    <w:rsid w:val="00372DB6"/>
    <w:rsid w:val="00372DEB"/>
    <w:rsid w:val="003732E4"/>
    <w:rsid w:val="0037334F"/>
    <w:rsid w:val="00373427"/>
    <w:rsid w:val="003735BB"/>
    <w:rsid w:val="0037388C"/>
    <w:rsid w:val="00373B05"/>
    <w:rsid w:val="00373C56"/>
    <w:rsid w:val="00373C6F"/>
    <w:rsid w:val="00373C8B"/>
    <w:rsid w:val="00373D35"/>
    <w:rsid w:val="0037400C"/>
    <w:rsid w:val="00374017"/>
    <w:rsid w:val="003746F7"/>
    <w:rsid w:val="00374713"/>
    <w:rsid w:val="00374C9B"/>
    <w:rsid w:val="00374E09"/>
    <w:rsid w:val="00375208"/>
    <w:rsid w:val="0037530E"/>
    <w:rsid w:val="00375423"/>
    <w:rsid w:val="00375939"/>
    <w:rsid w:val="00375A80"/>
    <w:rsid w:val="00375A91"/>
    <w:rsid w:val="00375B07"/>
    <w:rsid w:val="00375B95"/>
    <w:rsid w:val="00375BEE"/>
    <w:rsid w:val="00375C1C"/>
    <w:rsid w:val="00375D80"/>
    <w:rsid w:val="00376133"/>
    <w:rsid w:val="0037616E"/>
    <w:rsid w:val="003764A0"/>
    <w:rsid w:val="003764CA"/>
    <w:rsid w:val="00376753"/>
    <w:rsid w:val="003767A0"/>
    <w:rsid w:val="003768E3"/>
    <w:rsid w:val="00376977"/>
    <w:rsid w:val="00376A5C"/>
    <w:rsid w:val="00376B7C"/>
    <w:rsid w:val="00376C33"/>
    <w:rsid w:val="00376C49"/>
    <w:rsid w:val="00376C6F"/>
    <w:rsid w:val="00376D84"/>
    <w:rsid w:val="00376EE0"/>
    <w:rsid w:val="0037708D"/>
    <w:rsid w:val="003770C6"/>
    <w:rsid w:val="00377431"/>
    <w:rsid w:val="00377592"/>
    <w:rsid w:val="003777C4"/>
    <w:rsid w:val="00377AE4"/>
    <w:rsid w:val="00377C4A"/>
    <w:rsid w:val="00377CAD"/>
    <w:rsid w:val="00377E08"/>
    <w:rsid w:val="00380176"/>
    <w:rsid w:val="00380187"/>
    <w:rsid w:val="00380254"/>
    <w:rsid w:val="00380437"/>
    <w:rsid w:val="00380582"/>
    <w:rsid w:val="00380923"/>
    <w:rsid w:val="0038095F"/>
    <w:rsid w:val="00380BA5"/>
    <w:rsid w:val="00380C73"/>
    <w:rsid w:val="00380C74"/>
    <w:rsid w:val="00380CC9"/>
    <w:rsid w:val="00380D51"/>
    <w:rsid w:val="00380F14"/>
    <w:rsid w:val="00380F78"/>
    <w:rsid w:val="00380FD9"/>
    <w:rsid w:val="0038100A"/>
    <w:rsid w:val="003810F6"/>
    <w:rsid w:val="00381100"/>
    <w:rsid w:val="003812D8"/>
    <w:rsid w:val="00381594"/>
    <w:rsid w:val="003815CF"/>
    <w:rsid w:val="00381685"/>
    <w:rsid w:val="00381A6B"/>
    <w:rsid w:val="00381AFF"/>
    <w:rsid w:val="00381B09"/>
    <w:rsid w:val="00381BD2"/>
    <w:rsid w:val="00382002"/>
    <w:rsid w:val="003823D4"/>
    <w:rsid w:val="00382490"/>
    <w:rsid w:val="00382649"/>
    <w:rsid w:val="003827E4"/>
    <w:rsid w:val="003829E2"/>
    <w:rsid w:val="00382C56"/>
    <w:rsid w:val="00382CD7"/>
    <w:rsid w:val="00382D54"/>
    <w:rsid w:val="00382DAB"/>
    <w:rsid w:val="00383198"/>
    <w:rsid w:val="003833EA"/>
    <w:rsid w:val="00383525"/>
    <w:rsid w:val="003838AC"/>
    <w:rsid w:val="00383D1E"/>
    <w:rsid w:val="00383D66"/>
    <w:rsid w:val="00383EBF"/>
    <w:rsid w:val="00383F40"/>
    <w:rsid w:val="0038418F"/>
    <w:rsid w:val="00384256"/>
    <w:rsid w:val="00384271"/>
    <w:rsid w:val="003844C4"/>
    <w:rsid w:val="0038453B"/>
    <w:rsid w:val="003845A6"/>
    <w:rsid w:val="00384611"/>
    <w:rsid w:val="003846C4"/>
    <w:rsid w:val="003848A6"/>
    <w:rsid w:val="0038491A"/>
    <w:rsid w:val="0038495F"/>
    <w:rsid w:val="003849A2"/>
    <w:rsid w:val="00384A37"/>
    <w:rsid w:val="00384CDF"/>
    <w:rsid w:val="00384FEA"/>
    <w:rsid w:val="00385077"/>
    <w:rsid w:val="003850DD"/>
    <w:rsid w:val="0038527F"/>
    <w:rsid w:val="00385519"/>
    <w:rsid w:val="00385642"/>
    <w:rsid w:val="003859D6"/>
    <w:rsid w:val="00385C05"/>
    <w:rsid w:val="00385C98"/>
    <w:rsid w:val="00385DFE"/>
    <w:rsid w:val="00386035"/>
    <w:rsid w:val="003860E3"/>
    <w:rsid w:val="00386137"/>
    <w:rsid w:val="00386389"/>
    <w:rsid w:val="003863BF"/>
    <w:rsid w:val="003866CC"/>
    <w:rsid w:val="003868EA"/>
    <w:rsid w:val="00386919"/>
    <w:rsid w:val="003869A1"/>
    <w:rsid w:val="00386C39"/>
    <w:rsid w:val="00386DF9"/>
    <w:rsid w:val="003872B4"/>
    <w:rsid w:val="003875D4"/>
    <w:rsid w:val="00387647"/>
    <w:rsid w:val="0038779E"/>
    <w:rsid w:val="00387A24"/>
    <w:rsid w:val="00387BBC"/>
    <w:rsid w:val="00387C69"/>
    <w:rsid w:val="00387D11"/>
    <w:rsid w:val="00387D9C"/>
    <w:rsid w:val="00387E2D"/>
    <w:rsid w:val="00390097"/>
    <w:rsid w:val="003900EF"/>
    <w:rsid w:val="00390219"/>
    <w:rsid w:val="003902B4"/>
    <w:rsid w:val="00390310"/>
    <w:rsid w:val="003904CC"/>
    <w:rsid w:val="003904F4"/>
    <w:rsid w:val="00390503"/>
    <w:rsid w:val="00390591"/>
    <w:rsid w:val="0039074C"/>
    <w:rsid w:val="00390789"/>
    <w:rsid w:val="003907C2"/>
    <w:rsid w:val="00390881"/>
    <w:rsid w:val="00390A85"/>
    <w:rsid w:val="00390D2D"/>
    <w:rsid w:val="00390D71"/>
    <w:rsid w:val="00390E60"/>
    <w:rsid w:val="003910E0"/>
    <w:rsid w:val="003910E5"/>
    <w:rsid w:val="0039135B"/>
    <w:rsid w:val="00391634"/>
    <w:rsid w:val="00391880"/>
    <w:rsid w:val="00391E57"/>
    <w:rsid w:val="00392054"/>
    <w:rsid w:val="003922C6"/>
    <w:rsid w:val="0039231F"/>
    <w:rsid w:val="00392556"/>
    <w:rsid w:val="00392684"/>
    <w:rsid w:val="00392721"/>
    <w:rsid w:val="0039273B"/>
    <w:rsid w:val="0039279B"/>
    <w:rsid w:val="0039289F"/>
    <w:rsid w:val="003928F2"/>
    <w:rsid w:val="00392EA6"/>
    <w:rsid w:val="00392EBC"/>
    <w:rsid w:val="00393034"/>
    <w:rsid w:val="00393036"/>
    <w:rsid w:val="003930A0"/>
    <w:rsid w:val="003930B5"/>
    <w:rsid w:val="003931BC"/>
    <w:rsid w:val="00393418"/>
    <w:rsid w:val="00393B73"/>
    <w:rsid w:val="00393BB9"/>
    <w:rsid w:val="00393EB5"/>
    <w:rsid w:val="00393F78"/>
    <w:rsid w:val="00394070"/>
    <w:rsid w:val="003941EE"/>
    <w:rsid w:val="003944DB"/>
    <w:rsid w:val="00394756"/>
    <w:rsid w:val="00394858"/>
    <w:rsid w:val="00394C9B"/>
    <w:rsid w:val="00394CD5"/>
    <w:rsid w:val="00394E66"/>
    <w:rsid w:val="00394E77"/>
    <w:rsid w:val="00394FD4"/>
    <w:rsid w:val="003950BF"/>
    <w:rsid w:val="0039515C"/>
    <w:rsid w:val="00395204"/>
    <w:rsid w:val="00395401"/>
    <w:rsid w:val="0039591D"/>
    <w:rsid w:val="00395AC7"/>
    <w:rsid w:val="00395AE4"/>
    <w:rsid w:val="00395C36"/>
    <w:rsid w:val="00395CF0"/>
    <w:rsid w:val="00395EA4"/>
    <w:rsid w:val="00395ED8"/>
    <w:rsid w:val="00396396"/>
    <w:rsid w:val="0039656B"/>
    <w:rsid w:val="003965A4"/>
    <w:rsid w:val="003965FC"/>
    <w:rsid w:val="00396719"/>
    <w:rsid w:val="003968B1"/>
    <w:rsid w:val="00396AC6"/>
    <w:rsid w:val="00396BD0"/>
    <w:rsid w:val="00396C30"/>
    <w:rsid w:val="00396D86"/>
    <w:rsid w:val="0039738F"/>
    <w:rsid w:val="0039746C"/>
    <w:rsid w:val="003974F7"/>
    <w:rsid w:val="003975E0"/>
    <w:rsid w:val="0039770F"/>
    <w:rsid w:val="00397AD3"/>
    <w:rsid w:val="00397BC0"/>
    <w:rsid w:val="00397E70"/>
    <w:rsid w:val="003A0060"/>
    <w:rsid w:val="003A02FD"/>
    <w:rsid w:val="003A054B"/>
    <w:rsid w:val="003A06F3"/>
    <w:rsid w:val="003A081E"/>
    <w:rsid w:val="003A09E6"/>
    <w:rsid w:val="003A0DCC"/>
    <w:rsid w:val="003A12CA"/>
    <w:rsid w:val="003A1320"/>
    <w:rsid w:val="003A1543"/>
    <w:rsid w:val="003A1589"/>
    <w:rsid w:val="003A1806"/>
    <w:rsid w:val="003A18AD"/>
    <w:rsid w:val="003A1CC1"/>
    <w:rsid w:val="003A1EE1"/>
    <w:rsid w:val="003A1F5E"/>
    <w:rsid w:val="003A21B3"/>
    <w:rsid w:val="003A234A"/>
    <w:rsid w:val="003A24C2"/>
    <w:rsid w:val="003A2567"/>
    <w:rsid w:val="003A261B"/>
    <w:rsid w:val="003A2675"/>
    <w:rsid w:val="003A28A6"/>
    <w:rsid w:val="003A2976"/>
    <w:rsid w:val="003A2981"/>
    <w:rsid w:val="003A29CC"/>
    <w:rsid w:val="003A2B02"/>
    <w:rsid w:val="003A2F7E"/>
    <w:rsid w:val="003A2FBA"/>
    <w:rsid w:val="003A300D"/>
    <w:rsid w:val="003A32A9"/>
    <w:rsid w:val="003A32AB"/>
    <w:rsid w:val="003A32F4"/>
    <w:rsid w:val="003A354D"/>
    <w:rsid w:val="003A3584"/>
    <w:rsid w:val="003A36A9"/>
    <w:rsid w:val="003A37B2"/>
    <w:rsid w:val="003A384D"/>
    <w:rsid w:val="003A3C7A"/>
    <w:rsid w:val="003A3F82"/>
    <w:rsid w:val="003A3FC8"/>
    <w:rsid w:val="003A4199"/>
    <w:rsid w:val="003A4220"/>
    <w:rsid w:val="003A43FB"/>
    <w:rsid w:val="003A4511"/>
    <w:rsid w:val="003A4600"/>
    <w:rsid w:val="003A4727"/>
    <w:rsid w:val="003A4732"/>
    <w:rsid w:val="003A4835"/>
    <w:rsid w:val="003A4999"/>
    <w:rsid w:val="003A4AB8"/>
    <w:rsid w:val="003A4EBF"/>
    <w:rsid w:val="003A50A1"/>
    <w:rsid w:val="003A50B1"/>
    <w:rsid w:val="003A5247"/>
    <w:rsid w:val="003A5287"/>
    <w:rsid w:val="003A53EE"/>
    <w:rsid w:val="003A55A5"/>
    <w:rsid w:val="003A5A8B"/>
    <w:rsid w:val="003A5C2A"/>
    <w:rsid w:val="003A5D82"/>
    <w:rsid w:val="003A6093"/>
    <w:rsid w:val="003A6373"/>
    <w:rsid w:val="003A644E"/>
    <w:rsid w:val="003A6535"/>
    <w:rsid w:val="003A66AE"/>
    <w:rsid w:val="003A66E5"/>
    <w:rsid w:val="003A672A"/>
    <w:rsid w:val="003A672C"/>
    <w:rsid w:val="003A6875"/>
    <w:rsid w:val="003A68B9"/>
    <w:rsid w:val="003A6A0C"/>
    <w:rsid w:val="003A6B31"/>
    <w:rsid w:val="003A6D71"/>
    <w:rsid w:val="003A71D3"/>
    <w:rsid w:val="003A7215"/>
    <w:rsid w:val="003A72D5"/>
    <w:rsid w:val="003A749B"/>
    <w:rsid w:val="003A750F"/>
    <w:rsid w:val="003A76C2"/>
    <w:rsid w:val="003A7726"/>
    <w:rsid w:val="003A7C48"/>
    <w:rsid w:val="003B001A"/>
    <w:rsid w:val="003B00CA"/>
    <w:rsid w:val="003B00F1"/>
    <w:rsid w:val="003B01CD"/>
    <w:rsid w:val="003B0599"/>
    <w:rsid w:val="003B06DA"/>
    <w:rsid w:val="003B06E2"/>
    <w:rsid w:val="003B0A59"/>
    <w:rsid w:val="003B0BD9"/>
    <w:rsid w:val="003B0C50"/>
    <w:rsid w:val="003B0CF8"/>
    <w:rsid w:val="003B0D1B"/>
    <w:rsid w:val="003B0E99"/>
    <w:rsid w:val="003B0FF2"/>
    <w:rsid w:val="003B112E"/>
    <w:rsid w:val="003B1181"/>
    <w:rsid w:val="003B11BF"/>
    <w:rsid w:val="003B1407"/>
    <w:rsid w:val="003B1509"/>
    <w:rsid w:val="003B1869"/>
    <w:rsid w:val="003B18D2"/>
    <w:rsid w:val="003B1A54"/>
    <w:rsid w:val="003B1A75"/>
    <w:rsid w:val="003B1B97"/>
    <w:rsid w:val="003B1BED"/>
    <w:rsid w:val="003B1C45"/>
    <w:rsid w:val="003B1DC0"/>
    <w:rsid w:val="003B20F4"/>
    <w:rsid w:val="003B25EA"/>
    <w:rsid w:val="003B2695"/>
    <w:rsid w:val="003B2747"/>
    <w:rsid w:val="003B29C3"/>
    <w:rsid w:val="003B2F70"/>
    <w:rsid w:val="003B3191"/>
    <w:rsid w:val="003B3285"/>
    <w:rsid w:val="003B35F1"/>
    <w:rsid w:val="003B3673"/>
    <w:rsid w:val="003B38FA"/>
    <w:rsid w:val="003B3A21"/>
    <w:rsid w:val="003B3B6C"/>
    <w:rsid w:val="003B3E2E"/>
    <w:rsid w:val="003B3E54"/>
    <w:rsid w:val="003B3EB4"/>
    <w:rsid w:val="003B407E"/>
    <w:rsid w:val="003B4357"/>
    <w:rsid w:val="003B4443"/>
    <w:rsid w:val="003B4458"/>
    <w:rsid w:val="003B4475"/>
    <w:rsid w:val="003B44F5"/>
    <w:rsid w:val="003B4C84"/>
    <w:rsid w:val="003B5084"/>
    <w:rsid w:val="003B5141"/>
    <w:rsid w:val="003B532E"/>
    <w:rsid w:val="003B55B6"/>
    <w:rsid w:val="003B5611"/>
    <w:rsid w:val="003B5C0E"/>
    <w:rsid w:val="003B5C98"/>
    <w:rsid w:val="003B5F3A"/>
    <w:rsid w:val="003B60A9"/>
    <w:rsid w:val="003B64DD"/>
    <w:rsid w:val="003B6718"/>
    <w:rsid w:val="003B68CF"/>
    <w:rsid w:val="003B6933"/>
    <w:rsid w:val="003B6F75"/>
    <w:rsid w:val="003B6FB5"/>
    <w:rsid w:val="003B7038"/>
    <w:rsid w:val="003B7224"/>
    <w:rsid w:val="003B7520"/>
    <w:rsid w:val="003B7795"/>
    <w:rsid w:val="003B790A"/>
    <w:rsid w:val="003B7D4D"/>
    <w:rsid w:val="003B7D58"/>
    <w:rsid w:val="003B7E6F"/>
    <w:rsid w:val="003B7FDC"/>
    <w:rsid w:val="003C00CE"/>
    <w:rsid w:val="003C0200"/>
    <w:rsid w:val="003C02DB"/>
    <w:rsid w:val="003C0365"/>
    <w:rsid w:val="003C03D2"/>
    <w:rsid w:val="003C0490"/>
    <w:rsid w:val="003C04A4"/>
    <w:rsid w:val="003C0655"/>
    <w:rsid w:val="003C0DFA"/>
    <w:rsid w:val="003C11AF"/>
    <w:rsid w:val="003C12FE"/>
    <w:rsid w:val="003C1655"/>
    <w:rsid w:val="003C16C0"/>
    <w:rsid w:val="003C1797"/>
    <w:rsid w:val="003C1832"/>
    <w:rsid w:val="003C1A4C"/>
    <w:rsid w:val="003C1A7F"/>
    <w:rsid w:val="003C1AC2"/>
    <w:rsid w:val="003C1AC3"/>
    <w:rsid w:val="003C1B19"/>
    <w:rsid w:val="003C1CE7"/>
    <w:rsid w:val="003C1D3E"/>
    <w:rsid w:val="003C1DAD"/>
    <w:rsid w:val="003C1E8C"/>
    <w:rsid w:val="003C1FA3"/>
    <w:rsid w:val="003C27F6"/>
    <w:rsid w:val="003C2C61"/>
    <w:rsid w:val="003C2DD2"/>
    <w:rsid w:val="003C2F0F"/>
    <w:rsid w:val="003C31B3"/>
    <w:rsid w:val="003C339F"/>
    <w:rsid w:val="003C3626"/>
    <w:rsid w:val="003C38BC"/>
    <w:rsid w:val="003C39A7"/>
    <w:rsid w:val="003C3E00"/>
    <w:rsid w:val="003C3ED1"/>
    <w:rsid w:val="003C3F76"/>
    <w:rsid w:val="003C41D4"/>
    <w:rsid w:val="003C438C"/>
    <w:rsid w:val="003C47D7"/>
    <w:rsid w:val="003C4809"/>
    <w:rsid w:val="003C481E"/>
    <w:rsid w:val="003C4A4B"/>
    <w:rsid w:val="003C4DA8"/>
    <w:rsid w:val="003C4EA4"/>
    <w:rsid w:val="003C4F50"/>
    <w:rsid w:val="003C5018"/>
    <w:rsid w:val="003C521C"/>
    <w:rsid w:val="003C5370"/>
    <w:rsid w:val="003C53FB"/>
    <w:rsid w:val="003C5474"/>
    <w:rsid w:val="003C5657"/>
    <w:rsid w:val="003C5675"/>
    <w:rsid w:val="003C5919"/>
    <w:rsid w:val="003C59D0"/>
    <w:rsid w:val="003C5A07"/>
    <w:rsid w:val="003C5B9A"/>
    <w:rsid w:val="003C5C9B"/>
    <w:rsid w:val="003C5F3B"/>
    <w:rsid w:val="003C6493"/>
    <w:rsid w:val="003C68ED"/>
    <w:rsid w:val="003C6CB3"/>
    <w:rsid w:val="003C6CC5"/>
    <w:rsid w:val="003C6D2B"/>
    <w:rsid w:val="003C6E46"/>
    <w:rsid w:val="003C6F47"/>
    <w:rsid w:val="003C70CA"/>
    <w:rsid w:val="003C71C2"/>
    <w:rsid w:val="003C7268"/>
    <w:rsid w:val="003C7876"/>
    <w:rsid w:val="003C787A"/>
    <w:rsid w:val="003C7927"/>
    <w:rsid w:val="003C7980"/>
    <w:rsid w:val="003C7ABF"/>
    <w:rsid w:val="003C7D88"/>
    <w:rsid w:val="003C7FED"/>
    <w:rsid w:val="003D0142"/>
    <w:rsid w:val="003D034C"/>
    <w:rsid w:val="003D0449"/>
    <w:rsid w:val="003D044E"/>
    <w:rsid w:val="003D0622"/>
    <w:rsid w:val="003D09E8"/>
    <w:rsid w:val="003D0B58"/>
    <w:rsid w:val="003D0D6E"/>
    <w:rsid w:val="003D1132"/>
    <w:rsid w:val="003D1366"/>
    <w:rsid w:val="003D1AF6"/>
    <w:rsid w:val="003D1B65"/>
    <w:rsid w:val="003D1B82"/>
    <w:rsid w:val="003D1BBD"/>
    <w:rsid w:val="003D1D7E"/>
    <w:rsid w:val="003D2031"/>
    <w:rsid w:val="003D21C8"/>
    <w:rsid w:val="003D2259"/>
    <w:rsid w:val="003D227C"/>
    <w:rsid w:val="003D27F6"/>
    <w:rsid w:val="003D29CB"/>
    <w:rsid w:val="003D306A"/>
    <w:rsid w:val="003D322A"/>
    <w:rsid w:val="003D32C3"/>
    <w:rsid w:val="003D33CB"/>
    <w:rsid w:val="003D399C"/>
    <w:rsid w:val="003D3B82"/>
    <w:rsid w:val="003D3BBF"/>
    <w:rsid w:val="003D3FAE"/>
    <w:rsid w:val="003D4485"/>
    <w:rsid w:val="003D44D3"/>
    <w:rsid w:val="003D4505"/>
    <w:rsid w:val="003D451F"/>
    <w:rsid w:val="003D4AD1"/>
    <w:rsid w:val="003D4B2D"/>
    <w:rsid w:val="003D4BDB"/>
    <w:rsid w:val="003D4CB0"/>
    <w:rsid w:val="003D4CEB"/>
    <w:rsid w:val="003D4F93"/>
    <w:rsid w:val="003D511D"/>
    <w:rsid w:val="003D5342"/>
    <w:rsid w:val="003D5403"/>
    <w:rsid w:val="003D5680"/>
    <w:rsid w:val="003D578C"/>
    <w:rsid w:val="003D57D3"/>
    <w:rsid w:val="003D5A55"/>
    <w:rsid w:val="003D5BE8"/>
    <w:rsid w:val="003D5F6B"/>
    <w:rsid w:val="003D5F96"/>
    <w:rsid w:val="003D5FA4"/>
    <w:rsid w:val="003D6014"/>
    <w:rsid w:val="003D617A"/>
    <w:rsid w:val="003D61AC"/>
    <w:rsid w:val="003D62A3"/>
    <w:rsid w:val="003D6334"/>
    <w:rsid w:val="003D65A2"/>
    <w:rsid w:val="003D65A8"/>
    <w:rsid w:val="003D66C6"/>
    <w:rsid w:val="003D68A5"/>
    <w:rsid w:val="003D69DA"/>
    <w:rsid w:val="003D6B00"/>
    <w:rsid w:val="003D6B61"/>
    <w:rsid w:val="003D6C5E"/>
    <w:rsid w:val="003D6E92"/>
    <w:rsid w:val="003D6EF9"/>
    <w:rsid w:val="003D6F7C"/>
    <w:rsid w:val="003D71CE"/>
    <w:rsid w:val="003D72C2"/>
    <w:rsid w:val="003D7647"/>
    <w:rsid w:val="003D77F2"/>
    <w:rsid w:val="003D78C6"/>
    <w:rsid w:val="003D792B"/>
    <w:rsid w:val="003D7C5B"/>
    <w:rsid w:val="003D7F68"/>
    <w:rsid w:val="003D7F6F"/>
    <w:rsid w:val="003E0046"/>
    <w:rsid w:val="003E0144"/>
    <w:rsid w:val="003E0201"/>
    <w:rsid w:val="003E0258"/>
    <w:rsid w:val="003E04EC"/>
    <w:rsid w:val="003E0525"/>
    <w:rsid w:val="003E0538"/>
    <w:rsid w:val="003E088B"/>
    <w:rsid w:val="003E0F8C"/>
    <w:rsid w:val="003E0FAC"/>
    <w:rsid w:val="003E10DB"/>
    <w:rsid w:val="003E17D9"/>
    <w:rsid w:val="003E1807"/>
    <w:rsid w:val="003E18C8"/>
    <w:rsid w:val="003E194A"/>
    <w:rsid w:val="003E1D09"/>
    <w:rsid w:val="003E1D7B"/>
    <w:rsid w:val="003E1F9B"/>
    <w:rsid w:val="003E1FBF"/>
    <w:rsid w:val="003E2081"/>
    <w:rsid w:val="003E215B"/>
    <w:rsid w:val="003E2732"/>
    <w:rsid w:val="003E2B7E"/>
    <w:rsid w:val="003E2BDA"/>
    <w:rsid w:val="003E2DB5"/>
    <w:rsid w:val="003E3249"/>
    <w:rsid w:val="003E377A"/>
    <w:rsid w:val="003E38B5"/>
    <w:rsid w:val="003E3A47"/>
    <w:rsid w:val="003E3AC9"/>
    <w:rsid w:val="003E405B"/>
    <w:rsid w:val="003E4132"/>
    <w:rsid w:val="003E4574"/>
    <w:rsid w:val="003E46C4"/>
    <w:rsid w:val="003E47A9"/>
    <w:rsid w:val="003E4850"/>
    <w:rsid w:val="003E4952"/>
    <w:rsid w:val="003E4D44"/>
    <w:rsid w:val="003E4E3C"/>
    <w:rsid w:val="003E51F7"/>
    <w:rsid w:val="003E51F9"/>
    <w:rsid w:val="003E5330"/>
    <w:rsid w:val="003E5368"/>
    <w:rsid w:val="003E5375"/>
    <w:rsid w:val="003E5664"/>
    <w:rsid w:val="003E5CB6"/>
    <w:rsid w:val="003E6036"/>
    <w:rsid w:val="003E60DF"/>
    <w:rsid w:val="003E622B"/>
    <w:rsid w:val="003E63C2"/>
    <w:rsid w:val="003E63DF"/>
    <w:rsid w:val="003E6642"/>
    <w:rsid w:val="003E66ED"/>
    <w:rsid w:val="003E6EB1"/>
    <w:rsid w:val="003E6EFF"/>
    <w:rsid w:val="003E70CA"/>
    <w:rsid w:val="003E712C"/>
    <w:rsid w:val="003E71AA"/>
    <w:rsid w:val="003E76F0"/>
    <w:rsid w:val="003E7924"/>
    <w:rsid w:val="003E79B9"/>
    <w:rsid w:val="003E7B0D"/>
    <w:rsid w:val="003E7D47"/>
    <w:rsid w:val="003F0031"/>
    <w:rsid w:val="003F044B"/>
    <w:rsid w:val="003F0485"/>
    <w:rsid w:val="003F0751"/>
    <w:rsid w:val="003F0813"/>
    <w:rsid w:val="003F0A85"/>
    <w:rsid w:val="003F0CE4"/>
    <w:rsid w:val="003F0E35"/>
    <w:rsid w:val="003F1423"/>
    <w:rsid w:val="003F14D9"/>
    <w:rsid w:val="003F151C"/>
    <w:rsid w:val="003F16F5"/>
    <w:rsid w:val="003F172E"/>
    <w:rsid w:val="003F174C"/>
    <w:rsid w:val="003F1E4D"/>
    <w:rsid w:val="003F1EB9"/>
    <w:rsid w:val="003F1FAC"/>
    <w:rsid w:val="003F21A0"/>
    <w:rsid w:val="003F243F"/>
    <w:rsid w:val="003F27B0"/>
    <w:rsid w:val="003F2C5D"/>
    <w:rsid w:val="003F2C98"/>
    <w:rsid w:val="003F3009"/>
    <w:rsid w:val="003F3071"/>
    <w:rsid w:val="003F3311"/>
    <w:rsid w:val="003F339E"/>
    <w:rsid w:val="003F3536"/>
    <w:rsid w:val="003F36AD"/>
    <w:rsid w:val="003F3888"/>
    <w:rsid w:val="003F3A1A"/>
    <w:rsid w:val="003F3C42"/>
    <w:rsid w:val="003F3C8D"/>
    <w:rsid w:val="003F3D3E"/>
    <w:rsid w:val="003F3E20"/>
    <w:rsid w:val="003F43CF"/>
    <w:rsid w:val="003F485E"/>
    <w:rsid w:val="003F4889"/>
    <w:rsid w:val="003F4A0F"/>
    <w:rsid w:val="003F4F9C"/>
    <w:rsid w:val="003F5098"/>
    <w:rsid w:val="003F537B"/>
    <w:rsid w:val="003F576D"/>
    <w:rsid w:val="003F58A4"/>
    <w:rsid w:val="003F5A1F"/>
    <w:rsid w:val="003F5A6D"/>
    <w:rsid w:val="003F5BFA"/>
    <w:rsid w:val="003F5C8E"/>
    <w:rsid w:val="003F5E90"/>
    <w:rsid w:val="003F5EC1"/>
    <w:rsid w:val="003F5F53"/>
    <w:rsid w:val="003F5FBA"/>
    <w:rsid w:val="003F60D7"/>
    <w:rsid w:val="003F613B"/>
    <w:rsid w:val="003F6233"/>
    <w:rsid w:val="003F62FF"/>
    <w:rsid w:val="003F639F"/>
    <w:rsid w:val="003F64CB"/>
    <w:rsid w:val="003F675E"/>
    <w:rsid w:val="003F692B"/>
    <w:rsid w:val="003F6AB0"/>
    <w:rsid w:val="003F6BF3"/>
    <w:rsid w:val="003F6C2E"/>
    <w:rsid w:val="003F6E26"/>
    <w:rsid w:val="003F710A"/>
    <w:rsid w:val="003F71CC"/>
    <w:rsid w:val="003F7386"/>
    <w:rsid w:val="003F7755"/>
    <w:rsid w:val="003F787A"/>
    <w:rsid w:val="003F7BDE"/>
    <w:rsid w:val="003F7C6E"/>
    <w:rsid w:val="003F7E25"/>
    <w:rsid w:val="004002BE"/>
    <w:rsid w:val="004004A4"/>
    <w:rsid w:val="00400531"/>
    <w:rsid w:val="00400879"/>
    <w:rsid w:val="004008E5"/>
    <w:rsid w:val="004009A1"/>
    <w:rsid w:val="00400A51"/>
    <w:rsid w:val="00400B5E"/>
    <w:rsid w:val="00400E32"/>
    <w:rsid w:val="00400E6B"/>
    <w:rsid w:val="00400FD3"/>
    <w:rsid w:val="004010B7"/>
    <w:rsid w:val="00401130"/>
    <w:rsid w:val="0040143B"/>
    <w:rsid w:val="0040147B"/>
    <w:rsid w:val="00401725"/>
    <w:rsid w:val="004017CA"/>
    <w:rsid w:val="00401840"/>
    <w:rsid w:val="00401901"/>
    <w:rsid w:val="00401AAB"/>
    <w:rsid w:val="00401CA8"/>
    <w:rsid w:val="00401FA3"/>
    <w:rsid w:val="00401FD7"/>
    <w:rsid w:val="0040212B"/>
    <w:rsid w:val="0040217F"/>
    <w:rsid w:val="00402347"/>
    <w:rsid w:val="0040243D"/>
    <w:rsid w:val="004026A2"/>
    <w:rsid w:val="004028A3"/>
    <w:rsid w:val="00402BD5"/>
    <w:rsid w:val="00402EC4"/>
    <w:rsid w:val="00402F5A"/>
    <w:rsid w:val="00402F9A"/>
    <w:rsid w:val="004030B6"/>
    <w:rsid w:val="00403518"/>
    <w:rsid w:val="0040357C"/>
    <w:rsid w:val="00403650"/>
    <w:rsid w:val="00403A89"/>
    <w:rsid w:val="00403B02"/>
    <w:rsid w:val="00403B13"/>
    <w:rsid w:val="00403BD8"/>
    <w:rsid w:val="00403E23"/>
    <w:rsid w:val="00403EAA"/>
    <w:rsid w:val="00403EE1"/>
    <w:rsid w:val="004042DB"/>
    <w:rsid w:val="00404630"/>
    <w:rsid w:val="0040493E"/>
    <w:rsid w:val="00404DCB"/>
    <w:rsid w:val="00404FF0"/>
    <w:rsid w:val="0040517D"/>
    <w:rsid w:val="0040538A"/>
    <w:rsid w:val="00405ABF"/>
    <w:rsid w:val="00405B50"/>
    <w:rsid w:val="00405EF2"/>
    <w:rsid w:val="0040609E"/>
    <w:rsid w:val="004064C3"/>
    <w:rsid w:val="004066A2"/>
    <w:rsid w:val="00406701"/>
    <w:rsid w:val="004068D2"/>
    <w:rsid w:val="00406D3C"/>
    <w:rsid w:val="00406ED4"/>
    <w:rsid w:val="00406EE1"/>
    <w:rsid w:val="00406F66"/>
    <w:rsid w:val="0040707A"/>
    <w:rsid w:val="004070F2"/>
    <w:rsid w:val="00407380"/>
    <w:rsid w:val="00407490"/>
    <w:rsid w:val="0040749E"/>
    <w:rsid w:val="00407512"/>
    <w:rsid w:val="004075FC"/>
    <w:rsid w:val="004077C4"/>
    <w:rsid w:val="00407807"/>
    <w:rsid w:val="0040782C"/>
    <w:rsid w:val="004078C1"/>
    <w:rsid w:val="004078EE"/>
    <w:rsid w:val="00407AB3"/>
    <w:rsid w:val="00407B11"/>
    <w:rsid w:val="00407EC9"/>
    <w:rsid w:val="00407F08"/>
    <w:rsid w:val="004102C5"/>
    <w:rsid w:val="00410487"/>
    <w:rsid w:val="0041054F"/>
    <w:rsid w:val="00410731"/>
    <w:rsid w:val="0041075C"/>
    <w:rsid w:val="00410B91"/>
    <w:rsid w:val="00410C14"/>
    <w:rsid w:val="00411078"/>
    <w:rsid w:val="00411083"/>
    <w:rsid w:val="00411182"/>
    <w:rsid w:val="004111D1"/>
    <w:rsid w:val="0041120A"/>
    <w:rsid w:val="00411814"/>
    <w:rsid w:val="004118EF"/>
    <w:rsid w:val="00411A41"/>
    <w:rsid w:val="00411A7B"/>
    <w:rsid w:val="00411B22"/>
    <w:rsid w:val="00411CFF"/>
    <w:rsid w:val="00411DA7"/>
    <w:rsid w:val="00411DEB"/>
    <w:rsid w:val="00411ED6"/>
    <w:rsid w:val="00411F13"/>
    <w:rsid w:val="0041229D"/>
    <w:rsid w:val="004122DA"/>
    <w:rsid w:val="00412389"/>
    <w:rsid w:val="00412470"/>
    <w:rsid w:val="00412493"/>
    <w:rsid w:val="004124A9"/>
    <w:rsid w:val="0041262E"/>
    <w:rsid w:val="0041266D"/>
    <w:rsid w:val="00412685"/>
    <w:rsid w:val="0041281F"/>
    <w:rsid w:val="00412AD9"/>
    <w:rsid w:val="00412C6F"/>
    <w:rsid w:val="00412E27"/>
    <w:rsid w:val="00413081"/>
    <w:rsid w:val="00413383"/>
    <w:rsid w:val="004133F1"/>
    <w:rsid w:val="00413508"/>
    <w:rsid w:val="0041351B"/>
    <w:rsid w:val="00413735"/>
    <w:rsid w:val="00413B67"/>
    <w:rsid w:val="00413D9C"/>
    <w:rsid w:val="00413E61"/>
    <w:rsid w:val="00413E78"/>
    <w:rsid w:val="004141BB"/>
    <w:rsid w:val="00414201"/>
    <w:rsid w:val="004144A2"/>
    <w:rsid w:val="0041462A"/>
    <w:rsid w:val="004147C6"/>
    <w:rsid w:val="00414967"/>
    <w:rsid w:val="00414BDD"/>
    <w:rsid w:val="00414F46"/>
    <w:rsid w:val="00414FCE"/>
    <w:rsid w:val="00415151"/>
    <w:rsid w:val="0041525E"/>
    <w:rsid w:val="00415280"/>
    <w:rsid w:val="00415AE4"/>
    <w:rsid w:val="00415B15"/>
    <w:rsid w:val="00415DAE"/>
    <w:rsid w:val="00416304"/>
    <w:rsid w:val="004165A3"/>
    <w:rsid w:val="00416705"/>
    <w:rsid w:val="00416754"/>
    <w:rsid w:val="00416792"/>
    <w:rsid w:val="00416799"/>
    <w:rsid w:val="0041680E"/>
    <w:rsid w:val="0041690F"/>
    <w:rsid w:val="00416956"/>
    <w:rsid w:val="00416B25"/>
    <w:rsid w:val="00416BAB"/>
    <w:rsid w:val="00416C92"/>
    <w:rsid w:val="00416F0E"/>
    <w:rsid w:val="00417003"/>
    <w:rsid w:val="00417474"/>
    <w:rsid w:val="004176CC"/>
    <w:rsid w:val="004178A6"/>
    <w:rsid w:val="004179FE"/>
    <w:rsid w:val="00417A56"/>
    <w:rsid w:val="00417AE5"/>
    <w:rsid w:val="00417AF6"/>
    <w:rsid w:val="00417BC9"/>
    <w:rsid w:val="00417D7F"/>
    <w:rsid w:val="00417F96"/>
    <w:rsid w:val="00417FDB"/>
    <w:rsid w:val="00420105"/>
    <w:rsid w:val="00420ADB"/>
    <w:rsid w:val="00420B0C"/>
    <w:rsid w:val="00420B37"/>
    <w:rsid w:val="00420C73"/>
    <w:rsid w:val="00420D7F"/>
    <w:rsid w:val="00420EE7"/>
    <w:rsid w:val="00420FA7"/>
    <w:rsid w:val="00421005"/>
    <w:rsid w:val="0042102C"/>
    <w:rsid w:val="00421181"/>
    <w:rsid w:val="0042119D"/>
    <w:rsid w:val="0042130C"/>
    <w:rsid w:val="004213E9"/>
    <w:rsid w:val="0042154B"/>
    <w:rsid w:val="0042179F"/>
    <w:rsid w:val="004218CC"/>
    <w:rsid w:val="00421B04"/>
    <w:rsid w:val="00421D72"/>
    <w:rsid w:val="00421EB7"/>
    <w:rsid w:val="00421F80"/>
    <w:rsid w:val="004220EF"/>
    <w:rsid w:val="00422117"/>
    <w:rsid w:val="004225B2"/>
    <w:rsid w:val="004226EA"/>
    <w:rsid w:val="00422A1D"/>
    <w:rsid w:val="00422C61"/>
    <w:rsid w:val="00422E17"/>
    <w:rsid w:val="00422F0A"/>
    <w:rsid w:val="0042307A"/>
    <w:rsid w:val="004232FE"/>
    <w:rsid w:val="00423454"/>
    <w:rsid w:val="00423883"/>
    <w:rsid w:val="004239A6"/>
    <w:rsid w:val="00423F94"/>
    <w:rsid w:val="004241DA"/>
    <w:rsid w:val="00424270"/>
    <w:rsid w:val="00424430"/>
    <w:rsid w:val="0042484E"/>
    <w:rsid w:val="00424865"/>
    <w:rsid w:val="00424B6A"/>
    <w:rsid w:val="00424BF0"/>
    <w:rsid w:val="00424E87"/>
    <w:rsid w:val="00424F20"/>
    <w:rsid w:val="00424FD6"/>
    <w:rsid w:val="004251A0"/>
    <w:rsid w:val="0042529E"/>
    <w:rsid w:val="004254E9"/>
    <w:rsid w:val="00425610"/>
    <w:rsid w:val="004256B6"/>
    <w:rsid w:val="004257A5"/>
    <w:rsid w:val="00425A4D"/>
    <w:rsid w:val="00425BE2"/>
    <w:rsid w:val="00425C4D"/>
    <w:rsid w:val="0042609E"/>
    <w:rsid w:val="00426382"/>
    <w:rsid w:val="00426583"/>
    <w:rsid w:val="00426859"/>
    <w:rsid w:val="004269D6"/>
    <w:rsid w:val="004269F7"/>
    <w:rsid w:val="00426C55"/>
    <w:rsid w:val="00426DDA"/>
    <w:rsid w:val="0042702E"/>
    <w:rsid w:val="00427088"/>
    <w:rsid w:val="004271E3"/>
    <w:rsid w:val="004272DA"/>
    <w:rsid w:val="00427555"/>
    <w:rsid w:val="0042771B"/>
    <w:rsid w:val="0042798D"/>
    <w:rsid w:val="00427B1D"/>
    <w:rsid w:val="00427CED"/>
    <w:rsid w:val="00427D60"/>
    <w:rsid w:val="00427DEF"/>
    <w:rsid w:val="00427EAD"/>
    <w:rsid w:val="00427F40"/>
    <w:rsid w:val="00430110"/>
    <w:rsid w:val="0043013C"/>
    <w:rsid w:val="00430498"/>
    <w:rsid w:val="0043066A"/>
    <w:rsid w:val="00430CC4"/>
    <w:rsid w:val="00430D43"/>
    <w:rsid w:val="00430D9D"/>
    <w:rsid w:val="00430EF0"/>
    <w:rsid w:val="00431066"/>
    <w:rsid w:val="004310F3"/>
    <w:rsid w:val="004311C3"/>
    <w:rsid w:val="004311CB"/>
    <w:rsid w:val="00431218"/>
    <w:rsid w:val="004312C8"/>
    <w:rsid w:val="004317FA"/>
    <w:rsid w:val="00431873"/>
    <w:rsid w:val="0043199E"/>
    <w:rsid w:val="004319BD"/>
    <w:rsid w:val="00431BED"/>
    <w:rsid w:val="00431D63"/>
    <w:rsid w:val="00432194"/>
    <w:rsid w:val="00432263"/>
    <w:rsid w:val="004322C8"/>
    <w:rsid w:val="00432511"/>
    <w:rsid w:val="00432724"/>
    <w:rsid w:val="00432790"/>
    <w:rsid w:val="00432999"/>
    <w:rsid w:val="004329D7"/>
    <w:rsid w:val="00432C6A"/>
    <w:rsid w:val="00432EBC"/>
    <w:rsid w:val="00432F69"/>
    <w:rsid w:val="00432FD2"/>
    <w:rsid w:val="0043304C"/>
    <w:rsid w:val="004332A7"/>
    <w:rsid w:val="00433434"/>
    <w:rsid w:val="00433457"/>
    <w:rsid w:val="00433678"/>
    <w:rsid w:val="0043385B"/>
    <w:rsid w:val="004338DE"/>
    <w:rsid w:val="0043396D"/>
    <w:rsid w:val="004339C4"/>
    <w:rsid w:val="00433B44"/>
    <w:rsid w:val="00433C57"/>
    <w:rsid w:val="00433CB7"/>
    <w:rsid w:val="00433D2E"/>
    <w:rsid w:val="00433DEB"/>
    <w:rsid w:val="00433FA4"/>
    <w:rsid w:val="00434102"/>
    <w:rsid w:val="0043416D"/>
    <w:rsid w:val="00434222"/>
    <w:rsid w:val="00434341"/>
    <w:rsid w:val="0043450A"/>
    <w:rsid w:val="0043488C"/>
    <w:rsid w:val="00434910"/>
    <w:rsid w:val="004349ED"/>
    <w:rsid w:val="00434AFA"/>
    <w:rsid w:val="00434DC5"/>
    <w:rsid w:val="00434EFB"/>
    <w:rsid w:val="00434F98"/>
    <w:rsid w:val="00434FBE"/>
    <w:rsid w:val="0043501A"/>
    <w:rsid w:val="004351FB"/>
    <w:rsid w:val="0043533A"/>
    <w:rsid w:val="0043534E"/>
    <w:rsid w:val="004353A1"/>
    <w:rsid w:val="00435554"/>
    <w:rsid w:val="00435628"/>
    <w:rsid w:val="0043576D"/>
    <w:rsid w:val="004357F7"/>
    <w:rsid w:val="0043580B"/>
    <w:rsid w:val="00435860"/>
    <w:rsid w:val="00435A99"/>
    <w:rsid w:val="00435BF9"/>
    <w:rsid w:val="00435EDB"/>
    <w:rsid w:val="00435F63"/>
    <w:rsid w:val="0043658C"/>
    <w:rsid w:val="00436739"/>
    <w:rsid w:val="00436748"/>
    <w:rsid w:val="00436A03"/>
    <w:rsid w:val="00436A6D"/>
    <w:rsid w:val="00436B78"/>
    <w:rsid w:val="00436B80"/>
    <w:rsid w:val="00436BFE"/>
    <w:rsid w:val="00436F7E"/>
    <w:rsid w:val="00437053"/>
    <w:rsid w:val="004370C9"/>
    <w:rsid w:val="0043776C"/>
    <w:rsid w:val="0043795E"/>
    <w:rsid w:val="00437AEA"/>
    <w:rsid w:val="00437DE8"/>
    <w:rsid w:val="0044017C"/>
    <w:rsid w:val="00440272"/>
    <w:rsid w:val="004406DB"/>
    <w:rsid w:val="004406EE"/>
    <w:rsid w:val="00440955"/>
    <w:rsid w:val="00440C6C"/>
    <w:rsid w:val="00440CBB"/>
    <w:rsid w:val="0044100E"/>
    <w:rsid w:val="00441032"/>
    <w:rsid w:val="0044167D"/>
    <w:rsid w:val="00441DB4"/>
    <w:rsid w:val="00441DE7"/>
    <w:rsid w:val="00441E05"/>
    <w:rsid w:val="004422F3"/>
    <w:rsid w:val="00442403"/>
    <w:rsid w:val="00442441"/>
    <w:rsid w:val="00442614"/>
    <w:rsid w:val="004428CD"/>
    <w:rsid w:val="00442904"/>
    <w:rsid w:val="00442BE7"/>
    <w:rsid w:val="00442C19"/>
    <w:rsid w:val="00442C96"/>
    <w:rsid w:val="00442CC9"/>
    <w:rsid w:val="00442E44"/>
    <w:rsid w:val="00442E68"/>
    <w:rsid w:val="004433C5"/>
    <w:rsid w:val="0044346D"/>
    <w:rsid w:val="0044348E"/>
    <w:rsid w:val="00443514"/>
    <w:rsid w:val="0044363B"/>
    <w:rsid w:val="004436B0"/>
    <w:rsid w:val="004436FB"/>
    <w:rsid w:val="0044374B"/>
    <w:rsid w:val="0044388D"/>
    <w:rsid w:val="00443993"/>
    <w:rsid w:val="00443B02"/>
    <w:rsid w:val="00443C14"/>
    <w:rsid w:val="00443EB8"/>
    <w:rsid w:val="00443EBE"/>
    <w:rsid w:val="00444041"/>
    <w:rsid w:val="004441C3"/>
    <w:rsid w:val="0044492A"/>
    <w:rsid w:val="00444ADD"/>
    <w:rsid w:val="00444B0B"/>
    <w:rsid w:val="0044532F"/>
    <w:rsid w:val="004453A7"/>
    <w:rsid w:val="00445742"/>
    <w:rsid w:val="004457E5"/>
    <w:rsid w:val="00445907"/>
    <w:rsid w:val="0044590C"/>
    <w:rsid w:val="0044592A"/>
    <w:rsid w:val="004459D4"/>
    <w:rsid w:val="00445A11"/>
    <w:rsid w:val="00445A15"/>
    <w:rsid w:val="00445A23"/>
    <w:rsid w:val="00445B51"/>
    <w:rsid w:val="00445B94"/>
    <w:rsid w:val="00445BC2"/>
    <w:rsid w:val="00445E47"/>
    <w:rsid w:val="00445F9B"/>
    <w:rsid w:val="00446056"/>
    <w:rsid w:val="0044607F"/>
    <w:rsid w:val="004460FB"/>
    <w:rsid w:val="0044610C"/>
    <w:rsid w:val="004461AB"/>
    <w:rsid w:val="004464A4"/>
    <w:rsid w:val="0044657E"/>
    <w:rsid w:val="00446726"/>
    <w:rsid w:val="00446BC2"/>
    <w:rsid w:val="00446BDA"/>
    <w:rsid w:val="00446C4F"/>
    <w:rsid w:val="00446C66"/>
    <w:rsid w:val="00446FA8"/>
    <w:rsid w:val="0044716B"/>
    <w:rsid w:val="00447221"/>
    <w:rsid w:val="004474E6"/>
    <w:rsid w:val="004474FA"/>
    <w:rsid w:val="0044750A"/>
    <w:rsid w:val="004475AE"/>
    <w:rsid w:val="0044768A"/>
    <w:rsid w:val="004477AA"/>
    <w:rsid w:val="00447843"/>
    <w:rsid w:val="00447A57"/>
    <w:rsid w:val="00447AE3"/>
    <w:rsid w:val="00447BA4"/>
    <w:rsid w:val="00447BCD"/>
    <w:rsid w:val="00447FDC"/>
    <w:rsid w:val="00450174"/>
    <w:rsid w:val="004501D9"/>
    <w:rsid w:val="00450275"/>
    <w:rsid w:val="0045061D"/>
    <w:rsid w:val="0045079C"/>
    <w:rsid w:val="00450A46"/>
    <w:rsid w:val="00450A6B"/>
    <w:rsid w:val="00450A9A"/>
    <w:rsid w:val="00450F1B"/>
    <w:rsid w:val="004510B6"/>
    <w:rsid w:val="00451205"/>
    <w:rsid w:val="00451339"/>
    <w:rsid w:val="004514D7"/>
    <w:rsid w:val="0045177D"/>
    <w:rsid w:val="004517CE"/>
    <w:rsid w:val="004519A4"/>
    <w:rsid w:val="004519BC"/>
    <w:rsid w:val="00451AC2"/>
    <w:rsid w:val="00451D6D"/>
    <w:rsid w:val="00451DB6"/>
    <w:rsid w:val="00451E3F"/>
    <w:rsid w:val="00451E52"/>
    <w:rsid w:val="00451F10"/>
    <w:rsid w:val="004522D1"/>
    <w:rsid w:val="00452491"/>
    <w:rsid w:val="004524BD"/>
    <w:rsid w:val="00452590"/>
    <w:rsid w:val="00452636"/>
    <w:rsid w:val="00452708"/>
    <w:rsid w:val="00452789"/>
    <w:rsid w:val="004527A4"/>
    <w:rsid w:val="00452981"/>
    <w:rsid w:val="00452A55"/>
    <w:rsid w:val="00452CC5"/>
    <w:rsid w:val="00452FC9"/>
    <w:rsid w:val="0045308E"/>
    <w:rsid w:val="0045309C"/>
    <w:rsid w:val="004535D3"/>
    <w:rsid w:val="0045360B"/>
    <w:rsid w:val="00453780"/>
    <w:rsid w:val="00453D54"/>
    <w:rsid w:val="00453EEF"/>
    <w:rsid w:val="00454017"/>
    <w:rsid w:val="00454211"/>
    <w:rsid w:val="00454221"/>
    <w:rsid w:val="0045443B"/>
    <w:rsid w:val="0045451A"/>
    <w:rsid w:val="00454AA5"/>
    <w:rsid w:val="00454D03"/>
    <w:rsid w:val="00454D4A"/>
    <w:rsid w:val="00454DBC"/>
    <w:rsid w:val="00454EDB"/>
    <w:rsid w:val="004551C9"/>
    <w:rsid w:val="004553BD"/>
    <w:rsid w:val="004553C7"/>
    <w:rsid w:val="00455445"/>
    <w:rsid w:val="00455509"/>
    <w:rsid w:val="004555BC"/>
    <w:rsid w:val="00455619"/>
    <w:rsid w:val="00455703"/>
    <w:rsid w:val="00455760"/>
    <w:rsid w:val="00455AC6"/>
    <w:rsid w:val="00455BE3"/>
    <w:rsid w:val="00455DB1"/>
    <w:rsid w:val="00455F18"/>
    <w:rsid w:val="004560F7"/>
    <w:rsid w:val="004561C5"/>
    <w:rsid w:val="0045621D"/>
    <w:rsid w:val="0045675D"/>
    <w:rsid w:val="00456AF4"/>
    <w:rsid w:val="0045719D"/>
    <w:rsid w:val="004571FD"/>
    <w:rsid w:val="00457251"/>
    <w:rsid w:val="00457288"/>
    <w:rsid w:val="004575AB"/>
    <w:rsid w:val="0045764D"/>
    <w:rsid w:val="00457847"/>
    <w:rsid w:val="004578CA"/>
    <w:rsid w:val="00457951"/>
    <w:rsid w:val="00457B6F"/>
    <w:rsid w:val="00457BC8"/>
    <w:rsid w:val="00457DD0"/>
    <w:rsid w:val="00457E0E"/>
    <w:rsid w:val="00457E77"/>
    <w:rsid w:val="00457FD3"/>
    <w:rsid w:val="00460062"/>
    <w:rsid w:val="00460276"/>
    <w:rsid w:val="004602BA"/>
    <w:rsid w:val="00460345"/>
    <w:rsid w:val="004603AB"/>
    <w:rsid w:val="004605C4"/>
    <w:rsid w:val="0046064B"/>
    <w:rsid w:val="00460676"/>
    <w:rsid w:val="004606ED"/>
    <w:rsid w:val="0046089A"/>
    <w:rsid w:val="00460963"/>
    <w:rsid w:val="00460990"/>
    <w:rsid w:val="00460A91"/>
    <w:rsid w:val="00460C82"/>
    <w:rsid w:val="00460FED"/>
    <w:rsid w:val="00461033"/>
    <w:rsid w:val="004614D7"/>
    <w:rsid w:val="0046162C"/>
    <w:rsid w:val="0046188E"/>
    <w:rsid w:val="00461995"/>
    <w:rsid w:val="00461EC1"/>
    <w:rsid w:val="00461FF5"/>
    <w:rsid w:val="00462195"/>
    <w:rsid w:val="004621AE"/>
    <w:rsid w:val="0046242C"/>
    <w:rsid w:val="00462457"/>
    <w:rsid w:val="0046256D"/>
    <w:rsid w:val="004625EB"/>
    <w:rsid w:val="0046267F"/>
    <w:rsid w:val="004628C7"/>
    <w:rsid w:val="00462991"/>
    <w:rsid w:val="00462997"/>
    <w:rsid w:val="004629B0"/>
    <w:rsid w:val="00462A54"/>
    <w:rsid w:val="00462A7C"/>
    <w:rsid w:val="00462D98"/>
    <w:rsid w:val="00462E2F"/>
    <w:rsid w:val="00463315"/>
    <w:rsid w:val="004634C5"/>
    <w:rsid w:val="0046364B"/>
    <w:rsid w:val="00463787"/>
    <w:rsid w:val="00463D49"/>
    <w:rsid w:val="00463FC8"/>
    <w:rsid w:val="004642C0"/>
    <w:rsid w:val="00464417"/>
    <w:rsid w:val="004646B6"/>
    <w:rsid w:val="00464789"/>
    <w:rsid w:val="0046491A"/>
    <w:rsid w:val="0046492C"/>
    <w:rsid w:val="00464A45"/>
    <w:rsid w:val="00464A8F"/>
    <w:rsid w:val="00464AE2"/>
    <w:rsid w:val="00464B96"/>
    <w:rsid w:val="00464D5D"/>
    <w:rsid w:val="00464F2D"/>
    <w:rsid w:val="00464F95"/>
    <w:rsid w:val="00465128"/>
    <w:rsid w:val="004651FE"/>
    <w:rsid w:val="00465362"/>
    <w:rsid w:val="00465995"/>
    <w:rsid w:val="004659C8"/>
    <w:rsid w:val="00465D6D"/>
    <w:rsid w:val="00465E86"/>
    <w:rsid w:val="00465F38"/>
    <w:rsid w:val="004662CF"/>
    <w:rsid w:val="00466356"/>
    <w:rsid w:val="004663B8"/>
    <w:rsid w:val="0046658C"/>
    <w:rsid w:val="004665E5"/>
    <w:rsid w:val="00466AC3"/>
    <w:rsid w:val="00466C08"/>
    <w:rsid w:val="00466C58"/>
    <w:rsid w:val="00466CAC"/>
    <w:rsid w:val="00466F6A"/>
    <w:rsid w:val="004670DB"/>
    <w:rsid w:val="004670F9"/>
    <w:rsid w:val="00467179"/>
    <w:rsid w:val="004671EC"/>
    <w:rsid w:val="0046723F"/>
    <w:rsid w:val="00467358"/>
    <w:rsid w:val="004675BF"/>
    <w:rsid w:val="0046767E"/>
    <w:rsid w:val="004677D1"/>
    <w:rsid w:val="00467820"/>
    <w:rsid w:val="00467EA4"/>
    <w:rsid w:val="0047007D"/>
    <w:rsid w:val="0047041C"/>
    <w:rsid w:val="004705B1"/>
    <w:rsid w:val="004705E1"/>
    <w:rsid w:val="004706CC"/>
    <w:rsid w:val="0047073D"/>
    <w:rsid w:val="00470803"/>
    <w:rsid w:val="004709E4"/>
    <w:rsid w:val="00470A91"/>
    <w:rsid w:val="00470AC2"/>
    <w:rsid w:val="00470AED"/>
    <w:rsid w:val="00470BAB"/>
    <w:rsid w:val="00470E56"/>
    <w:rsid w:val="00470E62"/>
    <w:rsid w:val="00471041"/>
    <w:rsid w:val="004711E6"/>
    <w:rsid w:val="00471289"/>
    <w:rsid w:val="004713A3"/>
    <w:rsid w:val="0047176C"/>
    <w:rsid w:val="004717DB"/>
    <w:rsid w:val="004717DD"/>
    <w:rsid w:val="00471B1F"/>
    <w:rsid w:val="00471C1E"/>
    <w:rsid w:val="00471C46"/>
    <w:rsid w:val="00471C9F"/>
    <w:rsid w:val="00471DF4"/>
    <w:rsid w:val="00471E4A"/>
    <w:rsid w:val="004722C9"/>
    <w:rsid w:val="0047253F"/>
    <w:rsid w:val="00472A29"/>
    <w:rsid w:val="00472BBD"/>
    <w:rsid w:val="00472BFD"/>
    <w:rsid w:val="00472E8A"/>
    <w:rsid w:val="00472E9A"/>
    <w:rsid w:val="00472ED0"/>
    <w:rsid w:val="00473515"/>
    <w:rsid w:val="00473650"/>
    <w:rsid w:val="0047384F"/>
    <w:rsid w:val="00473A88"/>
    <w:rsid w:val="00473A9A"/>
    <w:rsid w:val="00473DC0"/>
    <w:rsid w:val="00473E99"/>
    <w:rsid w:val="00473EC7"/>
    <w:rsid w:val="00474009"/>
    <w:rsid w:val="00474053"/>
    <w:rsid w:val="0047406D"/>
    <w:rsid w:val="00474872"/>
    <w:rsid w:val="004748C2"/>
    <w:rsid w:val="00474DCE"/>
    <w:rsid w:val="00474F1B"/>
    <w:rsid w:val="004750EC"/>
    <w:rsid w:val="00475299"/>
    <w:rsid w:val="00475301"/>
    <w:rsid w:val="0047531B"/>
    <w:rsid w:val="0047569E"/>
    <w:rsid w:val="004757AF"/>
    <w:rsid w:val="004757C2"/>
    <w:rsid w:val="0047584E"/>
    <w:rsid w:val="00475878"/>
    <w:rsid w:val="00475998"/>
    <w:rsid w:val="00475A4C"/>
    <w:rsid w:val="00475A97"/>
    <w:rsid w:val="00475B9C"/>
    <w:rsid w:val="00475E87"/>
    <w:rsid w:val="00476021"/>
    <w:rsid w:val="004761E4"/>
    <w:rsid w:val="004762F8"/>
    <w:rsid w:val="0047636D"/>
    <w:rsid w:val="0047639C"/>
    <w:rsid w:val="004763B8"/>
    <w:rsid w:val="004764CC"/>
    <w:rsid w:val="00476B11"/>
    <w:rsid w:val="00476C10"/>
    <w:rsid w:val="00476DFC"/>
    <w:rsid w:val="00476F97"/>
    <w:rsid w:val="004771E2"/>
    <w:rsid w:val="00477300"/>
    <w:rsid w:val="004774DF"/>
    <w:rsid w:val="00477636"/>
    <w:rsid w:val="0047786C"/>
    <w:rsid w:val="00477D2D"/>
    <w:rsid w:val="00480090"/>
    <w:rsid w:val="004801D7"/>
    <w:rsid w:val="0048021B"/>
    <w:rsid w:val="00480413"/>
    <w:rsid w:val="004809BA"/>
    <w:rsid w:val="00480B47"/>
    <w:rsid w:val="00480FC4"/>
    <w:rsid w:val="004812FD"/>
    <w:rsid w:val="004813D0"/>
    <w:rsid w:val="004814E4"/>
    <w:rsid w:val="00481585"/>
    <w:rsid w:val="00481610"/>
    <w:rsid w:val="0048182A"/>
    <w:rsid w:val="00481AF2"/>
    <w:rsid w:val="00481B0D"/>
    <w:rsid w:val="00481B65"/>
    <w:rsid w:val="00481DAA"/>
    <w:rsid w:val="00481E71"/>
    <w:rsid w:val="00482278"/>
    <w:rsid w:val="00482400"/>
    <w:rsid w:val="00482475"/>
    <w:rsid w:val="00482493"/>
    <w:rsid w:val="00482764"/>
    <w:rsid w:val="00482D79"/>
    <w:rsid w:val="00483080"/>
    <w:rsid w:val="004831DC"/>
    <w:rsid w:val="0048327A"/>
    <w:rsid w:val="00483284"/>
    <w:rsid w:val="00483386"/>
    <w:rsid w:val="00483667"/>
    <w:rsid w:val="004836B3"/>
    <w:rsid w:val="004838FE"/>
    <w:rsid w:val="00483A84"/>
    <w:rsid w:val="00483ABE"/>
    <w:rsid w:val="00483AC0"/>
    <w:rsid w:val="00483B22"/>
    <w:rsid w:val="00483C6E"/>
    <w:rsid w:val="00484010"/>
    <w:rsid w:val="00484046"/>
    <w:rsid w:val="00484171"/>
    <w:rsid w:val="0048429F"/>
    <w:rsid w:val="0048457D"/>
    <w:rsid w:val="0048486A"/>
    <w:rsid w:val="0048488E"/>
    <w:rsid w:val="004848B2"/>
    <w:rsid w:val="00484969"/>
    <w:rsid w:val="00484B67"/>
    <w:rsid w:val="0048517D"/>
    <w:rsid w:val="0048531F"/>
    <w:rsid w:val="0048541C"/>
    <w:rsid w:val="00485494"/>
    <w:rsid w:val="004855E0"/>
    <w:rsid w:val="00485738"/>
    <w:rsid w:val="00485749"/>
    <w:rsid w:val="004857E0"/>
    <w:rsid w:val="0048598C"/>
    <w:rsid w:val="00485A58"/>
    <w:rsid w:val="00485FF5"/>
    <w:rsid w:val="004864DA"/>
    <w:rsid w:val="004869E7"/>
    <w:rsid w:val="00486A75"/>
    <w:rsid w:val="00486B3C"/>
    <w:rsid w:val="00486E44"/>
    <w:rsid w:val="00486F49"/>
    <w:rsid w:val="00486F7C"/>
    <w:rsid w:val="00487180"/>
    <w:rsid w:val="0048726D"/>
    <w:rsid w:val="0048732A"/>
    <w:rsid w:val="00487619"/>
    <w:rsid w:val="00487649"/>
    <w:rsid w:val="00487746"/>
    <w:rsid w:val="004878AE"/>
    <w:rsid w:val="00487B41"/>
    <w:rsid w:val="00487C1B"/>
    <w:rsid w:val="00490378"/>
    <w:rsid w:val="0049037D"/>
    <w:rsid w:val="00490742"/>
    <w:rsid w:val="00490899"/>
    <w:rsid w:val="00490AD6"/>
    <w:rsid w:val="00490B58"/>
    <w:rsid w:val="00490BF0"/>
    <w:rsid w:val="00490FBF"/>
    <w:rsid w:val="004911EA"/>
    <w:rsid w:val="004915AA"/>
    <w:rsid w:val="00491698"/>
    <w:rsid w:val="0049189B"/>
    <w:rsid w:val="004918E6"/>
    <w:rsid w:val="00491BBD"/>
    <w:rsid w:val="00491DAB"/>
    <w:rsid w:val="00492120"/>
    <w:rsid w:val="00492382"/>
    <w:rsid w:val="0049239B"/>
    <w:rsid w:val="004924B3"/>
    <w:rsid w:val="0049250A"/>
    <w:rsid w:val="004925AC"/>
    <w:rsid w:val="00492603"/>
    <w:rsid w:val="004928EA"/>
    <w:rsid w:val="004929B4"/>
    <w:rsid w:val="00492E6D"/>
    <w:rsid w:val="00492ED9"/>
    <w:rsid w:val="00493083"/>
    <w:rsid w:val="004931B5"/>
    <w:rsid w:val="004931B8"/>
    <w:rsid w:val="00493438"/>
    <w:rsid w:val="00493543"/>
    <w:rsid w:val="004936E3"/>
    <w:rsid w:val="00493746"/>
    <w:rsid w:val="004938C9"/>
    <w:rsid w:val="00493982"/>
    <w:rsid w:val="00493EC8"/>
    <w:rsid w:val="00493F33"/>
    <w:rsid w:val="004940A6"/>
    <w:rsid w:val="004946A4"/>
    <w:rsid w:val="004946FF"/>
    <w:rsid w:val="00494877"/>
    <w:rsid w:val="00494BEF"/>
    <w:rsid w:val="00495076"/>
    <w:rsid w:val="004950D5"/>
    <w:rsid w:val="004950EE"/>
    <w:rsid w:val="004955D3"/>
    <w:rsid w:val="0049597C"/>
    <w:rsid w:val="00495B69"/>
    <w:rsid w:val="00495D45"/>
    <w:rsid w:val="00495E06"/>
    <w:rsid w:val="00495EE1"/>
    <w:rsid w:val="00495EED"/>
    <w:rsid w:val="00495FF7"/>
    <w:rsid w:val="004961C4"/>
    <w:rsid w:val="00496243"/>
    <w:rsid w:val="00496314"/>
    <w:rsid w:val="00496442"/>
    <w:rsid w:val="00496515"/>
    <w:rsid w:val="0049653D"/>
    <w:rsid w:val="0049659C"/>
    <w:rsid w:val="004965AE"/>
    <w:rsid w:val="004965AF"/>
    <w:rsid w:val="00496814"/>
    <w:rsid w:val="00496C42"/>
    <w:rsid w:val="00496D04"/>
    <w:rsid w:val="00497054"/>
    <w:rsid w:val="004970BB"/>
    <w:rsid w:val="00497426"/>
    <w:rsid w:val="0049746A"/>
    <w:rsid w:val="00497618"/>
    <w:rsid w:val="0049761C"/>
    <w:rsid w:val="0049761E"/>
    <w:rsid w:val="00497706"/>
    <w:rsid w:val="00497960"/>
    <w:rsid w:val="00497E91"/>
    <w:rsid w:val="00497F59"/>
    <w:rsid w:val="004A0180"/>
    <w:rsid w:val="004A038D"/>
    <w:rsid w:val="004A03A0"/>
    <w:rsid w:val="004A03AA"/>
    <w:rsid w:val="004A05A2"/>
    <w:rsid w:val="004A0DDB"/>
    <w:rsid w:val="004A0DFB"/>
    <w:rsid w:val="004A116C"/>
    <w:rsid w:val="004A116E"/>
    <w:rsid w:val="004A129E"/>
    <w:rsid w:val="004A12D0"/>
    <w:rsid w:val="004A139E"/>
    <w:rsid w:val="004A1408"/>
    <w:rsid w:val="004A153F"/>
    <w:rsid w:val="004A1B8E"/>
    <w:rsid w:val="004A1DA5"/>
    <w:rsid w:val="004A1F69"/>
    <w:rsid w:val="004A2640"/>
    <w:rsid w:val="004A2767"/>
    <w:rsid w:val="004A27A6"/>
    <w:rsid w:val="004A27AF"/>
    <w:rsid w:val="004A2851"/>
    <w:rsid w:val="004A2AD6"/>
    <w:rsid w:val="004A2C6E"/>
    <w:rsid w:val="004A2CBE"/>
    <w:rsid w:val="004A2D29"/>
    <w:rsid w:val="004A2F74"/>
    <w:rsid w:val="004A304A"/>
    <w:rsid w:val="004A3100"/>
    <w:rsid w:val="004A3112"/>
    <w:rsid w:val="004A3259"/>
    <w:rsid w:val="004A3279"/>
    <w:rsid w:val="004A337F"/>
    <w:rsid w:val="004A33A0"/>
    <w:rsid w:val="004A341A"/>
    <w:rsid w:val="004A3467"/>
    <w:rsid w:val="004A34CC"/>
    <w:rsid w:val="004A36C8"/>
    <w:rsid w:val="004A36E7"/>
    <w:rsid w:val="004A36FD"/>
    <w:rsid w:val="004A38D9"/>
    <w:rsid w:val="004A3DAD"/>
    <w:rsid w:val="004A4073"/>
    <w:rsid w:val="004A4200"/>
    <w:rsid w:val="004A43BF"/>
    <w:rsid w:val="004A4A0B"/>
    <w:rsid w:val="004A4AC1"/>
    <w:rsid w:val="004A4BF0"/>
    <w:rsid w:val="004A4F3C"/>
    <w:rsid w:val="004A504E"/>
    <w:rsid w:val="004A51E3"/>
    <w:rsid w:val="004A522F"/>
    <w:rsid w:val="004A52E0"/>
    <w:rsid w:val="004A5872"/>
    <w:rsid w:val="004A598F"/>
    <w:rsid w:val="004A5B13"/>
    <w:rsid w:val="004A5C37"/>
    <w:rsid w:val="004A5F72"/>
    <w:rsid w:val="004A6094"/>
    <w:rsid w:val="004A61B4"/>
    <w:rsid w:val="004A63E7"/>
    <w:rsid w:val="004A642A"/>
    <w:rsid w:val="004A647C"/>
    <w:rsid w:val="004A65A6"/>
    <w:rsid w:val="004A6691"/>
    <w:rsid w:val="004A6815"/>
    <w:rsid w:val="004A6824"/>
    <w:rsid w:val="004A684F"/>
    <w:rsid w:val="004A68BF"/>
    <w:rsid w:val="004A68E5"/>
    <w:rsid w:val="004A6A82"/>
    <w:rsid w:val="004A6AC2"/>
    <w:rsid w:val="004A6B94"/>
    <w:rsid w:val="004A6D1A"/>
    <w:rsid w:val="004A6D89"/>
    <w:rsid w:val="004A714F"/>
    <w:rsid w:val="004A71BC"/>
    <w:rsid w:val="004A741D"/>
    <w:rsid w:val="004A7676"/>
    <w:rsid w:val="004A789D"/>
    <w:rsid w:val="004A79A3"/>
    <w:rsid w:val="004A7A90"/>
    <w:rsid w:val="004A7AEB"/>
    <w:rsid w:val="004A7BA2"/>
    <w:rsid w:val="004A7CE1"/>
    <w:rsid w:val="004B031F"/>
    <w:rsid w:val="004B037A"/>
    <w:rsid w:val="004B0433"/>
    <w:rsid w:val="004B0437"/>
    <w:rsid w:val="004B08D7"/>
    <w:rsid w:val="004B0B07"/>
    <w:rsid w:val="004B0BCB"/>
    <w:rsid w:val="004B0C86"/>
    <w:rsid w:val="004B0DA4"/>
    <w:rsid w:val="004B0EFA"/>
    <w:rsid w:val="004B1583"/>
    <w:rsid w:val="004B17F1"/>
    <w:rsid w:val="004B185C"/>
    <w:rsid w:val="004B1AB9"/>
    <w:rsid w:val="004B1AFD"/>
    <w:rsid w:val="004B1D4C"/>
    <w:rsid w:val="004B1DBB"/>
    <w:rsid w:val="004B1E4F"/>
    <w:rsid w:val="004B1E89"/>
    <w:rsid w:val="004B1F4B"/>
    <w:rsid w:val="004B1FEC"/>
    <w:rsid w:val="004B20AB"/>
    <w:rsid w:val="004B2113"/>
    <w:rsid w:val="004B23B6"/>
    <w:rsid w:val="004B2560"/>
    <w:rsid w:val="004B27F8"/>
    <w:rsid w:val="004B2889"/>
    <w:rsid w:val="004B2898"/>
    <w:rsid w:val="004B28AD"/>
    <w:rsid w:val="004B2931"/>
    <w:rsid w:val="004B2960"/>
    <w:rsid w:val="004B29E5"/>
    <w:rsid w:val="004B2E05"/>
    <w:rsid w:val="004B32EF"/>
    <w:rsid w:val="004B335A"/>
    <w:rsid w:val="004B33FE"/>
    <w:rsid w:val="004B35B0"/>
    <w:rsid w:val="004B3890"/>
    <w:rsid w:val="004B38A0"/>
    <w:rsid w:val="004B3917"/>
    <w:rsid w:val="004B3A8E"/>
    <w:rsid w:val="004B3E61"/>
    <w:rsid w:val="004B3F0E"/>
    <w:rsid w:val="004B3F1B"/>
    <w:rsid w:val="004B4017"/>
    <w:rsid w:val="004B42C0"/>
    <w:rsid w:val="004B4703"/>
    <w:rsid w:val="004B4714"/>
    <w:rsid w:val="004B47F0"/>
    <w:rsid w:val="004B48C6"/>
    <w:rsid w:val="004B48CD"/>
    <w:rsid w:val="004B4A10"/>
    <w:rsid w:val="004B4C5E"/>
    <w:rsid w:val="004B4D7D"/>
    <w:rsid w:val="004B4F1F"/>
    <w:rsid w:val="004B4F60"/>
    <w:rsid w:val="004B503F"/>
    <w:rsid w:val="004B55DF"/>
    <w:rsid w:val="004B55E6"/>
    <w:rsid w:val="004B5646"/>
    <w:rsid w:val="004B5790"/>
    <w:rsid w:val="004B5948"/>
    <w:rsid w:val="004B5A00"/>
    <w:rsid w:val="004B5A0D"/>
    <w:rsid w:val="004B5AAB"/>
    <w:rsid w:val="004B5ADF"/>
    <w:rsid w:val="004B5C21"/>
    <w:rsid w:val="004B5C8D"/>
    <w:rsid w:val="004B5ED8"/>
    <w:rsid w:val="004B5EFE"/>
    <w:rsid w:val="004B602F"/>
    <w:rsid w:val="004B6176"/>
    <w:rsid w:val="004B61FD"/>
    <w:rsid w:val="004B63D3"/>
    <w:rsid w:val="004B689B"/>
    <w:rsid w:val="004B69F4"/>
    <w:rsid w:val="004B6AA5"/>
    <w:rsid w:val="004B6CA4"/>
    <w:rsid w:val="004B6CA5"/>
    <w:rsid w:val="004B6CC4"/>
    <w:rsid w:val="004B6D8D"/>
    <w:rsid w:val="004B6E08"/>
    <w:rsid w:val="004B6ECA"/>
    <w:rsid w:val="004B727F"/>
    <w:rsid w:val="004B72D5"/>
    <w:rsid w:val="004B754F"/>
    <w:rsid w:val="004B76D0"/>
    <w:rsid w:val="004B78A2"/>
    <w:rsid w:val="004B78F3"/>
    <w:rsid w:val="004B7930"/>
    <w:rsid w:val="004C00C5"/>
    <w:rsid w:val="004C0217"/>
    <w:rsid w:val="004C052E"/>
    <w:rsid w:val="004C05F1"/>
    <w:rsid w:val="004C07AB"/>
    <w:rsid w:val="004C0A94"/>
    <w:rsid w:val="004C0BDF"/>
    <w:rsid w:val="004C0E16"/>
    <w:rsid w:val="004C0E8E"/>
    <w:rsid w:val="004C0F97"/>
    <w:rsid w:val="004C1309"/>
    <w:rsid w:val="004C1935"/>
    <w:rsid w:val="004C1A10"/>
    <w:rsid w:val="004C1ACD"/>
    <w:rsid w:val="004C1BB9"/>
    <w:rsid w:val="004C1C30"/>
    <w:rsid w:val="004C217D"/>
    <w:rsid w:val="004C2425"/>
    <w:rsid w:val="004C24B5"/>
    <w:rsid w:val="004C268A"/>
    <w:rsid w:val="004C2730"/>
    <w:rsid w:val="004C298C"/>
    <w:rsid w:val="004C2B84"/>
    <w:rsid w:val="004C2F89"/>
    <w:rsid w:val="004C31B1"/>
    <w:rsid w:val="004C3374"/>
    <w:rsid w:val="004C33D9"/>
    <w:rsid w:val="004C38DF"/>
    <w:rsid w:val="004C38FF"/>
    <w:rsid w:val="004C3B5F"/>
    <w:rsid w:val="004C3DC2"/>
    <w:rsid w:val="004C3EF8"/>
    <w:rsid w:val="004C402A"/>
    <w:rsid w:val="004C432E"/>
    <w:rsid w:val="004C435E"/>
    <w:rsid w:val="004C4668"/>
    <w:rsid w:val="004C4916"/>
    <w:rsid w:val="004C495E"/>
    <w:rsid w:val="004C4BD4"/>
    <w:rsid w:val="004C4C49"/>
    <w:rsid w:val="004C4FD3"/>
    <w:rsid w:val="004C5239"/>
    <w:rsid w:val="004C52CE"/>
    <w:rsid w:val="004C5445"/>
    <w:rsid w:val="004C5461"/>
    <w:rsid w:val="004C54A3"/>
    <w:rsid w:val="004C55A5"/>
    <w:rsid w:val="004C5661"/>
    <w:rsid w:val="004C5710"/>
    <w:rsid w:val="004C5956"/>
    <w:rsid w:val="004C5ABE"/>
    <w:rsid w:val="004C5CE3"/>
    <w:rsid w:val="004C5DF6"/>
    <w:rsid w:val="004C5F9F"/>
    <w:rsid w:val="004C61AC"/>
    <w:rsid w:val="004C6889"/>
    <w:rsid w:val="004C6901"/>
    <w:rsid w:val="004C69BE"/>
    <w:rsid w:val="004C69D3"/>
    <w:rsid w:val="004C69D6"/>
    <w:rsid w:val="004C6E25"/>
    <w:rsid w:val="004C6E99"/>
    <w:rsid w:val="004C70E9"/>
    <w:rsid w:val="004C72AB"/>
    <w:rsid w:val="004C758D"/>
    <w:rsid w:val="004C769B"/>
    <w:rsid w:val="004C78C3"/>
    <w:rsid w:val="004C7930"/>
    <w:rsid w:val="004C7B49"/>
    <w:rsid w:val="004C7CF6"/>
    <w:rsid w:val="004C7D22"/>
    <w:rsid w:val="004C7D27"/>
    <w:rsid w:val="004C7FAF"/>
    <w:rsid w:val="004D002E"/>
    <w:rsid w:val="004D02CA"/>
    <w:rsid w:val="004D0390"/>
    <w:rsid w:val="004D05F6"/>
    <w:rsid w:val="004D08D5"/>
    <w:rsid w:val="004D0CEE"/>
    <w:rsid w:val="004D0D7F"/>
    <w:rsid w:val="004D1065"/>
    <w:rsid w:val="004D10C7"/>
    <w:rsid w:val="004D117F"/>
    <w:rsid w:val="004D1283"/>
    <w:rsid w:val="004D1380"/>
    <w:rsid w:val="004D1C07"/>
    <w:rsid w:val="004D1D3D"/>
    <w:rsid w:val="004D1F59"/>
    <w:rsid w:val="004D228F"/>
    <w:rsid w:val="004D2294"/>
    <w:rsid w:val="004D22DE"/>
    <w:rsid w:val="004D2757"/>
    <w:rsid w:val="004D299D"/>
    <w:rsid w:val="004D2A0C"/>
    <w:rsid w:val="004D2AB8"/>
    <w:rsid w:val="004D2C59"/>
    <w:rsid w:val="004D2D39"/>
    <w:rsid w:val="004D2E1D"/>
    <w:rsid w:val="004D2FBB"/>
    <w:rsid w:val="004D3018"/>
    <w:rsid w:val="004D320D"/>
    <w:rsid w:val="004D33B3"/>
    <w:rsid w:val="004D34D0"/>
    <w:rsid w:val="004D358C"/>
    <w:rsid w:val="004D35DF"/>
    <w:rsid w:val="004D376E"/>
    <w:rsid w:val="004D37D0"/>
    <w:rsid w:val="004D3A2C"/>
    <w:rsid w:val="004D3D04"/>
    <w:rsid w:val="004D41B6"/>
    <w:rsid w:val="004D41E9"/>
    <w:rsid w:val="004D447A"/>
    <w:rsid w:val="004D47F8"/>
    <w:rsid w:val="004D4845"/>
    <w:rsid w:val="004D4BD5"/>
    <w:rsid w:val="004D4EA4"/>
    <w:rsid w:val="004D53CB"/>
    <w:rsid w:val="004D53DC"/>
    <w:rsid w:val="004D5403"/>
    <w:rsid w:val="004D58C1"/>
    <w:rsid w:val="004D5A85"/>
    <w:rsid w:val="004D5E36"/>
    <w:rsid w:val="004D5F51"/>
    <w:rsid w:val="004D644E"/>
    <w:rsid w:val="004D68BB"/>
    <w:rsid w:val="004D6A57"/>
    <w:rsid w:val="004D6A6D"/>
    <w:rsid w:val="004D6BC7"/>
    <w:rsid w:val="004D6D80"/>
    <w:rsid w:val="004D6ED2"/>
    <w:rsid w:val="004D6EEC"/>
    <w:rsid w:val="004D716F"/>
    <w:rsid w:val="004D72C8"/>
    <w:rsid w:val="004D733D"/>
    <w:rsid w:val="004D7637"/>
    <w:rsid w:val="004D7705"/>
    <w:rsid w:val="004D7B25"/>
    <w:rsid w:val="004D7B93"/>
    <w:rsid w:val="004D7DAB"/>
    <w:rsid w:val="004E00AD"/>
    <w:rsid w:val="004E02C1"/>
    <w:rsid w:val="004E031E"/>
    <w:rsid w:val="004E03A3"/>
    <w:rsid w:val="004E0A38"/>
    <w:rsid w:val="004E0B59"/>
    <w:rsid w:val="004E0D18"/>
    <w:rsid w:val="004E0E85"/>
    <w:rsid w:val="004E15A5"/>
    <w:rsid w:val="004E15A8"/>
    <w:rsid w:val="004E1664"/>
    <w:rsid w:val="004E16E6"/>
    <w:rsid w:val="004E1798"/>
    <w:rsid w:val="004E1B24"/>
    <w:rsid w:val="004E1C51"/>
    <w:rsid w:val="004E1C86"/>
    <w:rsid w:val="004E1FAA"/>
    <w:rsid w:val="004E2100"/>
    <w:rsid w:val="004E229A"/>
    <w:rsid w:val="004E2468"/>
    <w:rsid w:val="004E2484"/>
    <w:rsid w:val="004E272D"/>
    <w:rsid w:val="004E278D"/>
    <w:rsid w:val="004E27F8"/>
    <w:rsid w:val="004E288C"/>
    <w:rsid w:val="004E2D17"/>
    <w:rsid w:val="004E2D8D"/>
    <w:rsid w:val="004E2ED1"/>
    <w:rsid w:val="004E2F06"/>
    <w:rsid w:val="004E300D"/>
    <w:rsid w:val="004E30DA"/>
    <w:rsid w:val="004E31C1"/>
    <w:rsid w:val="004E32EC"/>
    <w:rsid w:val="004E34C3"/>
    <w:rsid w:val="004E3515"/>
    <w:rsid w:val="004E3641"/>
    <w:rsid w:val="004E399B"/>
    <w:rsid w:val="004E3B62"/>
    <w:rsid w:val="004E3B6B"/>
    <w:rsid w:val="004E3E30"/>
    <w:rsid w:val="004E3F4A"/>
    <w:rsid w:val="004E4182"/>
    <w:rsid w:val="004E4492"/>
    <w:rsid w:val="004E460C"/>
    <w:rsid w:val="004E46A3"/>
    <w:rsid w:val="004E46D1"/>
    <w:rsid w:val="004E4791"/>
    <w:rsid w:val="004E4CD4"/>
    <w:rsid w:val="004E4CE1"/>
    <w:rsid w:val="004E4E09"/>
    <w:rsid w:val="004E4E29"/>
    <w:rsid w:val="004E4E7D"/>
    <w:rsid w:val="004E4EF9"/>
    <w:rsid w:val="004E4FB1"/>
    <w:rsid w:val="004E5062"/>
    <w:rsid w:val="004E50FC"/>
    <w:rsid w:val="004E514D"/>
    <w:rsid w:val="004E5245"/>
    <w:rsid w:val="004E5323"/>
    <w:rsid w:val="004E5599"/>
    <w:rsid w:val="004E5716"/>
    <w:rsid w:val="004E5831"/>
    <w:rsid w:val="004E5843"/>
    <w:rsid w:val="004E58B9"/>
    <w:rsid w:val="004E5B1F"/>
    <w:rsid w:val="004E5BC3"/>
    <w:rsid w:val="004E5E56"/>
    <w:rsid w:val="004E5E6D"/>
    <w:rsid w:val="004E5EFB"/>
    <w:rsid w:val="004E60A0"/>
    <w:rsid w:val="004E62B5"/>
    <w:rsid w:val="004E6368"/>
    <w:rsid w:val="004E64E0"/>
    <w:rsid w:val="004E65D5"/>
    <w:rsid w:val="004E661D"/>
    <w:rsid w:val="004E665A"/>
    <w:rsid w:val="004E692A"/>
    <w:rsid w:val="004E6A4C"/>
    <w:rsid w:val="004E6BD6"/>
    <w:rsid w:val="004E6D4B"/>
    <w:rsid w:val="004E6D7C"/>
    <w:rsid w:val="004E7116"/>
    <w:rsid w:val="004E71AE"/>
    <w:rsid w:val="004E768F"/>
    <w:rsid w:val="004E7937"/>
    <w:rsid w:val="004E7A77"/>
    <w:rsid w:val="004E7CDA"/>
    <w:rsid w:val="004E7D3D"/>
    <w:rsid w:val="004E7E13"/>
    <w:rsid w:val="004E7EBC"/>
    <w:rsid w:val="004F0168"/>
    <w:rsid w:val="004F033E"/>
    <w:rsid w:val="004F036B"/>
    <w:rsid w:val="004F05DE"/>
    <w:rsid w:val="004F065F"/>
    <w:rsid w:val="004F0819"/>
    <w:rsid w:val="004F088E"/>
    <w:rsid w:val="004F094B"/>
    <w:rsid w:val="004F094D"/>
    <w:rsid w:val="004F0AD5"/>
    <w:rsid w:val="004F0D21"/>
    <w:rsid w:val="004F0E7E"/>
    <w:rsid w:val="004F0EC9"/>
    <w:rsid w:val="004F0EFC"/>
    <w:rsid w:val="004F1072"/>
    <w:rsid w:val="004F107C"/>
    <w:rsid w:val="004F12F8"/>
    <w:rsid w:val="004F1531"/>
    <w:rsid w:val="004F18E6"/>
    <w:rsid w:val="004F1BE3"/>
    <w:rsid w:val="004F1C92"/>
    <w:rsid w:val="004F1CB9"/>
    <w:rsid w:val="004F1CFE"/>
    <w:rsid w:val="004F1DD4"/>
    <w:rsid w:val="004F1DE5"/>
    <w:rsid w:val="004F1DFE"/>
    <w:rsid w:val="004F1E9B"/>
    <w:rsid w:val="004F1ECF"/>
    <w:rsid w:val="004F2146"/>
    <w:rsid w:val="004F22B9"/>
    <w:rsid w:val="004F22DA"/>
    <w:rsid w:val="004F23C0"/>
    <w:rsid w:val="004F2447"/>
    <w:rsid w:val="004F2477"/>
    <w:rsid w:val="004F27DA"/>
    <w:rsid w:val="004F2989"/>
    <w:rsid w:val="004F29AD"/>
    <w:rsid w:val="004F2CC4"/>
    <w:rsid w:val="004F2FD2"/>
    <w:rsid w:val="004F3071"/>
    <w:rsid w:val="004F30D1"/>
    <w:rsid w:val="004F30D9"/>
    <w:rsid w:val="004F3278"/>
    <w:rsid w:val="004F32CA"/>
    <w:rsid w:val="004F3311"/>
    <w:rsid w:val="004F33D6"/>
    <w:rsid w:val="004F33E9"/>
    <w:rsid w:val="004F3494"/>
    <w:rsid w:val="004F351B"/>
    <w:rsid w:val="004F35B8"/>
    <w:rsid w:val="004F3694"/>
    <w:rsid w:val="004F3A31"/>
    <w:rsid w:val="004F3F6E"/>
    <w:rsid w:val="004F423E"/>
    <w:rsid w:val="004F4696"/>
    <w:rsid w:val="004F4731"/>
    <w:rsid w:val="004F47E9"/>
    <w:rsid w:val="004F493F"/>
    <w:rsid w:val="004F4A35"/>
    <w:rsid w:val="004F4BC1"/>
    <w:rsid w:val="004F4D5A"/>
    <w:rsid w:val="004F4F3E"/>
    <w:rsid w:val="004F502F"/>
    <w:rsid w:val="004F514F"/>
    <w:rsid w:val="004F5473"/>
    <w:rsid w:val="004F585E"/>
    <w:rsid w:val="004F5A1B"/>
    <w:rsid w:val="004F5AB2"/>
    <w:rsid w:val="004F5BB9"/>
    <w:rsid w:val="004F5D35"/>
    <w:rsid w:val="004F5F3D"/>
    <w:rsid w:val="004F619A"/>
    <w:rsid w:val="004F6365"/>
    <w:rsid w:val="004F63D3"/>
    <w:rsid w:val="004F644F"/>
    <w:rsid w:val="004F65B0"/>
    <w:rsid w:val="004F673F"/>
    <w:rsid w:val="004F690F"/>
    <w:rsid w:val="004F698B"/>
    <w:rsid w:val="004F6B51"/>
    <w:rsid w:val="004F6D6A"/>
    <w:rsid w:val="004F6D86"/>
    <w:rsid w:val="004F6DC8"/>
    <w:rsid w:val="004F6F26"/>
    <w:rsid w:val="004F6F40"/>
    <w:rsid w:val="004F6FA3"/>
    <w:rsid w:val="004F730D"/>
    <w:rsid w:val="004F742E"/>
    <w:rsid w:val="004F7940"/>
    <w:rsid w:val="004F7C42"/>
    <w:rsid w:val="004F7DB1"/>
    <w:rsid w:val="004F7DEF"/>
    <w:rsid w:val="004F7F88"/>
    <w:rsid w:val="004F7F8E"/>
    <w:rsid w:val="0050041B"/>
    <w:rsid w:val="005005AB"/>
    <w:rsid w:val="005006E0"/>
    <w:rsid w:val="00500733"/>
    <w:rsid w:val="005007C0"/>
    <w:rsid w:val="00500B01"/>
    <w:rsid w:val="00500B1E"/>
    <w:rsid w:val="00500B3D"/>
    <w:rsid w:val="00500CE9"/>
    <w:rsid w:val="00500F6F"/>
    <w:rsid w:val="0050114F"/>
    <w:rsid w:val="0050121C"/>
    <w:rsid w:val="0050140D"/>
    <w:rsid w:val="00501415"/>
    <w:rsid w:val="00501447"/>
    <w:rsid w:val="0050155A"/>
    <w:rsid w:val="0050159C"/>
    <w:rsid w:val="00501712"/>
    <w:rsid w:val="005017D4"/>
    <w:rsid w:val="005017F7"/>
    <w:rsid w:val="00501931"/>
    <w:rsid w:val="0050193E"/>
    <w:rsid w:val="005019B0"/>
    <w:rsid w:val="005019B3"/>
    <w:rsid w:val="005019F9"/>
    <w:rsid w:val="00501C88"/>
    <w:rsid w:val="00501E28"/>
    <w:rsid w:val="005021DB"/>
    <w:rsid w:val="00502601"/>
    <w:rsid w:val="00502656"/>
    <w:rsid w:val="0050271E"/>
    <w:rsid w:val="00502727"/>
    <w:rsid w:val="005027A5"/>
    <w:rsid w:val="005027B7"/>
    <w:rsid w:val="00502A47"/>
    <w:rsid w:val="00502A90"/>
    <w:rsid w:val="00502B30"/>
    <w:rsid w:val="00502DE2"/>
    <w:rsid w:val="00502E41"/>
    <w:rsid w:val="00503222"/>
    <w:rsid w:val="00503474"/>
    <w:rsid w:val="005035D8"/>
    <w:rsid w:val="005036A5"/>
    <w:rsid w:val="00503752"/>
    <w:rsid w:val="005039B3"/>
    <w:rsid w:val="00503D4A"/>
    <w:rsid w:val="00503DA4"/>
    <w:rsid w:val="005041C7"/>
    <w:rsid w:val="005043B9"/>
    <w:rsid w:val="00504996"/>
    <w:rsid w:val="00504B4C"/>
    <w:rsid w:val="00504B85"/>
    <w:rsid w:val="00504C98"/>
    <w:rsid w:val="005051D1"/>
    <w:rsid w:val="00505375"/>
    <w:rsid w:val="005059B7"/>
    <w:rsid w:val="00505A06"/>
    <w:rsid w:val="00505F75"/>
    <w:rsid w:val="005061CD"/>
    <w:rsid w:val="00506231"/>
    <w:rsid w:val="0050626C"/>
    <w:rsid w:val="00506317"/>
    <w:rsid w:val="0050648E"/>
    <w:rsid w:val="005066D2"/>
    <w:rsid w:val="005067D7"/>
    <w:rsid w:val="005068DC"/>
    <w:rsid w:val="0050691D"/>
    <w:rsid w:val="00506AA6"/>
    <w:rsid w:val="00506B0B"/>
    <w:rsid w:val="00506C70"/>
    <w:rsid w:val="00506C7A"/>
    <w:rsid w:val="00506DD3"/>
    <w:rsid w:val="00506FA3"/>
    <w:rsid w:val="00507040"/>
    <w:rsid w:val="005070FD"/>
    <w:rsid w:val="005071EA"/>
    <w:rsid w:val="0050790F"/>
    <w:rsid w:val="00507995"/>
    <w:rsid w:val="00507C72"/>
    <w:rsid w:val="00507D36"/>
    <w:rsid w:val="00507EAA"/>
    <w:rsid w:val="00507EC5"/>
    <w:rsid w:val="00510114"/>
    <w:rsid w:val="005103AD"/>
    <w:rsid w:val="005104C7"/>
    <w:rsid w:val="0051055D"/>
    <w:rsid w:val="00510678"/>
    <w:rsid w:val="00510B65"/>
    <w:rsid w:val="00510C27"/>
    <w:rsid w:val="00510EA8"/>
    <w:rsid w:val="00510F0E"/>
    <w:rsid w:val="00511005"/>
    <w:rsid w:val="0051104F"/>
    <w:rsid w:val="005111C0"/>
    <w:rsid w:val="00511388"/>
    <w:rsid w:val="005114B7"/>
    <w:rsid w:val="005114DB"/>
    <w:rsid w:val="005114DD"/>
    <w:rsid w:val="00511501"/>
    <w:rsid w:val="005115DB"/>
    <w:rsid w:val="00511822"/>
    <w:rsid w:val="0051187C"/>
    <w:rsid w:val="00511C70"/>
    <w:rsid w:val="00511E82"/>
    <w:rsid w:val="005123DC"/>
    <w:rsid w:val="00512460"/>
    <w:rsid w:val="00512736"/>
    <w:rsid w:val="005127C4"/>
    <w:rsid w:val="00512981"/>
    <w:rsid w:val="00512D14"/>
    <w:rsid w:val="00512D42"/>
    <w:rsid w:val="00512E39"/>
    <w:rsid w:val="00512E82"/>
    <w:rsid w:val="005130E7"/>
    <w:rsid w:val="00513520"/>
    <w:rsid w:val="00513723"/>
    <w:rsid w:val="00513746"/>
    <w:rsid w:val="005137AB"/>
    <w:rsid w:val="0051399D"/>
    <w:rsid w:val="00513D01"/>
    <w:rsid w:val="00513D06"/>
    <w:rsid w:val="00513D6C"/>
    <w:rsid w:val="00513D84"/>
    <w:rsid w:val="00513EAB"/>
    <w:rsid w:val="005140E4"/>
    <w:rsid w:val="0051410B"/>
    <w:rsid w:val="0051439E"/>
    <w:rsid w:val="00514424"/>
    <w:rsid w:val="0051443E"/>
    <w:rsid w:val="005144A9"/>
    <w:rsid w:val="00514501"/>
    <w:rsid w:val="00514598"/>
    <w:rsid w:val="00514607"/>
    <w:rsid w:val="005146AC"/>
    <w:rsid w:val="005147F4"/>
    <w:rsid w:val="005148F7"/>
    <w:rsid w:val="00514928"/>
    <w:rsid w:val="00514937"/>
    <w:rsid w:val="0051494B"/>
    <w:rsid w:val="00514ACD"/>
    <w:rsid w:val="00514CA7"/>
    <w:rsid w:val="0051510C"/>
    <w:rsid w:val="00515152"/>
    <w:rsid w:val="005151C8"/>
    <w:rsid w:val="005153A4"/>
    <w:rsid w:val="0051549F"/>
    <w:rsid w:val="005155E1"/>
    <w:rsid w:val="0051585C"/>
    <w:rsid w:val="005158D4"/>
    <w:rsid w:val="005159DC"/>
    <w:rsid w:val="00515B0C"/>
    <w:rsid w:val="00515E90"/>
    <w:rsid w:val="00515F4D"/>
    <w:rsid w:val="00515FE6"/>
    <w:rsid w:val="0051606B"/>
    <w:rsid w:val="00516314"/>
    <w:rsid w:val="00516408"/>
    <w:rsid w:val="005165F2"/>
    <w:rsid w:val="0051676B"/>
    <w:rsid w:val="00516EEA"/>
    <w:rsid w:val="00516FAC"/>
    <w:rsid w:val="0051727F"/>
    <w:rsid w:val="00517292"/>
    <w:rsid w:val="00517453"/>
    <w:rsid w:val="00517A46"/>
    <w:rsid w:val="00517B8E"/>
    <w:rsid w:val="00517B93"/>
    <w:rsid w:val="00517F38"/>
    <w:rsid w:val="0052019E"/>
    <w:rsid w:val="0052084F"/>
    <w:rsid w:val="00520AAD"/>
    <w:rsid w:val="00520D07"/>
    <w:rsid w:val="00520D18"/>
    <w:rsid w:val="00520DF9"/>
    <w:rsid w:val="00520EA0"/>
    <w:rsid w:val="0052116D"/>
    <w:rsid w:val="00521383"/>
    <w:rsid w:val="00521555"/>
    <w:rsid w:val="00521639"/>
    <w:rsid w:val="00521785"/>
    <w:rsid w:val="00521914"/>
    <w:rsid w:val="00521BF3"/>
    <w:rsid w:val="00521C0B"/>
    <w:rsid w:val="00521C44"/>
    <w:rsid w:val="00521C7F"/>
    <w:rsid w:val="0052203A"/>
    <w:rsid w:val="00522059"/>
    <w:rsid w:val="00522679"/>
    <w:rsid w:val="0052271F"/>
    <w:rsid w:val="00522750"/>
    <w:rsid w:val="00522768"/>
    <w:rsid w:val="005227F9"/>
    <w:rsid w:val="0052289C"/>
    <w:rsid w:val="00522961"/>
    <w:rsid w:val="0052298D"/>
    <w:rsid w:val="00522DA0"/>
    <w:rsid w:val="00522FC1"/>
    <w:rsid w:val="0052303A"/>
    <w:rsid w:val="00523118"/>
    <w:rsid w:val="00523187"/>
    <w:rsid w:val="0052343A"/>
    <w:rsid w:val="0052350A"/>
    <w:rsid w:val="00523631"/>
    <w:rsid w:val="005237DE"/>
    <w:rsid w:val="005237F4"/>
    <w:rsid w:val="0052398C"/>
    <w:rsid w:val="005239E1"/>
    <w:rsid w:val="00523CF4"/>
    <w:rsid w:val="00523F5A"/>
    <w:rsid w:val="00524146"/>
    <w:rsid w:val="005241EF"/>
    <w:rsid w:val="00524546"/>
    <w:rsid w:val="00524673"/>
    <w:rsid w:val="005249D8"/>
    <w:rsid w:val="00524A02"/>
    <w:rsid w:val="00524A45"/>
    <w:rsid w:val="00524AAF"/>
    <w:rsid w:val="00524C27"/>
    <w:rsid w:val="00524D3E"/>
    <w:rsid w:val="00524DE1"/>
    <w:rsid w:val="00524E6E"/>
    <w:rsid w:val="00524FFB"/>
    <w:rsid w:val="005250AC"/>
    <w:rsid w:val="005250EB"/>
    <w:rsid w:val="00525146"/>
    <w:rsid w:val="00525501"/>
    <w:rsid w:val="005258DD"/>
    <w:rsid w:val="00525EEC"/>
    <w:rsid w:val="00526179"/>
    <w:rsid w:val="00526228"/>
    <w:rsid w:val="00526317"/>
    <w:rsid w:val="005265C0"/>
    <w:rsid w:val="00526646"/>
    <w:rsid w:val="00526866"/>
    <w:rsid w:val="00526887"/>
    <w:rsid w:val="00526A44"/>
    <w:rsid w:val="00526B15"/>
    <w:rsid w:val="00526DEE"/>
    <w:rsid w:val="00526E4E"/>
    <w:rsid w:val="00526EE6"/>
    <w:rsid w:val="00526FFF"/>
    <w:rsid w:val="00527035"/>
    <w:rsid w:val="005274B4"/>
    <w:rsid w:val="00527543"/>
    <w:rsid w:val="0052758C"/>
    <w:rsid w:val="00527958"/>
    <w:rsid w:val="005279C2"/>
    <w:rsid w:val="005279D9"/>
    <w:rsid w:val="00527BCC"/>
    <w:rsid w:val="00527C19"/>
    <w:rsid w:val="00527C1B"/>
    <w:rsid w:val="00527E6F"/>
    <w:rsid w:val="0053043F"/>
    <w:rsid w:val="00530537"/>
    <w:rsid w:val="005307A6"/>
    <w:rsid w:val="00530845"/>
    <w:rsid w:val="00530B79"/>
    <w:rsid w:val="00530E12"/>
    <w:rsid w:val="00530E17"/>
    <w:rsid w:val="00530E3C"/>
    <w:rsid w:val="00530FEB"/>
    <w:rsid w:val="0053137F"/>
    <w:rsid w:val="0053196D"/>
    <w:rsid w:val="00531A94"/>
    <w:rsid w:val="00531E97"/>
    <w:rsid w:val="00531EA2"/>
    <w:rsid w:val="00531EFC"/>
    <w:rsid w:val="00532093"/>
    <w:rsid w:val="005320CE"/>
    <w:rsid w:val="005322B1"/>
    <w:rsid w:val="005323A0"/>
    <w:rsid w:val="005323B2"/>
    <w:rsid w:val="0053255C"/>
    <w:rsid w:val="00532A38"/>
    <w:rsid w:val="00532DA4"/>
    <w:rsid w:val="00532DC3"/>
    <w:rsid w:val="00532E59"/>
    <w:rsid w:val="00532F06"/>
    <w:rsid w:val="00533086"/>
    <w:rsid w:val="005331AC"/>
    <w:rsid w:val="005333C4"/>
    <w:rsid w:val="00533437"/>
    <w:rsid w:val="005335A9"/>
    <w:rsid w:val="00533728"/>
    <w:rsid w:val="005339FF"/>
    <w:rsid w:val="00533D15"/>
    <w:rsid w:val="00533E99"/>
    <w:rsid w:val="00533EA7"/>
    <w:rsid w:val="005340A2"/>
    <w:rsid w:val="00534266"/>
    <w:rsid w:val="005342F9"/>
    <w:rsid w:val="00534464"/>
    <w:rsid w:val="00534510"/>
    <w:rsid w:val="00534516"/>
    <w:rsid w:val="00534712"/>
    <w:rsid w:val="00534858"/>
    <w:rsid w:val="00534C05"/>
    <w:rsid w:val="00534D9B"/>
    <w:rsid w:val="00534ECE"/>
    <w:rsid w:val="00534EF8"/>
    <w:rsid w:val="00534F0F"/>
    <w:rsid w:val="00534F9B"/>
    <w:rsid w:val="00535287"/>
    <w:rsid w:val="0053571B"/>
    <w:rsid w:val="00535806"/>
    <w:rsid w:val="00535875"/>
    <w:rsid w:val="00535993"/>
    <w:rsid w:val="00535A1F"/>
    <w:rsid w:val="00535F89"/>
    <w:rsid w:val="00535F95"/>
    <w:rsid w:val="00536064"/>
    <w:rsid w:val="005361DC"/>
    <w:rsid w:val="005362D7"/>
    <w:rsid w:val="005363D7"/>
    <w:rsid w:val="005364F2"/>
    <w:rsid w:val="0053679D"/>
    <w:rsid w:val="00536836"/>
    <w:rsid w:val="00536BC5"/>
    <w:rsid w:val="00536D38"/>
    <w:rsid w:val="00536D6B"/>
    <w:rsid w:val="00536E84"/>
    <w:rsid w:val="00536EDC"/>
    <w:rsid w:val="005373B4"/>
    <w:rsid w:val="00537444"/>
    <w:rsid w:val="005374E8"/>
    <w:rsid w:val="00537593"/>
    <w:rsid w:val="00537674"/>
    <w:rsid w:val="005379B8"/>
    <w:rsid w:val="00537AC7"/>
    <w:rsid w:val="00537CFA"/>
    <w:rsid w:val="00537F98"/>
    <w:rsid w:val="005400C6"/>
    <w:rsid w:val="005402B2"/>
    <w:rsid w:val="0054039C"/>
    <w:rsid w:val="0054079B"/>
    <w:rsid w:val="00540820"/>
    <w:rsid w:val="00540A2D"/>
    <w:rsid w:val="00540A33"/>
    <w:rsid w:val="00540AAB"/>
    <w:rsid w:val="00540AB0"/>
    <w:rsid w:val="00540BCD"/>
    <w:rsid w:val="00540D25"/>
    <w:rsid w:val="00540E4A"/>
    <w:rsid w:val="005410A5"/>
    <w:rsid w:val="0054184E"/>
    <w:rsid w:val="005419BD"/>
    <w:rsid w:val="00541A1F"/>
    <w:rsid w:val="00541BE3"/>
    <w:rsid w:val="00541E31"/>
    <w:rsid w:val="00541F4C"/>
    <w:rsid w:val="005422EE"/>
    <w:rsid w:val="00542302"/>
    <w:rsid w:val="005426B9"/>
    <w:rsid w:val="00542CF5"/>
    <w:rsid w:val="00542D08"/>
    <w:rsid w:val="005431E9"/>
    <w:rsid w:val="00543268"/>
    <w:rsid w:val="005432D5"/>
    <w:rsid w:val="00543309"/>
    <w:rsid w:val="005433E7"/>
    <w:rsid w:val="00543948"/>
    <w:rsid w:val="00543BDA"/>
    <w:rsid w:val="00543D21"/>
    <w:rsid w:val="00543D36"/>
    <w:rsid w:val="00543E44"/>
    <w:rsid w:val="00543EBC"/>
    <w:rsid w:val="00543EEA"/>
    <w:rsid w:val="00543F5B"/>
    <w:rsid w:val="00544436"/>
    <w:rsid w:val="0054452F"/>
    <w:rsid w:val="00544649"/>
    <w:rsid w:val="005446D6"/>
    <w:rsid w:val="00544BD0"/>
    <w:rsid w:val="00544F2A"/>
    <w:rsid w:val="00545314"/>
    <w:rsid w:val="005456E8"/>
    <w:rsid w:val="00545721"/>
    <w:rsid w:val="0054591F"/>
    <w:rsid w:val="0054596D"/>
    <w:rsid w:val="00545A99"/>
    <w:rsid w:val="00545B6F"/>
    <w:rsid w:val="00545CC4"/>
    <w:rsid w:val="00545ED8"/>
    <w:rsid w:val="00545FA4"/>
    <w:rsid w:val="00546630"/>
    <w:rsid w:val="00546677"/>
    <w:rsid w:val="00546679"/>
    <w:rsid w:val="0054684B"/>
    <w:rsid w:val="00546956"/>
    <w:rsid w:val="0054698A"/>
    <w:rsid w:val="00546C07"/>
    <w:rsid w:val="00546C11"/>
    <w:rsid w:val="00546ED7"/>
    <w:rsid w:val="00546F96"/>
    <w:rsid w:val="00546FF9"/>
    <w:rsid w:val="00547012"/>
    <w:rsid w:val="0054706F"/>
    <w:rsid w:val="00547257"/>
    <w:rsid w:val="00547268"/>
    <w:rsid w:val="0054735B"/>
    <w:rsid w:val="00547381"/>
    <w:rsid w:val="005473AB"/>
    <w:rsid w:val="0054749F"/>
    <w:rsid w:val="00547619"/>
    <w:rsid w:val="0054788E"/>
    <w:rsid w:val="00547B46"/>
    <w:rsid w:val="00547C67"/>
    <w:rsid w:val="00547EE4"/>
    <w:rsid w:val="0055005C"/>
    <w:rsid w:val="005503B7"/>
    <w:rsid w:val="0055049A"/>
    <w:rsid w:val="00550542"/>
    <w:rsid w:val="005505C2"/>
    <w:rsid w:val="00550847"/>
    <w:rsid w:val="00550A8A"/>
    <w:rsid w:val="00550CB2"/>
    <w:rsid w:val="00550F2F"/>
    <w:rsid w:val="00550F78"/>
    <w:rsid w:val="0055106F"/>
    <w:rsid w:val="00551382"/>
    <w:rsid w:val="00551483"/>
    <w:rsid w:val="005516C1"/>
    <w:rsid w:val="00551703"/>
    <w:rsid w:val="005517CF"/>
    <w:rsid w:val="00551819"/>
    <w:rsid w:val="00551BBA"/>
    <w:rsid w:val="00551BDA"/>
    <w:rsid w:val="00551D6F"/>
    <w:rsid w:val="00551E44"/>
    <w:rsid w:val="00551FA9"/>
    <w:rsid w:val="005521EE"/>
    <w:rsid w:val="00552233"/>
    <w:rsid w:val="0055246F"/>
    <w:rsid w:val="005524C8"/>
    <w:rsid w:val="00552532"/>
    <w:rsid w:val="0055260A"/>
    <w:rsid w:val="00552A52"/>
    <w:rsid w:val="00552AEA"/>
    <w:rsid w:val="00552B5C"/>
    <w:rsid w:val="00552D15"/>
    <w:rsid w:val="00552D69"/>
    <w:rsid w:val="00553155"/>
    <w:rsid w:val="00553364"/>
    <w:rsid w:val="005536BC"/>
    <w:rsid w:val="00553856"/>
    <w:rsid w:val="0055390F"/>
    <w:rsid w:val="0055395E"/>
    <w:rsid w:val="00553C3A"/>
    <w:rsid w:val="00553D53"/>
    <w:rsid w:val="00553E8E"/>
    <w:rsid w:val="005540CC"/>
    <w:rsid w:val="00554148"/>
    <w:rsid w:val="0055414C"/>
    <w:rsid w:val="0055417A"/>
    <w:rsid w:val="005541EA"/>
    <w:rsid w:val="00554261"/>
    <w:rsid w:val="005545C8"/>
    <w:rsid w:val="00554772"/>
    <w:rsid w:val="00554A59"/>
    <w:rsid w:val="00554A70"/>
    <w:rsid w:val="00554CD2"/>
    <w:rsid w:val="00554CDA"/>
    <w:rsid w:val="00554DAA"/>
    <w:rsid w:val="00554F77"/>
    <w:rsid w:val="00555026"/>
    <w:rsid w:val="00555117"/>
    <w:rsid w:val="00555329"/>
    <w:rsid w:val="0055532C"/>
    <w:rsid w:val="0055555A"/>
    <w:rsid w:val="00555728"/>
    <w:rsid w:val="005559DE"/>
    <w:rsid w:val="00555BCF"/>
    <w:rsid w:val="00555C0A"/>
    <w:rsid w:val="00555C4D"/>
    <w:rsid w:val="00555D9A"/>
    <w:rsid w:val="00555E54"/>
    <w:rsid w:val="005564BB"/>
    <w:rsid w:val="00556511"/>
    <w:rsid w:val="005566B9"/>
    <w:rsid w:val="005566C1"/>
    <w:rsid w:val="0055682D"/>
    <w:rsid w:val="00556C84"/>
    <w:rsid w:val="00556F58"/>
    <w:rsid w:val="00557005"/>
    <w:rsid w:val="00557193"/>
    <w:rsid w:val="005574B9"/>
    <w:rsid w:val="00557A23"/>
    <w:rsid w:val="00557C8D"/>
    <w:rsid w:val="00557CCA"/>
    <w:rsid w:val="0056035D"/>
    <w:rsid w:val="00560689"/>
    <w:rsid w:val="005607DA"/>
    <w:rsid w:val="00560A07"/>
    <w:rsid w:val="00560A7F"/>
    <w:rsid w:val="00560BB5"/>
    <w:rsid w:val="00560E6F"/>
    <w:rsid w:val="00560FC6"/>
    <w:rsid w:val="00561187"/>
    <w:rsid w:val="00561218"/>
    <w:rsid w:val="0056157A"/>
    <w:rsid w:val="005616E9"/>
    <w:rsid w:val="005618D3"/>
    <w:rsid w:val="00561963"/>
    <w:rsid w:val="00561A89"/>
    <w:rsid w:val="00561F3D"/>
    <w:rsid w:val="00562187"/>
    <w:rsid w:val="005621AE"/>
    <w:rsid w:val="00562239"/>
    <w:rsid w:val="00562286"/>
    <w:rsid w:val="00562490"/>
    <w:rsid w:val="005624F9"/>
    <w:rsid w:val="00562535"/>
    <w:rsid w:val="005626C1"/>
    <w:rsid w:val="00562CE9"/>
    <w:rsid w:val="00562EE0"/>
    <w:rsid w:val="00563188"/>
    <w:rsid w:val="0056334E"/>
    <w:rsid w:val="0056347D"/>
    <w:rsid w:val="00563698"/>
    <w:rsid w:val="00563707"/>
    <w:rsid w:val="0056370C"/>
    <w:rsid w:val="0056371D"/>
    <w:rsid w:val="00563D25"/>
    <w:rsid w:val="00563D38"/>
    <w:rsid w:val="00563F35"/>
    <w:rsid w:val="00563FC4"/>
    <w:rsid w:val="0056481C"/>
    <w:rsid w:val="00564850"/>
    <w:rsid w:val="00564C25"/>
    <w:rsid w:val="00564C75"/>
    <w:rsid w:val="00564D34"/>
    <w:rsid w:val="00564E52"/>
    <w:rsid w:val="005651F7"/>
    <w:rsid w:val="005654D6"/>
    <w:rsid w:val="00565687"/>
    <w:rsid w:val="005657F6"/>
    <w:rsid w:val="005658DF"/>
    <w:rsid w:val="0056590A"/>
    <w:rsid w:val="00565F0D"/>
    <w:rsid w:val="00565FC5"/>
    <w:rsid w:val="005660B6"/>
    <w:rsid w:val="00566167"/>
    <w:rsid w:val="00566354"/>
    <w:rsid w:val="0056641F"/>
    <w:rsid w:val="005664E2"/>
    <w:rsid w:val="0056659D"/>
    <w:rsid w:val="005665F9"/>
    <w:rsid w:val="005666B8"/>
    <w:rsid w:val="0056671B"/>
    <w:rsid w:val="00566765"/>
    <w:rsid w:val="0056678E"/>
    <w:rsid w:val="00566896"/>
    <w:rsid w:val="00566A63"/>
    <w:rsid w:val="00566CA3"/>
    <w:rsid w:val="00566E26"/>
    <w:rsid w:val="00566E45"/>
    <w:rsid w:val="00567703"/>
    <w:rsid w:val="0056778B"/>
    <w:rsid w:val="00567F69"/>
    <w:rsid w:val="005701C6"/>
    <w:rsid w:val="00570481"/>
    <w:rsid w:val="005704C2"/>
    <w:rsid w:val="005704EE"/>
    <w:rsid w:val="00570568"/>
    <w:rsid w:val="00570624"/>
    <w:rsid w:val="005706E7"/>
    <w:rsid w:val="00570748"/>
    <w:rsid w:val="005708CB"/>
    <w:rsid w:val="005709C5"/>
    <w:rsid w:val="00570A08"/>
    <w:rsid w:val="00570AA1"/>
    <w:rsid w:val="00570B6C"/>
    <w:rsid w:val="00570E64"/>
    <w:rsid w:val="00571466"/>
    <w:rsid w:val="00571499"/>
    <w:rsid w:val="0057165E"/>
    <w:rsid w:val="00571906"/>
    <w:rsid w:val="00571BC4"/>
    <w:rsid w:val="00571DBC"/>
    <w:rsid w:val="00571F0F"/>
    <w:rsid w:val="00571FF8"/>
    <w:rsid w:val="00572215"/>
    <w:rsid w:val="005723D9"/>
    <w:rsid w:val="00572401"/>
    <w:rsid w:val="0057268D"/>
    <w:rsid w:val="00572741"/>
    <w:rsid w:val="005727F2"/>
    <w:rsid w:val="00572852"/>
    <w:rsid w:val="00572966"/>
    <w:rsid w:val="005729CF"/>
    <w:rsid w:val="00572B70"/>
    <w:rsid w:val="00572F2D"/>
    <w:rsid w:val="00572F8B"/>
    <w:rsid w:val="00572FF9"/>
    <w:rsid w:val="00573016"/>
    <w:rsid w:val="005730F7"/>
    <w:rsid w:val="00573111"/>
    <w:rsid w:val="00573223"/>
    <w:rsid w:val="005733DA"/>
    <w:rsid w:val="00573429"/>
    <w:rsid w:val="00573762"/>
    <w:rsid w:val="0057378B"/>
    <w:rsid w:val="005737DE"/>
    <w:rsid w:val="00573A3C"/>
    <w:rsid w:val="00573BA8"/>
    <w:rsid w:val="00573BBC"/>
    <w:rsid w:val="00573D66"/>
    <w:rsid w:val="00573DEA"/>
    <w:rsid w:val="00573F52"/>
    <w:rsid w:val="00573FB7"/>
    <w:rsid w:val="00574091"/>
    <w:rsid w:val="0057409A"/>
    <w:rsid w:val="005740A1"/>
    <w:rsid w:val="00574245"/>
    <w:rsid w:val="00574360"/>
    <w:rsid w:val="00574510"/>
    <w:rsid w:val="00574720"/>
    <w:rsid w:val="00574785"/>
    <w:rsid w:val="00574845"/>
    <w:rsid w:val="005749AD"/>
    <w:rsid w:val="00574DC4"/>
    <w:rsid w:val="00574F2E"/>
    <w:rsid w:val="00574FA1"/>
    <w:rsid w:val="00575261"/>
    <w:rsid w:val="0057531A"/>
    <w:rsid w:val="005753C5"/>
    <w:rsid w:val="00575BED"/>
    <w:rsid w:val="00575DE5"/>
    <w:rsid w:val="00575FB6"/>
    <w:rsid w:val="00576080"/>
    <w:rsid w:val="005763CF"/>
    <w:rsid w:val="005765B0"/>
    <w:rsid w:val="00576685"/>
    <w:rsid w:val="0057679E"/>
    <w:rsid w:val="005767B3"/>
    <w:rsid w:val="00576A67"/>
    <w:rsid w:val="00576AED"/>
    <w:rsid w:val="00576CBD"/>
    <w:rsid w:val="005774E8"/>
    <w:rsid w:val="00577581"/>
    <w:rsid w:val="005779DF"/>
    <w:rsid w:val="005779EA"/>
    <w:rsid w:val="00577C51"/>
    <w:rsid w:val="00577CD3"/>
    <w:rsid w:val="00580538"/>
    <w:rsid w:val="005805F9"/>
    <w:rsid w:val="005807A9"/>
    <w:rsid w:val="005808A6"/>
    <w:rsid w:val="00580916"/>
    <w:rsid w:val="00580CAC"/>
    <w:rsid w:val="00580E03"/>
    <w:rsid w:val="00580E26"/>
    <w:rsid w:val="00581230"/>
    <w:rsid w:val="00581343"/>
    <w:rsid w:val="00581557"/>
    <w:rsid w:val="00581916"/>
    <w:rsid w:val="00581B13"/>
    <w:rsid w:val="00581BAB"/>
    <w:rsid w:val="00581C41"/>
    <w:rsid w:val="00581EB9"/>
    <w:rsid w:val="00581EF4"/>
    <w:rsid w:val="00582180"/>
    <w:rsid w:val="005821A6"/>
    <w:rsid w:val="00582329"/>
    <w:rsid w:val="005823A0"/>
    <w:rsid w:val="00582403"/>
    <w:rsid w:val="00582502"/>
    <w:rsid w:val="00582600"/>
    <w:rsid w:val="00582605"/>
    <w:rsid w:val="005827F3"/>
    <w:rsid w:val="005828DF"/>
    <w:rsid w:val="0058291C"/>
    <w:rsid w:val="00582992"/>
    <w:rsid w:val="00582BAD"/>
    <w:rsid w:val="00582BBF"/>
    <w:rsid w:val="00582C0F"/>
    <w:rsid w:val="00582C6A"/>
    <w:rsid w:val="00582D36"/>
    <w:rsid w:val="00582DA9"/>
    <w:rsid w:val="00582EB6"/>
    <w:rsid w:val="00582F3D"/>
    <w:rsid w:val="00583150"/>
    <w:rsid w:val="00583313"/>
    <w:rsid w:val="005833ED"/>
    <w:rsid w:val="00583487"/>
    <w:rsid w:val="005834C2"/>
    <w:rsid w:val="005835C9"/>
    <w:rsid w:val="00583660"/>
    <w:rsid w:val="005839A4"/>
    <w:rsid w:val="00583BA0"/>
    <w:rsid w:val="00583C14"/>
    <w:rsid w:val="00583C38"/>
    <w:rsid w:val="00583FF5"/>
    <w:rsid w:val="00584167"/>
    <w:rsid w:val="005847F0"/>
    <w:rsid w:val="00584D78"/>
    <w:rsid w:val="005851D2"/>
    <w:rsid w:val="00585336"/>
    <w:rsid w:val="005857F4"/>
    <w:rsid w:val="00585AC2"/>
    <w:rsid w:val="00585FF8"/>
    <w:rsid w:val="00586062"/>
    <w:rsid w:val="00586088"/>
    <w:rsid w:val="00586128"/>
    <w:rsid w:val="0058634F"/>
    <w:rsid w:val="0058641E"/>
    <w:rsid w:val="005864F3"/>
    <w:rsid w:val="0058655F"/>
    <w:rsid w:val="005865A5"/>
    <w:rsid w:val="00586699"/>
    <w:rsid w:val="005866EA"/>
    <w:rsid w:val="0058677A"/>
    <w:rsid w:val="00586896"/>
    <w:rsid w:val="00586914"/>
    <w:rsid w:val="00586D1C"/>
    <w:rsid w:val="00586D7B"/>
    <w:rsid w:val="005871D8"/>
    <w:rsid w:val="005871EA"/>
    <w:rsid w:val="005873A9"/>
    <w:rsid w:val="00587442"/>
    <w:rsid w:val="00587477"/>
    <w:rsid w:val="0058756F"/>
    <w:rsid w:val="005877E3"/>
    <w:rsid w:val="0058786E"/>
    <w:rsid w:val="005878B6"/>
    <w:rsid w:val="00587A1B"/>
    <w:rsid w:val="00587A2A"/>
    <w:rsid w:val="00587CE9"/>
    <w:rsid w:val="00587D7B"/>
    <w:rsid w:val="00587D87"/>
    <w:rsid w:val="00587E5C"/>
    <w:rsid w:val="00587F75"/>
    <w:rsid w:val="0059028C"/>
    <w:rsid w:val="0059071F"/>
    <w:rsid w:val="00590742"/>
    <w:rsid w:val="00590784"/>
    <w:rsid w:val="0059088C"/>
    <w:rsid w:val="005908BC"/>
    <w:rsid w:val="005908DF"/>
    <w:rsid w:val="005909E5"/>
    <w:rsid w:val="00590B03"/>
    <w:rsid w:val="00590C55"/>
    <w:rsid w:val="00590D3F"/>
    <w:rsid w:val="00590F11"/>
    <w:rsid w:val="005910A6"/>
    <w:rsid w:val="0059122C"/>
    <w:rsid w:val="00591365"/>
    <w:rsid w:val="00591394"/>
    <w:rsid w:val="005913D1"/>
    <w:rsid w:val="00591482"/>
    <w:rsid w:val="00591596"/>
    <w:rsid w:val="0059163E"/>
    <w:rsid w:val="00591672"/>
    <w:rsid w:val="0059176A"/>
    <w:rsid w:val="00591797"/>
    <w:rsid w:val="005919B9"/>
    <w:rsid w:val="005919F3"/>
    <w:rsid w:val="00591A6B"/>
    <w:rsid w:val="00591BF5"/>
    <w:rsid w:val="00591C17"/>
    <w:rsid w:val="00591E55"/>
    <w:rsid w:val="00591ED4"/>
    <w:rsid w:val="00591FCF"/>
    <w:rsid w:val="00592161"/>
    <w:rsid w:val="005926B1"/>
    <w:rsid w:val="005926E2"/>
    <w:rsid w:val="00592848"/>
    <w:rsid w:val="005929C0"/>
    <w:rsid w:val="00592AF6"/>
    <w:rsid w:val="00592D49"/>
    <w:rsid w:val="005936EF"/>
    <w:rsid w:val="00593800"/>
    <w:rsid w:val="00593888"/>
    <w:rsid w:val="00593C9F"/>
    <w:rsid w:val="00593DA1"/>
    <w:rsid w:val="00593DAB"/>
    <w:rsid w:val="00593EBE"/>
    <w:rsid w:val="00594054"/>
    <w:rsid w:val="005940CD"/>
    <w:rsid w:val="00594288"/>
    <w:rsid w:val="005944DE"/>
    <w:rsid w:val="005945A0"/>
    <w:rsid w:val="00594AA3"/>
    <w:rsid w:val="00594CFB"/>
    <w:rsid w:val="00594DEE"/>
    <w:rsid w:val="00594E76"/>
    <w:rsid w:val="00594ECC"/>
    <w:rsid w:val="005950A5"/>
    <w:rsid w:val="005951E6"/>
    <w:rsid w:val="0059522C"/>
    <w:rsid w:val="0059528E"/>
    <w:rsid w:val="005953CB"/>
    <w:rsid w:val="0059549E"/>
    <w:rsid w:val="005955E5"/>
    <w:rsid w:val="0059575B"/>
    <w:rsid w:val="00595C73"/>
    <w:rsid w:val="00596089"/>
    <w:rsid w:val="00596179"/>
    <w:rsid w:val="005962A6"/>
    <w:rsid w:val="0059645B"/>
    <w:rsid w:val="00596AAB"/>
    <w:rsid w:val="00596C60"/>
    <w:rsid w:val="00596E3A"/>
    <w:rsid w:val="005977D4"/>
    <w:rsid w:val="005979E2"/>
    <w:rsid w:val="00597ACC"/>
    <w:rsid w:val="00597D5C"/>
    <w:rsid w:val="005A0033"/>
    <w:rsid w:val="005A006C"/>
    <w:rsid w:val="005A025B"/>
    <w:rsid w:val="005A0361"/>
    <w:rsid w:val="005A03CB"/>
    <w:rsid w:val="005A03EA"/>
    <w:rsid w:val="005A0493"/>
    <w:rsid w:val="005A074B"/>
    <w:rsid w:val="005A0D03"/>
    <w:rsid w:val="005A0F3E"/>
    <w:rsid w:val="005A0F75"/>
    <w:rsid w:val="005A11F8"/>
    <w:rsid w:val="005A126B"/>
    <w:rsid w:val="005A153E"/>
    <w:rsid w:val="005A1556"/>
    <w:rsid w:val="005A1566"/>
    <w:rsid w:val="005A16BF"/>
    <w:rsid w:val="005A1A70"/>
    <w:rsid w:val="005A1D5B"/>
    <w:rsid w:val="005A1E70"/>
    <w:rsid w:val="005A1F3A"/>
    <w:rsid w:val="005A1F93"/>
    <w:rsid w:val="005A204A"/>
    <w:rsid w:val="005A2731"/>
    <w:rsid w:val="005A2D88"/>
    <w:rsid w:val="005A2E40"/>
    <w:rsid w:val="005A2F89"/>
    <w:rsid w:val="005A3271"/>
    <w:rsid w:val="005A327B"/>
    <w:rsid w:val="005A3384"/>
    <w:rsid w:val="005A35EE"/>
    <w:rsid w:val="005A3786"/>
    <w:rsid w:val="005A38BC"/>
    <w:rsid w:val="005A3B16"/>
    <w:rsid w:val="005A3F73"/>
    <w:rsid w:val="005A3F9E"/>
    <w:rsid w:val="005A4411"/>
    <w:rsid w:val="005A4655"/>
    <w:rsid w:val="005A485F"/>
    <w:rsid w:val="005A49E2"/>
    <w:rsid w:val="005A4A75"/>
    <w:rsid w:val="005A4AF0"/>
    <w:rsid w:val="005A4B54"/>
    <w:rsid w:val="005A4C31"/>
    <w:rsid w:val="005A4F7D"/>
    <w:rsid w:val="005A50B6"/>
    <w:rsid w:val="005A5167"/>
    <w:rsid w:val="005A5507"/>
    <w:rsid w:val="005A5783"/>
    <w:rsid w:val="005A593D"/>
    <w:rsid w:val="005A5D57"/>
    <w:rsid w:val="005A5DAE"/>
    <w:rsid w:val="005A5E28"/>
    <w:rsid w:val="005A5EC1"/>
    <w:rsid w:val="005A5FF4"/>
    <w:rsid w:val="005A62BE"/>
    <w:rsid w:val="005A62DF"/>
    <w:rsid w:val="005A66D8"/>
    <w:rsid w:val="005A689D"/>
    <w:rsid w:val="005A68CA"/>
    <w:rsid w:val="005A68DB"/>
    <w:rsid w:val="005A69AF"/>
    <w:rsid w:val="005A6A4C"/>
    <w:rsid w:val="005A6C3B"/>
    <w:rsid w:val="005A6C6A"/>
    <w:rsid w:val="005A6D29"/>
    <w:rsid w:val="005A6F59"/>
    <w:rsid w:val="005A6FC5"/>
    <w:rsid w:val="005A7201"/>
    <w:rsid w:val="005A753C"/>
    <w:rsid w:val="005A7573"/>
    <w:rsid w:val="005A75E5"/>
    <w:rsid w:val="005A7607"/>
    <w:rsid w:val="005A7650"/>
    <w:rsid w:val="005A7666"/>
    <w:rsid w:val="005A7738"/>
    <w:rsid w:val="005A7816"/>
    <w:rsid w:val="005A7918"/>
    <w:rsid w:val="005A79E9"/>
    <w:rsid w:val="005B01CD"/>
    <w:rsid w:val="005B03D7"/>
    <w:rsid w:val="005B05AA"/>
    <w:rsid w:val="005B0645"/>
    <w:rsid w:val="005B06BD"/>
    <w:rsid w:val="005B0B9D"/>
    <w:rsid w:val="005B0DB9"/>
    <w:rsid w:val="005B1360"/>
    <w:rsid w:val="005B14C1"/>
    <w:rsid w:val="005B158B"/>
    <w:rsid w:val="005B1907"/>
    <w:rsid w:val="005B1926"/>
    <w:rsid w:val="005B19B4"/>
    <w:rsid w:val="005B1AC6"/>
    <w:rsid w:val="005B20BD"/>
    <w:rsid w:val="005B22E6"/>
    <w:rsid w:val="005B2568"/>
    <w:rsid w:val="005B2958"/>
    <w:rsid w:val="005B2AF0"/>
    <w:rsid w:val="005B3305"/>
    <w:rsid w:val="005B365D"/>
    <w:rsid w:val="005B36B8"/>
    <w:rsid w:val="005B375C"/>
    <w:rsid w:val="005B39EF"/>
    <w:rsid w:val="005B3C2D"/>
    <w:rsid w:val="005B3CF0"/>
    <w:rsid w:val="005B3D91"/>
    <w:rsid w:val="005B3F39"/>
    <w:rsid w:val="005B4026"/>
    <w:rsid w:val="005B42EB"/>
    <w:rsid w:val="005B42EC"/>
    <w:rsid w:val="005B4417"/>
    <w:rsid w:val="005B47D8"/>
    <w:rsid w:val="005B492C"/>
    <w:rsid w:val="005B49EA"/>
    <w:rsid w:val="005B4A97"/>
    <w:rsid w:val="005B4AE5"/>
    <w:rsid w:val="005B4CC4"/>
    <w:rsid w:val="005B4D0C"/>
    <w:rsid w:val="005B4E0A"/>
    <w:rsid w:val="005B5110"/>
    <w:rsid w:val="005B58B8"/>
    <w:rsid w:val="005B59B8"/>
    <w:rsid w:val="005B5CD5"/>
    <w:rsid w:val="005B5CFC"/>
    <w:rsid w:val="005B5E5A"/>
    <w:rsid w:val="005B6091"/>
    <w:rsid w:val="005B60A8"/>
    <w:rsid w:val="005B60B2"/>
    <w:rsid w:val="005B6351"/>
    <w:rsid w:val="005B63B0"/>
    <w:rsid w:val="005B65BD"/>
    <w:rsid w:val="005B674F"/>
    <w:rsid w:val="005B6765"/>
    <w:rsid w:val="005B67C1"/>
    <w:rsid w:val="005B6AB0"/>
    <w:rsid w:val="005B6B62"/>
    <w:rsid w:val="005B6C73"/>
    <w:rsid w:val="005B6DAF"/>
    <w:rsid w:val="005B6F2C"/>
    <w:rsid w:val="005B703B"/>
    <w:rsid w:val="005B7135"/>
    <w:rsid w:val="005B71C5"/>
    <w:rsid w:val="005B727A"/>
    <w:rsid w:val="005B72A9"/>
    <w:rsid w:val="005B75EF"/>
    <w:rsid w:val="005B765A"/>
    <w:rsid w:val="005B77D7"/>
    <w:rsid w:val="005B793B"/>
    <w:rsid w:val="005B79BF"/>
    <w:rsid w:val="005B7A52"/>
    <w:rsid w:val="005B7B1D"/>
    <w:rsid w:val="005B7BC9"/>
    <w:rsid w:val="005B7D50"/>
    <w:rsid w:val="005B7EB8"/>
    <w:rsid w:val="005C0423"/>
    <w:rsid w:val="005C074A"/>
    <w:rsid w:val="005C0932"/>
    <w:rsid w:val="005C0CDE"/>
    <w:rsid w:val="005C0E57"/>
    <w:rsid w:val="005C0ECE"/>
    <w:rsid w:val="005C0F24"/>
    <w:rsid w:val="005C1143"/>
    <w:rsid w:val="005C11F8"/>
    <w:rsid w:val="005C13BC"/>
    <w:rsid w:val="005C1548"/>
    <w:rsid w:val="005C15CA"/>
    <w:rsid w:val="005C1614"/>
    <w:rsid w:val="005C1668"/>
    <w:rsid w:val="005C16CC"/>
    <w:rsid w:val="005C1A46"/>
    <w:rsid w:val="005C1DE0"/>
    <w:rsid w:val="005C2015"/>
    <w:rsid w:val="005C21C0"/>
    <w:rsid w:val="005C23E8"/>
    <w:rsid w:val="005C2500"/>
    <w:rsid w:val="005C2894"/>
    <w:rsid w:val="005C2988"/>
    <w:rsid w:val="005C2EE6"/>
    <w:rsid w:val="005C2FA4"/>
    <w:rsid w:val="005C3315"/>
    <w:rsid w:val="005C3343"/>
    <w:rsid w:val="005C3385"/>
    <w:rsid w:val="005C341A"/>
    <w:rsid w:val="005C3614"/>
    <w:rsid w:val="005C3AC4"/>
    <w:rsid w:val="005C3AD3"/>
    <w:rsid w:val="005C3BC9"/>
    <w:rsid w:val="005C3C6B"/>
    <w:rsid w:val="005C4273"/>
    <w:rsid w:val="005C4347"/>
    <w:rsid w:val="005C4363"/>
    <w:rsid w:val="005C4597"/>
    <w:rsid w:val="005C46F3"/>
    <w:rsid w:val="005C48AB"/>
    <w:rsid w:val="005C4A28"/>
    <w:rsid w:val="005C4A4B"/>
    <w:rsid w:val="005C4B22"/>
    <w:rsid w:val="005C4C93"/>
    <w:rsid w:val="005C4D17"/>
    <w:rsid w:val="005C4F8A"/>
    <w:rsid w:val="005C5819"/>
    <w:rsid w:val="005C593D"/>
    <w:rsid w:val="005C5CBA"/>
    <w:rsid w:val="005C5D25"/>
    <w:rsid w:val="005C6091"/>
    <w:rsid w:val="005C6332"/>
    <w:rsid w:val="005C6436"/>
    <w:rsid w:val="005C657B"/>
    <w:rsid w:val="005C65A4"/>
    <w:rsid w:val="005C660D"/>
    <w:rsid w:val="005C66D9"/>
    <w:rsid w:val="005C676A"/>
    <w:rsid w:val="005C6933"/>
    <w:rsid w:val="005C6CAD"/>
    <w:rsid w:val="005C6F1F"/>
    <w:rsid w:val="005C7280"/>
    <w:rsid w:val="005C734A"/>
    <w:rsid w:val="005C7570"/>
    <w:rsid w:val="005C769A"/>
    <w:rsid w:val="005C77D6"/>
    <w:rsid w:val="005C7A19"/>
    <w:rsid w:val="005C7D33"/>
    <w:rsid w:val="005C7DC1"/>
    <w:rsid w:val="005D02B7"/>
    <w:rsid w:val="005D040F"/>
    <w:rsid w:val="005D06D2"/>
    <w:rsid w:val="005D0B14"/>
    <w:rsid w:val="005D0DAF"/>
    <w:rsid w:val="005D0FE9"/>
    <w:rsid w:val="005D1072"/>
    <w:rsid w:val="005D1234"/>
    <w:rsid w:val="005D17E7"/>
    <w:rsid w:val="005D19CE"/>
    <w:rsid w:val="005D1C2F"/>
    <w:rsid w:val="005D1D85"/>
    <w:rsid w:val="005D1DDE"/>
    <w:rsid w:val="005D1F38"/>
    <w:rsid w:val="005D1F87"/>
    <w:rsid w:val="005D23C0"/>
    <w:rsid w:val="005D246A"/>
    <w:rsid w:val="005D2F2E"/>
    <w:rsid w:val="005D3197"/>
    <w:rsid w:val="005D32C0"/>
    <w:rsid w:val="005D32F7"/>
    <w:rsid w:val="005D33C9"/>
    <w:rsid w:val="005D33CF"/>
    <w:rsid w:val="005D3707"/>
    <w:rsid w:val="005D3770"/>
    <w:rsid w:val="005D38CB"/>
    <w:rsid w:val="005D3992"/>
    <w:rsid w:val="005D3CB2"/>
    <w:rsid w:val="005D3E7A"/>
    <w:rsid w:val="005D41D1"/>
    <w:rsid w:val="005D433E"/>
    <w:rsid w:val="005D4808"/>
    <w:rsid w:val="005D4998"/>
    <w:rsid w:val="005D4BEE"/>
    <w:rsid w:val="005D4CB7"/>
    <w:rsid w:val="005D4E4B"/>
    <w:rsid w:val="005D50A0"/>
    <w:rsid w:val="005D54CF"/>
    <w:rsid w:val="005D5741"/>
    <w:rsid w:val="005D5758"/>
    <w:rsid w:val="005D580D"/>
    <w:rsid w:val="005D589B"/>
    <w:rsid w:val="005D5B7A"/>
    <w:rsid w:val="005D5D86"/>
    <w:rsid w:val="005D5DA9"/>
    <w:rsid w:val="005D5F12"/>
    <w:rsid w:val="005D5F41"/>
    <w:rsid w:val="005D5F4F"/>
    <w:rsid w:val="005D5F86"/>
    <w:rsid w:val="005D5FB4"/>
    <w:rsid w:val="005D612E"/>
    <w:rsid w:val="005D61FB"/>
    <w:rsid w:val="005D62AC"/>
    <w:rsid w:val="005D62FA"/>
    <w:rsid w:val="005D648D"/>
    <w:rsid w:val="005D659D"/>
    <w:rsid w:val="005D65F8"/>
    <w:rsid w:val="005D666B"/>
    <w:rsid w:val="005D689F"/>
    <w:rsid w:val="005D6A42"/>
    <w:rsid w:val="005D6B1A"/>
    <w:rsid w:val="005D6B94"/>
    <w:rsid w:val="005D6C21"/>
    <w:rsid w:val="005D6DAD"/>
    <w:rsid w:val="005D6F10"/>
    <w:rsid w:val="005D7047"/>
    <w:rsid w:val="005D7058"/>
    <w:rsid w:val="005D722F"/>
    <w:rsid w:val="005D742C"/>
    <w:rsid w:val="005D7B8C"/>
    <w:rsid w:val="005D7BB4"/>
    <w:rsid w:val="005D7D30"/>
    <w:rsid w:val="005D7D3D"/>
    <w:rsid w:val="005D7E21"/>
    <w:rsid w:val="005D7F6C"/>
    <w:rsid w:val="005E004E"/>
    <w:rsid w:val="005E02CE"/>
    <w:rsid w:val="005E0405"/>
    <w:rsid w:val="005E0435"/>
    <w:rsid w:val="005E052A"/>
    <w:rsid w:val="005E0534"/>
    <w:rsid w:val="005E053D"/>
    <w:rsid w:val="005E06D2"/>
    <w:rsid w:val="005E08F8"/>
    <w:rsid w:val="005E0D5C"/>
    <w:rsid w:val="005E0E83"/>
    <w:rsid w:val="005E108C"/>
    <w:rsid w:val="005E15C1"/>
    <w:rsid w:val="005E16A3"/>
    <w:rsid w:val="005E1A85"/>
    <w:rsid w:val="005E1B06"/>
    <w:rsid w:val="005E1E12"/>
    <w:rsid w:val="005E1F10"/>
    <w:rsid w:val="005E1F23"/>
    <w:rsid w:val="005E2170"/>
    <w:rsid w:val="005E285B"/>
    <w:rsid w:val="005E2A46"/>
    <w:rsid w:val="005E2AA7"/>
    <w:rsid w:val="005E2B00"/>
    <w:rsid w:val="005E2B86"/>
    <w:rsid w:val="005E2C72"/>
    <w:rsid w:val="005E2D39"/>
    <w:rsid w:val="005E2E67"/>
    <w:rsid w:val="005E2EE7"/>
    <w:rsid w:val="005E301F"/>
    <w:rsid w:val="005E3112"/>
    <w:rsid w:val="005E3231"/>
    <w:rsid w:val="005E3451"/>
    <w:rsid w:val="005E35B0"/>
    <w:rsid w:val="005E3620"/>
    <w:rsid w:val="005E385D"/>
    <w:rsid w:val="005E3D37"/>
    <w:rsid w:val="005E3ED4"/>
    <w:rsid w:val="005E3EF5"/>
    <w:rsid w:val="005E41A9"/>
    <w:rsid w:val="005E44D2"/>
    <w:rsid w:val="005E459D"/>
    <w:rsid w:val="005E47AE"/>
    <w:rsid w:val="005E4D55"/>
    <w:rsid w:val="005E4D94"/>
    <w:rsid w:val="005E4EAA"/>
    <w:rsid w:val="005E51FC"/>
    <w:rsid w:val="005E52E6"/>
    <w:rsid w:val="005E5362"/>
    <w:rsid w:val="005E53D1"/>
    <w:rsid w:val="005E54FF"/>
    <w:rsid w:val="005E5519"/>
    <w:rsid w:val="005E5639"/>
    <w:rsid w:val="005E5C35"/>
    <w:rsid w:val="005E5D0E"/>
    <w:rsid w:val="005E645E"/>
    <w:rsid w:val="005E64B3"/>
    <w:rsid w:val="005E64EA"/>
    <w:rsid w:val="005E65CD"/>
    <w:rsid w:val="005E6720"/>
    <w:rsid w:val="005E6746"/>
    <w:rsid w:val="005E6A6B"/>
    <w:rsid w:val="005E6C3B"/>
    <w:rsid w:val="005E6D51"/>
    <w:rsid w:val="005E6EDA"/>
    <w:rsid w:val="005E70EF"/>
    <w:rsid w:val="005E73A3"/>
    <w:rsid w:val="005E7403"/>
    <w:rsid w:val="005E7451"/>
    <w:rsid w:val="005E74AC"/>
    <w:rsid w:val="005E7704"/>
    <w:rsid w:val="005E7713"/>
    <w:rsid w:val="005E77B1"/>
    <w:rsid w:val="005E7BF2"/>
    <w:rsid w:val="005E7CD9"/>
    <w:rsid w:val="005E7D64"/>
    <w:rsid w:val="005E7E68"/>
    <w:rsid w:val="005E7F14"/>
    <w:rsid w:val="005E7F29"/>
    <w:rsid w:val="005F00C8"/>
    <w:rsid w:val="005F028F"/>
    <w:rsid w:val="005F0300"/>
    <w:rsid w:val="005F0423"/>
    <w:rsid w:val="005F0584"/>
    <w:rsid w:val="005F07AA"/>
    <w:rsid w:val="005F0966"/>
    <w:rsid w:val="005F0A14"/>
    <w:rsid w:val="005F0A8F"/>
    <w:rsid w:val="005F0ABC"/>
    <w:rsid w:val="005F0B8F"/>
    <w:rsid w:val="005F0CB9"/>
    <w:rsid w:val="005F0EB8"/>
    <w:rsid w:val="005F1146"/>
    <w:rsid w:val="005F133C"/>
    <w:rsid w:val="005F135F"/>
    <w:rsid w:val="005F1440"/>
    <w:rsid w:val="005F1546"/>
    <w:rsid w:val="005F1A9B"/>
    <w:rsid w:val="005F1B2C"/>
    <w:rsid w:val="005F1B35"/>
    <w:rsid w:val="005F1B58"/>
    <w:rsid w:val="005F1CBD"/>
    <w:rsid w:val="005F2017"/>
    <w:rsid w:val="005F20FE"/>
    <w:rsid w:val="005F2343"/>
    <w:rsid w:val="005F2504"/>
    <w:rsid w:val="005F26F3"/>
    <w:rsid w:val="005F27ED"/>
    <w:rsid w:val="005F29B7"/>
    <w:rsid w:val="005F2A6C"/>
    <w:rsid w:val="005F2D5B"/>
    <w:rsid w:val="005F2F51"/>
    <w:rsid w:val="005F342C"/>
    <w:rsid w:val="005F3431"/>
    <w:rsid w:val="005F3551"/>
    <w:rsid w:val="005F3647"/>
    <w:rsid w:val="005F3649"/>
    <w:rsid w:val="005F369F"/>
    <w:rsid w:val="005F3753"/>
    <w:rsid w:val="005F3992"/>
    <w:rsid w:val="005F3A95"/>
    <w:rsid w:val="005F3B93"/>
    <w:rsid w:val="005F42B0"/>
    <w:rsid w:val="005F4348"/>
    <w:rsid w:val="005F4563"/>
    <w:rsid w:val="005F4630"/>
    <w:rsid w:val="005F4746"/>
    <w:rsid w:val="005F47AD"/>
    <w:rsid w:val="005F480A"/>
    <w:rsid w:val="005F4AF8"/>
    <w:rsid w:val="005F4C4B"/>
    <w:rsid w:val="005F4DEE"/>
    <w:rsid w:val="005F4F32"/>
    <w:rsid w:val="005F4F3B"/>
    <w:rsid w:val="005F4FCD"/>
    <w:rsid w:val="005F5047"/>
    <w:rsid w:val="005F50C6"/>
    <w:rsid w:val="005F5269"/>
    <w:rsid w:val="005F58FE"/>
    <w:rsid w:val="005F5A01"/>
    <w:rsid w:val="005F5E20"/>
    <w:rsid w:val="005F5E54"/>
    <w:rsid w:val="005F5EC2"/>
    <w:rsid w:val="005F5FD5"/>
    <w:rsid w:val="005F6063"/>
    <w:rsid w:val="005F62B5"/>
    <w:rsid w:val="005F62C3"/>
    <w:rsid w:val="005F6840"/>
    <w:rsid w:val="005F68D7"/>
    <w:rsid w:val="005F6A59"/>
    <w:rsid w:val="005F6B71"/>
    <w:rsid w:val="005F6DCE"/>
    <w:rsid w:val="005F715C"/>
    <w:rsid w:val="005F7161"/>
    <w:rsid w:val="005F7532"/>
    <w:rsid w:val="005F753F"/>
    <w:rsid w:val="005F7631"/>
    <w:rsid w:val="005F7808"/>
    <w:rsid w:val="005F7947"/>
    <w:rsid w:val="005F7DF9"/>
    <w:rsid w:val="00600014"/>
    <w:rsid w:val="006000D0"/>
    <w:rsid w:val="00600207"/>
    <w:rsid w:val="0060020E"/>
    <w:rsid w:val="00600648"/>
    <w:rsid w:val="006007F3"/>
    <w:rsid w:val="0060082F"/>
    <w:rsid w:val="0060096F"/>
    <w:rsid w:val="00600BF9"/>
    <w:rsid w:val="00600F3D"/>
    <w:rsid w:val="00600FD2"/>
    <w:rsid w:val="00601133"/>
    <w:rsid w:val="006012C8"/>
    <w:rsid w:val="006012FB"/>
    <w:rsid w:val="00601375"/>
    <w:rsid w:val="00601433"/>
    <w:rsid w:val="0060197A"/>
    <w:rsid w:val="006019DF"/>
    <w:rsid w:val="00601AEF"/>
    <w:rsid w:val="00601C4C"/>
    <w:rsid w:val="00601F63"/>
    <w:rsid w:val="00601FE9"/>
    <w:rsid w:val="006020AC"/>
    <w:rsid w:val="0060215B"/>
    <w:rsid w:val="0060245B"/>
    <w:rsid w:val="00602756"/>
    <w:rsid w:val="006029FC"/>
    <w:rsid w:val="00602B40"/>
    <w:rsid w:val="00602DAA"/>
    <w:rsid w:val="00602E34"/>
    <w:rsid w:val="00602E99"/>
    <w:rsid w:val="00602F5E"/>
    <w:rsid w:val="00602F9B"/>
    <w:rsid w:val="00603158"/>
    <w:rsid w:val="006031E2"/>
    <w:rsid w:val="00603440"/>
    <w:rsid w:val="00603536"/>
    <w:rsid w:val="006035C2"/>
    <w:rsid w:val="006037A1"/>
    <w:rsid w:val="0060397D"/>
    <w:rsid w:val="00603C55"/>
    <w:rsid w:val="00603C6E"/>
    <w:rsid w:val="00603C72"/>
    <w:rsid w:val="00603DA2"/>
    <w:rsid w:val="00604202"/>
    <w:rsid w:val="00604336"/>
    <w:rsid w:val="006043CF"/>
    <w:rsid w:val="00604406"/>
    <w:rsid w:val="0060442A"/>
    <w:rsid w:val="0060454A"/>
    <w:rsid w:val="00604984"/>
    <w:rsid w:val="00604A87"/>
    <w:rsid w:val="00604ACD"/>
    <w:rsid w:val="00604B99"/>
    <w:rsid w:val="00604DF6"/>
    <w:rsid w:val="00604E09"/>
    <w:rsid w:val="00604EB4"/>
    <w:rsid w:val="0060501C"/>
    <w:rsid w:val="00605072"/>
    <w:rsid w:val="00605378"/>
    <w:rsid w:val="00605395"/>
    <w:rsid w:val="006053F7"/>
    <w:rsid w:val="006055B6"/>
    <w:rsid w:val="006056CE"/>
    <w:rsid w:val="006059D5"/>
    <w:rsid w:val="00605A3C"/>
    <w:rsid w:val="00605A72"/>
    <w:rsid w:val="00605A77"/>
    <w:rsid w:val="00605C79"/>
    <w:rsid w:val="00605CA4"/>
    <w:rsid w:val="00605D3F"/>
    <w:rsid w:val="00605D64"/>
    <w:rsid w:val="00605E1A"/>
    <w:rsid w:val="0060604E"/>
    <w:rsid w:val="00606278"/>
    <w:rsid w:val="00606314"/>
    <w:rsid w:val="0060658B"/>
    <w:rsid w:val="0060677E"/>
    <w:rsid w:val="006067C7"/>
    <w:rsid w:val="00606A38"/>
    <w:rsid w:val="00606C8D"/>
    <w:rsid w:val="0060705C"/>
    <w:rsid w:val="00607085"/>
    <w:rsid w:val="006071BE"/>
    <w:rsid w:val="0060727E"/>
    <w:rsid w:val="00607343"/>
    <w:rsid w:val="0060764F"/>
    <w:rsid w:val="00607781"/>
    <w:rsid w:val="00607964"/>
    <w:rsid w:val="00607AEC"/>
    <w:rsid w:val="00607D4E"/>
    <w:rsid w:val="00607DBC"/>
    <w:rsid w:val="00607FCD"/>
    <w:rsid w:val="00610133"/>
    <w:rsid w:val="00610472"/>
    <w:rsid w:val="00610473"/>
    <w:rsid w:val="00610542"/>
    <w:rsid w:val="006105C4"/>
    <w:rsid w:val="0061065C"/>
    <w:rsid w:val="0061088D"/>
    <w:rsid w:val="006109D9"/>
    <w:rsid w:val="00610AA0"/>
    <w:rsid w:val="00610B9B"/>
    <w:rsid w:val="00610BC4"/>
    <w:rsid w:val="00610BD4"/>
    <w:rsid w:val="00610C78"/>
    <w:rsid w:val="00610CE0"/>
    <w:rsid w:val="00610DC7"/>
    <w:rsid w:val="00610F2F"/>
    <w:rsid w:val="006113F4"/>
    <w:rsid w:val="00611596"/>
    <w:rsid w:val="006116ED"/>
    <w:rsid w:val="00611929"/>
    <w:rsid w:val="00611AE7"/>
    <w:rsid w:val="00611B6D"/>
    <w:rsid w:val="00611BA7"/>
    <w:rsid w:val="00611BBF"/>
    <w:rsid w:val="00611CAC"/>
    <w:rsid w:val="0061221E"/>
    <w:rsid w:val="00612229"/>
    <w:rsid w:val="0061244A"/>
    <w:rsid w:val="006124EC"/>
    <w:rsid w:val="00612995"/>
    <w:rsid w:val="006129F9"/>
    <w:rsid w:val="00612ACE"/>
    <w:rsid w:val="00612C27"/>
    <w:rsid w:val="00612D71"/>
    <w:rsid w:val="00612E1C"/>
    <w:rsid w:val="00613003"/>
    <w:rsid w:val="00613336"/>
    <w:rsid w:val="00613422"/>
    <w:rsid w:val="00613573"/>
    <w:rsid w:val="00613879"/>
    <w:rsid w:val="00613918"/>
    <w:rsid w:val="0061395B"/>
    <w:rsid w:val="00613B8C"/>
    <w:rsid w:val="00613F05"/>
    <w:rsid w:val="00613FA6"/>
    <w:rsid w:val="00614077"/>
    <w:rsid w:val="0061407B"/>
    <w:rsid w:val="00614093"/>
    <w:rsid w:val="00614207"/>
    <w:rsid w:val="00614374"/>
    <w:rsid w:val="00614480"/>
    <w:rsid w:val="0061483B"/>
    <w:rsid w:val="00614B36"/>
    <w:rsid w:val="00614B60"/>
    <w:rsid w:val="00614B7B"/>
    <w:rsid w:val="00614D1E"/>
    <w:rsid w:val="00615060"/>
    <w:rsid w:val="0061529A"/>
    <w:rsid w:val="00615341"/>
    <w:rsid w:val="00615405"/>
    <w:rsid w:val="006156EB"/>
    <w:rsid w:val="006157B5"/>
    <w:rsid w:val="00615841"/>
    <w:rsid w:val="006158A6"/>
    <w:rsid w:val="00615943"/>
    <w:rsid w:val="00615991"/>
    <w:rsid w:val="00615E8C"/>
    <w:rsid w:val="00615F0A"/>
    <w:rsid w:val="00615F90"/>
    <w:rsid w:val="00616212"/>
    <w:rsid w:val="00616314"/>
    <w:rsid w:val="006164C3"/>
    <w:rsid w:val="00616593"/>
    <w:rsid w:val="00616A61"/>
    <w:rsid w:val="00616B9E"/>
    <w:rsid w:val="00616C3A"/>
    <w:rsid w:val="00616CDF"/>
    <w:rsid w:val="00616D12"/>
    <w:rsid w:val="00616D38"/>
    <w:rsid w:val="00616D40"/>
    <w:rsid w:val="00616DC7"/>
    <w:rsid w:val="00616E84"/>
    <w:rsid w:val="00616EAF"/>
    <w:rsid w:val="00616EC5"/>
    <w:rsid w:val="00616F54"/>
    <w:rsid w:val="00616F97"/>
    <w:rsid w:val="006170CF"/>
    <w:rsid w:val="006171B1"/>
    <w:rsid w:val="006171F5"/>
    <w:rsid w:val="006174F8"/>
    <w:rsid w:val="006176B0"/>
    <w:rsid w:val="006177FB"/>
    <w:rsid w:val="006179B4"/>
    <w:rsid w:val="00617ABB"/>
    <w:rsid w:val="00617BCB"/>
    <w:rsid w:val="00617EC8"/>
    <w:rsid w:val="00620261"/>
    <w:rsid w:val="0062069B"/>
    <w:rsid w:val="006206B7"/>
    <w:rsid w:val="0062083C"/>
    <w:rsid w:val="006208A3"/>
    <w:rsid w:val="00620C8A"/>
    <w:rsid w:val="00620CEF"/>
    <w:rsid w:val="00620E35"/>
    <w:rsid w:val="00620F79"/>
    <w:rsid w:val="006211B6"/>
    <w:rsid w:val="0062150E"/>
    <w:rsid w:val="00621929"/>
    <w:rsid w:val="00621A49"/>
    <w:rsid w:val="006220F6"/>
    <w:rsid w:val="0062221F"/>
    <w:rsid w:val="00622227"/>
    <w:rsid w:val="006226B0"/>
    <w:rsid w:val="00622772"/>
    <w:rsid w:val="00622978"/>
    <w:rsid w:val="006229AE"/>
    <w:rsid w:val="00622BA4"/>
    <w:rsid w:val="00622C36"/>
    <w:rsid w:val="00622EF4"/>
    <w:rsid w:val="00622F09"/>
    <w:rsid w:val="00623091"/>
    <w:rsid w:val="006230D9"/>
    <w:rsid w:val="0062363E"/>
    <w:rsid w:val="00623703"/>
    <w:rsid w:val="00623806"/>
    <w:rsid w:val="00623B57"/>
    <w:rsid w:val="00623C52"/>
    <w:rsid w:val="00623D0F"/>
    <w:rsid w:val="00623D15"/>
    <w:rsid w:val="006242E4"/>
    <w:rsid w:val="0062433E"/>
    <w:rsid w:val="006245F7"/>
    <w:rsid w:val="00624665"/>
    <w:rsid w:val="00624708"/>
    <w:rsid w:val="00624D5E"/>
    <w:rsid w:val="0062504C"/>
    <w:rsid w:val="006254C9"/>
    <w:rsid w:val="0062568F"/>
    <w:rsid w:val="00625700"/>
    <w:rsid w:val="00625794"/>
    <w:rsid w:val="0062592A"/>
    <w:rsid w:val="006259F9"/>
    <w:rsid w:val="00625A48"/>
    <w:rsid w:val="00625AC5"/>
    <w:rsid w:val="00625E8A"/>
    <w:rsid w:val="00625F66"/>
    <w:rsid w:val="00626408"/>
    <w:rsid w:val="00626503"/>
    <w:rsid w:val="00626592"/>
    <w:rsid w:val="006267D5"/>
    <w:rsid w:val="006267DA"/>
    <w:rsid w:val="006269FC"/>
    <w:rsid w:val="00626B93"/>
    <w:rsid w:val="00626F32"/>
    <w:rsid w:val="00626FBA"/>
    <w:rsid w:val="0062712C"/>
    <w:rsid w:val="006274AF"/>
    <w:rsid w:val="00627620"/>
    <w:rsid w:val="00627B90"/>
    <w:rsid w:val="00627C02"/>
    <w:rsid w:val="00627F40"/>
    <w:rsid w:val="00630038"/>
    <w:rsid w:val="006301B0"/>
    <w:rsid w:val="006301FC"/>
    <w:rsid w:val="00630391"/>
    <w:rsid w:val="00630A39"/>
    <w:rsid w:val="00630BA5"/>
    <w:rsid w:val="00630CA6"/>
    <w:rsid w:val="006312D8"/>
    <w:rsid w:val="00631621"/>
    <w:rsid w:val="006316AF"/>
    <w:rsid w:val="006316DE"/>
    <w:rsid w:val="00631B5A"/>
    <w:rsid w:val="00631BBA"/>
    <w:rsid w:val="00631C82"/>
    <w:rsid w:val="00631E53"/>
    <w:rsid w:val="006323C7"/>
    <w:rsid w:val="0063243D"/>
    <w:rsid w:val="0063274B"/>
    <w:rsid w:val="0063277D"/>
    <w:rsid w:val="006328B7"/>
    <w:rsid w:val="00632A7A"/>
    <w:rsid w:val="00632C66"/>
    <w:rsid w:val="00632DA3"/>
    <w:rsid w:val="00632DE9"/>
    <w:rsid w:val="006330CF"/>
    <w:rsid w:val="0063337B"/>
    <w:rsid w:val="006334E8"/>
    <w:rsid w:val="0063353C"/>
    <w:rsid w:val="0063354D"/>
    <w:rsid w:val="006336E1"/>
    <w:rsid w:val="00633709"/>
    <w:rsid w:val="00633AA7"/>
    <w:rsid w:val="00633C69"/>
    <w:rsid w:val="00633C8D"/>
    <w:rsid w:val="00633E39"/>
    <w:rsid w:val="00633EC4"/>
    <w:rsid w:val="0063411B"/>
    <w:rsid w:val="00634276"/>
    <w:rsid w:val="00634518"/>
    <w:rsid w:val="006345F8"/>
    <w:rsid w:val="00634703"/>
    <w:rsid w:val="006348CF"/>
    <w:rsid w:val="00634B8F"/>
    <w:rsid w:val="00634E77"/>
    <w:rsid w:val="00634EBB"/>
    <w:rsid w:val="00634ECF"/>
    <w:rsid w:val="00634FC0"/>
    <w:rsid w:val="00634FCA"/>
    <w:rsid w:val="00635075"/>
    <w:rsid w:val="0063514D"/>
    <w:rsid w:val="00635382"/>
    <w:rsid w:val="006356E7"/>
    <w:rsid w:val="006357E2"/>
    <w:rsid w:val="00635801"/>
    <w:rsid w:val="00636121"/>
    <w:rsid w:val="006363D3"/>
    <w:rsid w:val="00636509"/>
    <w:rsid w:val="0063679C"/>
    <w:rsid w:val="006367E9"/>
    <w:rsid w:val="006369B6"/>
    <w:rsid w:val="00636C6C"/>
    <w:rsid w:val="00636D3C"/>
    <w:rsid w:val="00636DFF"/>
    <w:rsid w:val="006370CC"/>
    <w:rsid w:val="00637152"/>
    <w:rsid w:val="00637576"/>
    <w:rsid w:val="00637812"/>
    <w:rsid w:val="00637948"/>
    <w:rsid w:val="00637DFC"/>
    <w:rsid w:val="00640295"/>
    <w:rsid w:val="00640355"/>
    <w:rsid w:val="0064037F"/>
    <w:rsid w:val="00640688"/>
    <w:rsid w:val="00640750"/>
    <w:rsid w:val="006408E4"/>
    <w:rsid w:val="006409C8"/>
    <w:rsid w:val="00640A55"/>
    <w:rsid w:val="00640A70"/>
    <w:rsid w:val="00640C0A"/>
    <w:rsid w:val="00640C8C"/>
    <w:rsid w:val="00640D32"/>
    <w:rsid w:val="00641042"/>
    <w:rsid w:val="006410E8"/>
    <w:rsid w:val="006412E0"/>
    <w:rsid w:val="006414F9"/>
    <w:rsid w:val="00641546"/>
    <w:rsid w:val="0064163D"/>
    <w:rsid w:val="006416B4"/>
    <w:rsid w:val="00641A30"/>
    <w:rsid w:val="00641A8C"/>
    <w:rsid w:val="00641B48"/>
    <w:rsid w:val="00641F5B"/>
    <w:rsid w:val="00642087"/>
    <w:rsid w:val="00642656"/>
    <w:rsid w:val="006426A3"/>
    <w:rsid w:val="006427C5"/>
    <w:rsid w:val="00642843"/>
    <w:rsid w:val="006428E4"/>
    <w:rsid w:val="00642ADD"/>
    <w:rsid w:val="00642C75"/>
    <w:rsid w:val="00642E31"/>
    <w:rsid w:val="00642FF2"/>
    <w:rsid w:val="00643068"/>
    <w:rsid w:val="006432FD"/>
    <w:rsid w:val="006433B8"/>
    <w:rsid w:val="0064340C"/>
    <w:rsid w:val="0064340D"/>
    <w:rsid w:val="0064360E"/>
    <w:rsid w:val="0064361F"/>
    <w:rsid w:val="00643643"/>
    <w:rsid w:val="006436DD"/>
    <w:rsid w:val="0064382B"/>
    <w:rsid w:val="00643897"/>
    <w:rsid w:val="006438AC"/>
    <w:rsid w:val="00643911"/>
    <w:rsid w:val="006439AE"/>
    <w:rsid w:val="00643CB0"/>
    <w:rsid w:val="00643CBB"/>
    <w:rsid w:val="00643D01"/>
    <w:rsid w:val="00643FA1"/>
    <w:rsid w:val="00644402"/>
    <w:rsid w:val="006444DC"/>
    <w:rsid w:val="006445E1"/>
    <w:rsid w:val="00644637"/>
    <w:rsid w:val="00644744"/>
    <w:rsid w:val="00644B3E"/>
    <w:rsid w:val="00645155"/>
    <w:rsid w:val="006452DD"/>
    <w:rsid w:val="006453BD"/>
    <w:rsid w:val="006453CA"/>
    <w:rsid w:val="00645407"/>
    <w:rsid w:val="00645527"/>
    <w:rsid w:val="006455A5"/>
    <w:rsid w:val="00645626"/>
    <w:rsid w:val="006457D6"/>
    <w:rsid w:val="00645984"/>
    <w:rsid w:val="00645A44"/>
    <w:rsid w:val="00645A8B"/>
    <w:rsid w:val="00645A93"/>
    <w:rsid w:val="00645B65"/>
    <w:rsid w:val="0064609A"/>
    <w:rsid w:val="00646288"/>
    <w:rsid w:val="006465A9"/>
    <w:rsid w:val="00646628"/>
    <w:rsid w:val="00646788"/>
    <w:rsid w:val="00646B52"/>
    <w:rsid w:val="00646B75"/>
    <w:rsid w:val="00646DDB"/>
    <w:rsid w:val="00646E25"/>
    <w:rsid w:val="00646F0F"/>
    <w:rsid w:val="006471FB"/>
    <w:rsid w:val="006472E9"/>
    <w:rsid w:val="0064730A"/>
    <w:rsid w:val="00647319"/>
    <w:rsid w:val="006473CB"/>
    <w:rsid w:val="0064756D"/>
    <w:rsid w:val="00647751"/>
    <w:rsid w:val="006479C5"/>
    <w:rsid w:val="00647A81"/>
    <w:rsid w:val="00647A83"/>
    <w:rsid w:val="00647B3C"/>
    <w:rsid w:val="00647C07"/>
    <w:rsid w:val="00647CC1"/>
    <w:rsid w:val="00647CD4"/>
    <w:rsid w:val="00647F3D"/>
    <w:rsid w:val="00647F77"/>
    <w:rsid w:val="00647FEE"/>
    <w:rsid w:val="006501B9"/>
    <w:rsid w:val="0065036F"/>
    <w:rsid w:val="0065058D"/>
    <w:rsid w:val="006505C5"/>
    <w:rsid w:val="006506E4"/>
    <w:rsid w:val="00650883"/>
    <w:rsid w:val="00650AE0"/>
    <w:rsid w:val="00650BB1"/>
    <w:rsid w:val="00650EC4"/>
    <w:rsid w:val="00650F39"/>
    <w:rsid w:val="0065119D"/>
    <w:rsid w:val="0065127D"/>
    <w:rsid w:val="00651367"/>
    <w:rsid w:val="006515A6"/>
    <w:rsid w:val="006515F9"/>
    <w:rsid w:val="00651642"/>
    <w:rsid w:val="0065179C"/>
    <w:rsid w:val="00651848"/>
    <w:rsid w:val="0065184A"/>
    <w:rsid w:val="0065196A"/>
    <w:rsid w:val="00651BF3"/>
    <w:rsid w:val="00651BFB"/>
    <w:rsid w:val="00651D2B"/>
    <w:rsid w:val="00651D56"/>
    <w:rsid w:val="00651DE9"/>
    <w:rsid w:val="006522E6"/>
    <w:rsid w:val="00652968"/>
    <w:rsid w:val="00652AEB"/>
    <w:rsid w:val="00652B5C"/>
    <w:rsid w:val="00652B80"/>
    <w:rsid w:val="00652D0F"/>
    <w:rsid w:val="00652D66"/>
    <w:rsid w:val="00652EA2"/>
    <w:rsid w:val="0065303D"/>
    <w:rsid w:val="006530A2"/>
    <w:rsid w:val="006530CE"/>
    <w:rsid w:val="006535FE"/>
    <w:rsid w:val="00653929"/>
    <w:rsid w:val="00653A65"/>
    <w:rsid w:val="00653B28"/>
    <w:rsid w:val="00653EF2"/>
    <w:rsid w:val="00654325"/>
    <w:rsid w:val="0065444E"/>
    <w:rsid w:val="006544F5"/>
    <w:rsid w:val="00654783"/>
    <w:rsid w:val="0065499B"/>
    <w:rsid w:val="00654B93"/>
    <w:rsid w:val="00654CFF"/>
    <w:rsid w:val="00654DF1"/>
    <w:rsid w:val="00654E11"/>
    <w:rsid w:val="00654E43"/>
    <w:rsid w:val="00654F04"/>
    <w:rsid w:val="00654F30"/>
    <w:rsid w:val="0065535D"/>
    <w:rsid w:val="00655498"/>
    <w:rsid w:val="006554C7"/>
    <w:rsid w:val="006555B6"/>
    <w:rsid w:val="006556FC"/>
    <w:rsid w:val="00655840"/>
    <w:rsid w:val="006558E9"/>
    <w:rsid w:val="006559C1"/>
    <w:rsid w:val="006560A2"/>
    <w:rsid w:val="00656261"/>
    <w:rsid w:val="006562A0"/>
    <w:rsid w:val="0065638B"/>
    <w:rsid w:val="00656593"/>
    <w:rsid w:val="006565C2"/>
    <w:rsid w:val="006569E3"/>
    <w:rsid w:val="00656A6E"/>
    <w:rsid w:val="00656AC8"/>
    <w:rsid w:val="00656BAB"/>
    <w:rsid w:val="00656CF2"/>
    <w:rsid w:val="00656D4F"/>
    <w:rsid w:val="00656D89"/>
    <w:rsid w:val="00656F74"/>
    <w:rsid w:val="00656FF6"/>
    <w:rsid w:val="00657079"/>
    <w:rsid w:val="006577D0"/>
    <w:rsid w:val="006577EA"/>
    <w:rsid w:val="0065793B"/>
    <w:rsid w:val="006579BE"/>
    <w:rsid w:val="00657B6F"/>
    <w:rsid w:val="00657E5A"/>
    <w:rsid w:val="006605C7"/>
    <w:rsid w:val="006605EA"/>
    <w:rsid w:val="00660776"/>
    <w:rsid w:val="0066089E"/>
    <w:rsid w:val="00660D85"/>
    <w:rsid w:val="006610F0"/>
    <w:rsid w:val="0066132E"/>
    <w:rsid w:val="006613EA"/>
    <w:rsid w:val="006614F1"/>
    <w:rsid w:val="00661726"/>
    <w:rsid w:val="00661A4D"/>
    <w:rsid w:val="00661C90"/>
    <w:rsid w:val="00661CAA"/>
    <w:rsid w:val="00661EE6"/>
    <w:rsid w:val="00662022"/>
    <w:rsid w:val="00662027"/>
    <w:rsid w:val="006622CD"/>
    <w:rsid w:val="006623C7"/>
    <w:rsid w:val="006626F7"/>
    <w:rsid w:val="00662A5C"/>
    <w:rsid w:val="0066327A"/>
    <w:rsid w:val="006632B6"/>
    <w:rsid w:val="0066356F"/>
    <w:rsid w:val="00663601"/>
    <w:rsid w:val="0066378A"/>
    <w:rsid w:val="0066381E"/>
    <w:rsid w:val="006638DA"/>
    <w:rsid w:val="006639A9"/>
    <w:rsid w:val="00663E78"/>
    <w:rsid w:val="00663F62"/>
    <w:rsid w:val="00664238"/>
    <w:rsid w:val="00664384"/>
    <w:rsid w:val="006645F6"/>
    <w:rsid w:val="006647A3"/>
    <w:rsid w:val="006649B4"/>
    <w:rsid w:val="00664D7E"/>
    <w:rsid w:val="00664E40"/>
    <w:rsid w:val="00664EC1"/>
    <w:rsid w:val="00664EC2"/>
    <w:rsid w:val="00665075"/>
    <w:rsid w:val="0066537C"/>
    <w:rsid w:val="0066566B"/>
    <w:rsid w:val="0066571F"/>
    <w:rsid w:val="00665894"/>
    <w:rsid w:val="00665AF2"/>
    <w:rsid w:val="0066603B"/>
    <w:rsid w:val="00666194"/>
    <w:rsid w:val="0066622A"/>
    <w:rsid w:val="0066645C"/>
    <w:rsid w:val="00666847"/>
    <w:rsid w:val="006668B3"/>
    <w:rsid w:val="0066694F"/>
    <w:rsid w:val="00666AD9"/>
    <w:rsid w:val="00666B65"/>
    <w:rsid w:val="00666DE0"/>
    <w:rsid w:val="0066711C"/>
    <w:rsid w:val="006672A8"/>
    <w:rsid w:val="0066778D"/>
    <w:rsid w:val="006677F0"/>
    <w:rsid w:val="006678D6"/>
    <w:rsid w:val="006678E6"/>
    <w:rsid w:val="00667A4D"/>
    <w:rsid w:val="00667E9D"/>
    <w:rsid w:val="00667F6D"/>
    <w:rsid w:val="006700A6"/>
    <w:rsid w:val="006701F9"/>
    <w:rsid w:val="006703DE"/>
    <w:rsid w:val="0067054A"/>
    <w:rsid w:val="0067054C"/>
    <w:rsid w:val="00670591"/>
    <w:rsid w:val="00670A91"/>
    <w:rsid w:val="00670C05"/>
    <w:rsid w:val="00670CA6"/>
    <w:rsid w:val="00670E85"/>
    <w:rsid w:val="00670FED"/>
    <w:rsid w:val="00670FF0"/>
    <w:rsid w:val="0067110B"/>
    <w:rsid w:val="006711F3"/>
    <w:rsid w:val="00671436"/>
    <w:rsid w:val="00671443"/>
    <w:rsid w:val="0067153B"/>
    <w:rsid w:val="0067163F"/>
    <w:rsid w:val="00671770"/>
    <w:rsid w:val="00671796"/>
    <w:rsid w:val="0067188E"/>
    <w:rsid w:val="006718DE"/>
    <w:rsid w:val="00671943"/>
    <w:rsid w:val="006719D1"/>
    <w:rsid w:val="00671A6D"/>
    <w:rsid w:val="00671C32"/>
    <w:rsid w:val="00671F67"/>
    <w:rsid w:val="00672175"/>
    <w:rsid w:val="006722CB"/>
    <w:rsid w:val="006722EB"/>
    <w:rsid w:val="006724C9"/>
    <w:rsid w:val="00672B14"/>
    <w:rsid w:val="00672B6A"/>
    <w:rsid w:val="00672CA8"/>
    <w:rsid w:val="00672D8F"/>
    <w:rsid w:val="00672FCB"/>
    <w:rsid w:val="00673021"/>
    <w:rsid w:val="00673330"/>
    <w:rsid w:val="00673385"/>
    <w:rsid w:val="006733CF"/>
    <w:rsid w:val="006735AD"/>
    <w:rsid w:val="006736C4"/>
    <w:rsid w:val="00673751"/>
    <w:rsid w:val="00673BE7"/>
    <w:rsid w:val="00673DDB"/>
    <w:rsid w:val="0067421A"/>
    <w:rsid w:val="00674337"/>
    <w:rsid w:val="006743BA"/>
    <w:rsid w:val="00674542"/>
    <w:rsid w:val="0067469F"/>
    <w:rsid w:val="00674B39"/>
    <w:rsid w:val="00674CE9"/>
    <w:rsid w:val="0067516C"/>
    <w:rsid w:val="00675545"/>
    <w:rsid w:val="00675552"/>
    <w:rsid w:val="00675589"/>
    <w:rsid w:val="006756C5"/>
    <w:rsid w:val="00675A1F"/>
    <w:rsid w:val="00675C4B"/>
    <w:rsid w:val="00675D07"/>
    <w:rsid w:val="00676349"/>
    <w:rsid w:val="0067638D"/>
    <w:rsid w:val="0067650A"/>
    <w:rsid w:val="0067652A"/>
    <w:rsid w:val="0067652B"/>
    <w:rsid w:val="0067683E"/>
    <w:rsid w:val="006768EA"/>
    <w:rsid w:val="00676917"/>
    <w:rsid w:val="006769E8"/>
    <w:rsid w:val="00676DE1"/>
    <w:rsid w:val="0067705A"/>
    <w:rsid w:val="006770FD"/>
    <w:rsid w:val="00677481"/>
    <w:rsid w:val="00677645"/>
    <w:rsid w:val="00677734"/>
    <w:rsid w:val="00677767"/>
    <w:rsid w:val="00677AF5"/>
    <w:rsid w:val="00677E44"/>
    <w:rsid w:val="00677F5E"/>
    <w:rsid w:val="00677F9B"/>
    <w:rsid w:val="00677FA4"/>
    <w:rsid w:val="00677FA8"/>
    <w:rsid w:val="0068034B"/>
    <w:rsid w:val="00680597"/>
    <w:rsid w:val="0068067F"/>
    <w:rsid w:val="00680777"/>
    <w:rsid w:val="006807E7"/>
    <w:rsid w:val="006808F8"/>
    <w:rsid w:val="00680E5C"/>
    <w:rsid w:val="00680F64"/>
    <w:rsid w:val="00681075"/>
    <w:rsid w:val="006810C0"/>
    <w:rsid w:val="006814D7"/>
    <w:rsid w:val="00681690"/>
    <w:rsid w:val="0068184B"/>
    <w:rsid w:val="00681965"/>
    <w:rsid w:val="00681BED"/>
    <w:rsid w:val="00681CAD"/>
    <w:rsid w:val="00681D70"/>
    <w:rsid w:val="00681EBA"/>
    <w:rsid w:val="00681F7A"/>
    <w:rsid w:val="0068204B"/>
    <w:rsid w:val="006820AA"/>
    <w:rsid w:val="00682354"/>
    <w:rsid w:val="0068249D"/>
    <w:rsid w:val="0068257C"/>
    <w:rsid w:val="006827C5"/>
    <w:rsid w:val="0068290C"/>
    <w:rsid w:val="00682D8F"/>
    <w:rsid w:val="00682E1B"/>
    <w:rsid w:val="00682FDD"/>
    <w:rsid w:val="006831AD"/>
    <w:rsid w:val="006833FA"/>
    <w:rsid w:val="00683459"/>
    <w:rsid w:val="00683506"/>
    <w:rsid w:val="00683639"/>
    <w:rsid w:val="006836D5"/>
    <w:rsid w:val="00683784"/>
    <w:rsid w:val="006837A4"/>
    <w:rsid w:val="006837A5"/>
    <w:rsid w:val="006837C8"/>
    <w:rsid w:val="00683981"/>
    <w:rsid w:val="00683A2F"/>
    <w:rsid w:val="00683B59"/>
    <w:rsid w:val="00683F6A"/>
    <w:rsid w:val="00684305"/>
    <w:rsid w:val="006847ED"/>
    <w:rsid w:val="00684809"/>
    <w:rsid w:val="0068490C"/>
    <w:rsid w:val="00684925"/>
    <w:rsid w:val="0068495C"/>
    <w:rsid w:val="00684E84"/>
    <w:rsid w:val="006851A7"/>
    <w:rsid w:val="006852DD"/>
    <w:rsid w:val="006852E8"/>
    <w:rsid w:val="00685AF9"/>
    <w:rsid w:val="00685BDD"/>
    <w:rsid w:val="00685C6B"/>
    <w:rsid w:val="00685CD6"/>
    <w:rsid w:val="00685D7E"/>
    <w:rsid w:val="006860CC"/>
    <w:rsid w:val="0068614D"/>
    <w:rsid w:val="006865BA"/>
    <w:rsid w:val="006865F2"/>
    <w:rsid w:val="00686699"/>
    <w:rsid w:val="006866E2"/>
    <w:rsid w:val="0068687A"/>
    <w:rsid w:val="00686957"/>
    <w:rsid w:val="006869B0"/>
    <w:rsid w:val="00686E05"/>
    <w:rsid w:val="00686F8A"/>
    <w:rsid w:val="00687191"/>
    <w:rsid w:val="006872BD"/>
    <w:rsid w:val="00687489"/>
    <w:rsid w:val="0068751F"/>
    <w:rsid w:val="00687572"/>
    <w:rsid w:val="006875E6"/>
    <w:rsid w:val="00687962"/>
    <w:rsid w:val="006879E1"/>
    <w:rsid w:val="00687A49"/>
    <w:rsid w:val="00687A5A"/>
    <w:rsid w:val="00687C2D"/>
    <w:rsid w:val="00687DEE"/>
    <w:rsid w:val="0069004F"/>
    <w:rsid w:val="00690138"/>
    <w:rsid w:val="00690579"/>
    <w:rsid w:val="006907D8"/>
    <w:rsid w:val="0069088F"/>
    <w:rsid w:val="00690B95"/>
    <w:rsid w:val="00690BBC"/>
    <w:rsid w:val="00690D37"/>
    <w:rsid w:val="00690F88"/>
    <w:rsid w:val="006910CB"/>
    <w:rsid w:val="0069120A"/>
    <w:rsid w:val="006913F9"/>
    <w:rsid w:val="00691549"/>
    <w:rsid w:val="00691E8A"/>
    <w:rsid w:val="00691F09"/>
    <w:rsid w:val="00692016"/>
    <w:rsid w:val="006920C2"/>
    <w:rsid w:val="006921D0"/>
    <w:rsid w:val="0069223E"/>
    <w:rsid w:val="00692641"/>
    <w:rsid w:val="00692658"/>
    <w:rsid w:val="006926B3"/>
    <w:rsid w:val="00692879"/>
    <w:rsid w:val="00692B14"/>
    <w:rsid w:val="00692BBB"/>
    <w:rsid w:val="00692F30"/>
    <w:rsid w:val="00693090"/>
    <w:rsid w:val="006935A6"/>
    <w:rsid w:val="006935A9"/>
    <w:rsid w:val="006936E9"/>
    <w:rsid w:val="006937CC"/>
    <w:rsid w:val="0069384A"/>
    <w:rsid w:val="006938B2"/>
    <w:rsid w:val="0069390D"/>
    <w:rsid w:val="006939D0"/>
    <w:rsid w:val="00693C00"/>
    <w:rsid w:val="00693C16"/>
    <w:rsid w:val="00693C24"/>
    <w:rsid w:val="00693C4B"/>
    <w:rsid w:val="00693CC0"/>
    <w:rsid w:val="0069422C"/>
    <w:rsid w:val="00694A85"/>
    <w:rsid w:val="00694B8F"/>
    <w:rsid w:val="00694E83"/>
    <w:rsid w:val="006953A0"/>
    <w:rsid w:val="0069551A"/>
    <w:rsid w:val="00695914"/>
    <w:rsid w:val="00695C4E"/>
    <w:rsid w:val="00695CEA"/>
    <w:rsid w:val="00695F13"/>
    <w:rsid w:val="0069617F"/>
    <w:rsid w:val="006961BF"/>
    <w:rsid w:val="006961F8"/>
    <w:rsid w:val="00696417"/>
    <w:rsid w:val="00696533"/>
    <w:rsid w:val="0069676D"/>
    <w:rsid w:val="00696850"/>
    <w:rsid w:val="0069696C"/>
    <w:rsid w:val="0069699D"/>
    <w:rsid w:val="00696A31"/>
    <w:rsid w:val="00696A34"/>
    <w:rsid w:val="00696B19"/>
    <w:rsid w:val="00696CEC"/>
    <w:rsid w:val="00696D72"/>
    <w:rsid w:val="00696EC7"/>
    <w:rsid w:val="00697003"/>
    <w:rsid w:val="0069701D"/>
    <w:rsid w:val="006970E7"/>
    <w:rsid w:val="006972E6"/>
    <w:rsid w:val="0069757C"/>
    <w:rsid w:val="006975F2"/>
    <w:rsid w:val="00697717"/>
    <w:rsid w:val="0069782A"/>
    <w:rsid w:val="006978B7"/>
    <w:rsid w:val="00697967"/>
    <w:rsid w:val="00697A4C"/>
    <w:rsid w:val="00697BDC"/>
    <w:rsid w:val="006A006C"/>
    <w:rsid w:val="006A0090"/>
    <w:rsid w:val="006A03B4"/>
    <w:rsid w:val="006A061F"/>
    <w:rsid w:val="006A0966"/>
    <w:rsid w:val="006A0ADB"/>
    <w:rsid w:val="006A0C20"/>
    <w:rsid w:val="006A0C28"/>
    <w:rsid w:val="006A0EB1"/>
    <w:rsid w:val="006A0F59"/>
    <w:rsid w:val="006A10AE"/>
    <w:rsid w:val="006A1397"/>
    <w:rsid w:val="006A1537"/>
    <w:rsid w:val="006A164D"/>
    <w:rsid w:val="006A1CD5"/>
    <w:rsid w:val="006A1CEB"/>
    <w:rsid w:val="006A1E8D"/>
    <w:rsid w:val="006A1E9F"/>
    <w:rsid w:val="006A21EB"/>
    <w:rsid w:val="006A241C"/>
    <w:rsid w:val="006A2483"/>
    <w:rsid w:val="006A24D6"/>
    <w:rsid w:val="006A26CB"/>
    <w:rsid w:val="006A2A3D"/>
    <w:rsid w:val="006A2E74"/>
    <w:rsid w:val="006A303C"/>
    <w:rsid w:val="006A3204"/>
    <w:rsid w:val="006A34CB"/>
    <w:rsid w:val="006A3505"/>
    <w:rsid w:val="006A35A0"/>
    <w:rsid w:val="006A3AD8"/>
    <w:rsid w:val="006A3B97"/>
    <w:rsid w:val="006A3C9C"/>
    <w:rsid w:val="006A3D06"/>
    <w:rsid w:val="006A3DDE"/>
    <w:rsid w:val="006A3ED9"/>
    <w:rsid w:val="006A401A"/>
    <w:rsid w:val="006A411C"/>
    <w:rsid w:val="006A46AC"/>
    <w:rsid w:val="006A478A"/>
    <w:rsid w:val="006A4A0C"/>
    <w:rsid w:val="006A4A2A"/>
    <w:rsid w:val="006A4C4A"/>
    <w:rsid w:val="006A4CFB"/>
    <w:rsid w:val="006A4EF8"/>
    <w:rsid w:val="006A50A9"/>
    <w:rsid w:val="006A53AF"/>
    <w:rsid w:val="006A5456"/>
    <w:rsid w:val="006A54BF"/>
    <w:rsid w:val="006A5637"/>
    <w:rsid w:val="006A563E"/>
    <w:rsid w:val="006A564D"/>
    <w:rsid w:val="006A5A19"/>
    <w:rsid w:val="006A5B77"/>
    <w:rsid w:val="006A5C18"/>
    <w:rsid w:val="006A5CBE"/>
    <w:rsid w:val="006A5D6E"/>
    <w:rsid w:val="006A5D7D"/>
    <w:rsid w:val="006A6010"/>
    <w:rsid w:val="006A60D8"/>
    <w:rsid w:val="006A61C7"/>
    <w:rsid w:val="006A66B9"/>
    <w:rsid w:val="006A66E3"/>
    <w:rsid w:val="006A67D7"/>
    <w:rsid w:val="006A6893"/>
    <w:rsid w:val="006A68E9"/>
    <w:rsid w:val="006A6A74"/>
    <w:rsid w:val="006A6B36"/>
    <w:rsid w:val="006A6C6D"/>
    <w:rsid w:val="006A6E88"/>
    <w:rsid w:val="006A6FCF"/>
    <w:rsid w:val="006A7048"/>
    <w:rsid w:val="006A7174"/>
    <w:rsid w:val="006A71D0"/>
    <w:rsid w:val="006A7517"/>
    <w:rsid w:val="006A76A5"/>
    <w:rsid w:val="006A7854"/>
    <w:rsid w:val="006A79E1"/>
    <w:rsid w:val="006A7C7E"/>
    <w:rsid w:val="006A7E66"/>
    <w:rsid w:val="006A7E97"/>
    <w:rsid w:val="006A7F12"/>
    <w:rsid w:val="006B0098"/>
    <w:rsid w:val="006B02FD"/>
    <w:rsid w:val="006B0539"/>
    <w:rsid w:val="006B0923"/>
    <w:rsid w:val="006B09FE"/>
    <w:rsid w:val="006B0AF7"/>
    <w:rsid w:val="006B0BE0"/>
    <w:rsid w:val="006B0D76"/>
    <w:rsid w:val="006B0E1C"/>
    <w:rsid w:val="006B0FEB"/>
    <w:rsid w:val="006B1092"/>
    <w:rsid w:val="006B1324"/>
    <w:rsid w:val="006B1435"/>
    <w:rsid w:val="006B1483"/>
    <w:rsid w:val="006B14A3"/>
    <w:rsid w:val="006B187D"/>
    <w:rsid w:val="006B1A9D"/>
    <w:rsid w:val="006B1B58"/>
    <w:rsid w:val="006B1CB9"/>
    <w:rsid w:val="006B1D33"/>
    <w:rsid w:val="006B1D70"/>
    <w:rsid w:val="006B1E72"/>
    <w:rsid w:val="006B201C"/>
    <w:rsid w:val="006B2040"/>
    <w:rsid w:val="006B2139"/>
    <w:rsid w:val="006B24A6"/>
    <w:rsid w:val="006B2625"/>
    <w:rsid w:val="006B2838"/>
    <w:rsid w:val="006B294E"/>
    <w:rsid w:val="006B2A66"/>
    <w:rsid w:val="006B2E9C"/>
    <w:rsid w:val="006B2F0F"/>
    <w:rsid w:val="006B2F9B"/>
    <w:rsid w:val="006B2FBB"/>
    <w:rsid w:val="006B2FD6"/>
    <w:rsid w:val="006B3085"/>
    <w:rsid w:val="006B3108"/>
    <w:rsid w:val="006B3182"/>
    <w:rsid w:val="006B3197"/>
    <w:rsid w:val="006B31DF"/>
    <w:rsid w:val="006B31E0"/>
    <w:rsid w:val="006B32DC"/>
    <w:rsid w:val="006B3405"/>
    <w:rsid w:val="006B36CD"/>
    <w:rsid w:val="006B36FE"/>
    <w:rsid w:val="006B381F"/>
    <w:rsid w:val="006B3829"/>
    <w:rsid w:val="006B38E8"/>
    <w:rsid w:val="006B3B9C"/>
    <w:rsid w:val="006B3D17"/>
    <w:rsid w:val="006B3E99"/>
    <w:rsid w:val="006B4143"/>
    <w:rsid w:val="006B4383"/>
    <w:rsid w:val="006B4476"/>
    <w:rsid w:val="006B455F"/>
    <w:rsid w:val="006B48EA"/>
    <w:rsid w:val="006B4979"/>
    <w:rsid w:val="006B4A3A"/>
    <w:rsid w:val="006B4CD6"/>
    <w:rsid w:val="006B4DEB"/>
    <w:rsid w:val="006B4FC9"/>
    <w:rsid w:val="006B510F"/>
    <w:rsid w:val="006B51A3"/>
    <w:rsid w:val="006B51E2"/>
    <w:rsid w:val="006B527E"/>
    <w:rsid w:val="006B5410"/>
    <w:rsid w:val="006B5B13"/>
    <w:rsid w:val="006B5BB5"/>
    <w:rsid w:val="006B5D45"/>
    <w:rsid w:val="006B5E20"/>
    <w:rsid w:val="006B5E82"/>
    <w:rsid w:val="006B60F7"/>
    <w:rsid w:val="006B61AC"/>
    <w:rsid w:val="006B626D"/>
    <w:rsid w:val="006B62DA"/>
    <w:rsid w:val="006B63CD"/>
    <w:rsid w:val="006B66CC"/>
    <w:rsid w:val="006B6727"/>
    <w:rsid w:val="006B681B"/>
    <w:rsid w:val="006B689F"/>
    <w:rsid w:val="006B6A8F"/>
    <w:rsid w:val="006B6C51"/>
    <w:rsid w:val="006B6C8E"/>
    <w:rsid w:val="006B6D91"/>
    <w:rsid w:val="006B6FE6"/>
    <w:rsid w:val="006B712D"/>
    <w:rsid w:val="006B716E"/>
    <w:rsid w:val="006B7219"/>
    <w:rsid w:val="006B749C"/>
    <w:rsid w:val="006B74D2"/>
    <w:rsid w:val="006B75AF"/>
    <w:rsid w:val="006B7625"/>
    <w:rsid w:val="006B773E"/>
    <w:rsid w:val="006B780E"/>
    <w:rsid w:val="006B7885"/>
    <w:rsid w:val="006B7953"/>
    <w:rsid w:val="006B7BD1"/>
    <w:rsid w:val="006B7C94"/>
    <w:rsid w:val="006C011C"/>
    <w:rsid w:val="006C0181"/>
    <w:rsid w:val="006C024C"/>
    <w:rsid w:val="006C02B7"/>
    <w:rsid w:val="006C03C9"/>
    <w:rsid w:val="006C0526"/>
    <w:rsid w:val="006C05B9"/>
    <w:rsid w:val="006C05D3"/>
    <w:rsid w:val="006C071F"/>
    <w:rsid w:val="006C08D4"/>
    <w:rsid w:val="006C090E"/>
    <w:rsid w:val="006C0AB9"/>
    <w:rsid w:val="006C0CE4"/>
    <w:rsid w:val="006C0DC7"/>
    <w:rsid w:val="006C0EAA"/>
    <w:rsid w:val="006C0FB7"/>
    <w:rsid w:val="006C101A"/>
    <w:rsid w:val="006C123B"/>
    <w:rsid w:val="006C1285"/>
    <w:rsid w:val="006C14C8"/>
    <w:rsid w:val="006C1535"/>
    <w:rsid w:val="006C1622"/>
    <w:rsid w:val="006C18E1"/>
    <w:rsid w:val="006C191E"/>
    <w:rsid w:val="006C1A99"/>
    <w:rsid w:val="006C1B2B"/>
    <w:rsid w:val="006C1EF9"/>
    <w:rsid w:val="006C1F81"/>
    <w:rsid w:val="006C254C"/>
    <w:rsid w:val="006C260A"/>
    <w:rsid w:val="006C2686"/>
    <w:rsid w:val="006C27CD"/>
    <w:rsid w:val="006C296C"/>
    <w:rsid w:val="006C2AEE"/>
    <w:rsid w:val="006C312C"/>
    <w:rsid w:val="006C3143"/>
    <w:rsid w:val="006C32BA"/>
    <w:rsid w:val="006C33F8"/>
    <w:rsid w:val="006C3473"/>
    <w:rsid w:val="006C3476"/>
    <w:rsid w:val="006C362E"/>
    <w:rsid w:val="006C38E0"/>
    <w:rsid w:val="006C3991"/>
    <w:rsid w:val="006C3A7A"/>
    <w:rsid w:val="006C3DE7"/>
    <w:rsid w:val="006C3E99"/>
    <w:rsid w:val="006C3F97"/>
    <w:rsid w:val="006C3FC0"/>
    <w:rsid w:val="006C403F"/>
    <w:rsid w:val="006C4168"/>
    <w:rsid w:val="006C4751"/>
    <w:rsid w:val="006C481E"/>
    <w:rsid w:val="006C4820"/>
    <w:rsid w:val="006C4CDB"/>
    <w:rsid w:val="006C5013"/>
    <w:rsid w:val="006C5091"/>
    <w:rsid w:val="006C5252"/>
    <w:rsid w:val="006C527E"/>
    <w:rsid w:val="006C5403"/>
    <w:rsid w:val="006C541C"/>
    <w:rsid w:val="006C544E"/>
    <w:rsid w:val="006C550B"/>
    <w:rsid w:val="006C5577"/>
    <w:rsid w:val="006C5831"/>
    <w:rsid w:val="006C59D1"/>
    <w:rsid w:val="006C5A8E"/>
    <w:rsid w:val="006C5E01"/>
    <w:rsid w:val="006C5F6A"/>
    <w:rsid w:val="006C6194"/>
    <w:rsid w:val="006C628E"/>
    <w:rsid w:val="006C62E5"/>
    <w:rsid w:val="006C6460"/>
    <w:rsid w:val="006C6581"/>
    <w:rsid w:val="006C6849"/>
    <w:rsid w:val="006C68D6"/>
    <w:rsid w:val="006C6983"/>
    <w:rsid w:val="006C6A07"/>
    <w:rsid w:val="006C6A95"/>
    <w:rsid w:val="006C6B94"/>
    <w:rsid w:val="006C70DE"/>
    <w:rsid w:val="006C717E"/>
    <w:rsid w:val="006C7634"/>
    <w:rsid w:val="006C766A"/>
    <w:rsid w:val="006C7824"/>
    <w:rsid w:val="006C791B"/>
    <w:rsid w:val="006C7D9E"/>
    <w:rsid w:val="006C7F49"/>
    <w:rsid w:val="006C7FAF"/>
    <w:rsid w:val="006D0044"/>
    <w:rsid w:val="006D0165"/>
    <w:rsid w:val="006D0170"/>
    <w:rsid w:val="006D0360"/>
    <w:rsid w:val="006D05AF"/>
    <w:rsid w:val="006D05F8"/>
    <w:rsid w:val="006D076C"/>
    <w:rsid w:val="006D07FD"/>
    <w:rsid w:val="006D097C"/>
    <w:rsid w:val="006D0B77"/>
    <w:rsid w:val="006D0BFA"/>
    <w:rsid w:val="006D0D3B"/>
    <w:rsid w:val="006D0D5D"/>
    <w:rsid w:val="006D11A5"/>
    <w:rsid w:val="006D120F"/>
    <w:rsid w:val="006D1AB6"/>
    <w:rsid w:val="006D1AEA"/>
    <w:rsid w:val="006D1B5A"/>
    <w:rsid w:val="006D1C52"/>
    <w:rsid w:val="006D1DB9"/>
    <w:rsid w:val="006D1F35"/>
    <w:rsid w:val="006D222C"/>
    <w:rsid w:val="006D2289"/>
    <w:rsid w:val="006D2544"/>
    <w:rsid w:val="006D2753"/>
    <w:rsid w:val="006D28E7"/>
    <w:rsid w:val="006D2972"/>
    <w:rsid w:val="006D2CB8"/>
    <w:rsid w:val="006D2CE1"/>
    <w:rsid w:val="006D2F16"/>
    <w:rsid w:val="006D3134"/>
    <w:rsid w:val="006D3247"/>
    <w:rsid w:val="006D338A"/>
    <w:rsid w:val="006D3569"/>
    <w:rsid w:val="006D372D"/>
    <w:rsid w:val="006D3A42"/>
    <w:rsid w:val="006D3B22"/>
    <w:rsid w:val="006D3D3A"/>
    <w:rsid w:val="006D3D80"/>
    <w:rsid w:val="006D3E43"/>
    <w:rsid w:val="006D3FED"/>
    <w:rsid w:val="006D400D"/>
    <w:rsid w:val="006D4284"/>
    <w:rsid w:val="006D433B"/>
    <w:rsid w:val="006D4614"/>
    <w:rsid w:val="006D495A"/>
    <w:rsid w:val="006D4A0D"/>
    <w:rsid w:val="006D4A2C"/>
    <w:rsid w:val="006D4D6F"/>
    <w:rsid w:val="006D4DA5"/>
    <w:rsid w:val="006D5131"/>
    <w:rsid w:val="006D51FC"/>
    <w:rsid w:val="006D522F"/>
    <w:rsid w:val="006D55C5"/>
    <w:rsid w:val="006D5614"/>
    <w:rsid w:val="006D5630"/>
    <w:rsid w:val="006D565A"/>
    <w:rsid w:val="006D567D"/>
    <w:rsid w:val="006D588C"/>
    <w:rsid w:val="006D5A16"/>
    <w:rsid w:val="006D5AC9"/>
    <w:rsid w:val="006D5C54"/>
    <w:rsid w:val="006D5D36"/>
    <w:rsid w:val="006D5EE8"/>
    <w:rsid w:val="006D604B"/>
    <w:rsid w:val="006D6090"/>
    <w:rsid w:val="006D62B6"/>
    <w:rsid w:val="006D636E"/>
    <w:rsid w:val="006D643F"/>
    <w:rsid w:val="006D6590"/>
    <w:rsid w:val="006D6D83"/>
    <w:rsid w:val="006D6E37"/>
    <w:rsid w:val="006D7102"/>
    <w:rsid w:val="006D73E4"/>
    <w:rsid w:val="006D7533"/>
    <w:rsid w:val="006D761F"/>
    <w:rsid w:val="006D77F2"/>
    <w:rsid w:val="006D7DB7"/>
    <w:rsid w:val="006D7E38"/>
    <w:rsid w:val="006D7E7D"/>
    <w:rsid w:val="006E021B"/>
    <w:rsid w:val="006E03E0"/>
    <w:rsid w:val="006E0471"/>
    <w:rsid w:val="006E0675"/>
    <w:rsid w:val="006E06A3"/>
    <w:rsid w:val="006E0708"/>
    <w:rsid w:val="006E087E"/>
    <w:rsid w:val="006E0881"/>
    <w:rsid w:val="006E095D"/>
    <w:rsid w:val="006E0BC7"/>
    <w:rsid w:val="006E0C66"/>
    <w:rsid w:val="006E0CA4"/>
    <w:rsid w:val="006E0DCF"/>
    <w:rsid w:val="006E0EB4"/>
    <w:rsid w:val="006E10C6"/>
    <w:rsid w:val="006E113F"/>
    <w:rsid w:val="006E11C9"/>
    <w:rsid w:val="006E120F"/>
    <w:rsid w:val="006E1502"/>
    <w:rsid w:val="006E16F8"/>
    <w:rsid w:val="006E1844"/>
    <w:rsid w:val="006E1BAF"/>
    <w:rsid w:val="006E1C58"/>
    <w:rsid w:val="006E1DF1"/>
    <w:rsid w:val="006E1F12"/>
    <w:rsid w:val="006E210A"/>
    <w:rsid w:val="006E24C4"/>
    <w:rsid w:val="006E25ED"/>
    <w:rsid w:val="006E262F"/>
    <w:rsid w:val="006E2666"/>
    <w:rsid w:val="006E2AA1"/>
    <w:rsid w:val="006E325B"/>
    <w:rsid w:val="006E328B"/>
    <w:rsid w:val="006E3347"/>
    <w:rsid w:val="006E34B7"/>
    <w:rsid w:val="006E3762"/>
    <w:rsid w:val="006E3763"/>
    <w:rsid w:val="006E37B6"/>
    <w:rsid w:val="006E39AC"/>
    <w:rsid w:val="006E3A7F"/>
    <w:rsid w:val="006E3B76"/>
    <w:rsid w:val="006E3D95"/>
    <w:rsid w:val="006E3E74"/>
    <w:rsid w:val="006E3F17"/>
    <w:rsid w:val="006E3FD8"/>
    <w:rsid w:val="006E40CD"/>
    <w:rsid w:val="006E41DF"/>
    <w:rsid w:val="006E44EF"/>
    <w:rsid w:val="006E4649"/>
    <w:rsid w:val="006E4722"/>
    <w:rsid w:val="006E47BB"/>
    <w:rsid w:val="006E4857"/>
    <w:rsid w:val="006E49CA"/>
    <w:rsid w:val="006E4A1B"/>
    <w:rsid w:val="006E4D30"/>
    <w:rsid w:val="006E4EF3"/>
    <w:rsid w:val="006E5094"/>
    <w:rsid w:val="006E5110"/>
    <w:rsid w:val="006E5212"/>
    <w:rsid w:val="006E5419"/>
    <w:rsid w:val="006E56A5"/>
    <w:rsid w:val="006E5993"/>
    <w:rsid w:val="006E5CD9"/>
    <w:rsid w:val="006E5E91"/>
    <w:rsid w:val="006E607B"/>
    <w:rsid w:val="006E624C"/>
    <w:rsid w:val="006E6379"/>
    <w:rsid w:val="006E649E"/>
    <w:rsid w:val="006E6647"/>
    <w:rsid w:val="006E6892"/>
    <w:rsid w:val="006E6946"/>
    <w:rsid w:val="006E6980"/>
    <w:rsid w:val="006E6994"/>
    <w:rsid w:val="006E6A7B"/>
    <w:rsid w:val="006E6BD9"/>
    <w:rsid w:val="006E6F84"/>
    <w:rsid w:val="006E7088"/>
    <w:rsid w:val="006E7436"/>
    <w:rsid w:val="006E7740"/>
    <w:rsid w:val="006E7861"/>
    <w:rsid w:val="006E79E7"/>
    <w:rsid w:val="006E7B5F"/>
    <w:rsid w:val="006E7C3B"/>
    <w:rsid w:val="006E7C95"/>
    <w:rsid w:val="006E7F65"/>
    <w:rsid w:val="006E7F7D"/>
    <w:rsid w:val="006E7FAA"/>
    <w:rsid w:val="006E7FD6"/>
    <w:rsid w:val="006E7FE4"/>
    <w:rsid w:val="006F0278"/>
    <w:rsid w:val="006F0321"/>
    <w:rsid w:val="006F0550"/>
    <w:rsid w:val="006F0608"/>
    <w:rsid w:val="006F06E7"/>
    <w:rsid w:val="006F0748"/>
    <w:rsid w:val="006F0792"/>
    <w:rsid w:val="006F0815"/>
    <w:rsid w:val="006F0C1B"/>
    <w:rsid w:val="006F0E2E"/>
    <w:rsid w:val="006F10B6"/>
    <w:rsid w:val="006F10E6"/>
    <w:rsid w:val="006F11CC"/>
    <w:rsid w:val="006F12E3"/>
    <w:rsid w:val="006F1482"/>
    <w:rsid w:val="006F1744"/>
    <w:rsid w:val="006F1785"/>
    <w:rsid w:val="006F1809"/>
    <w:rsid w:val="006F1CDC"/>
    <w:rsid w:val="006F1F0B"/>
    <w:rsid w:val="006F1F1F"/>
    <w:rsid w:val="006F2198"/>
    <w:rsid w:val="006F21CE"/>
    <w:rsid w:val="006F21DD"/>
    <w:rsid w:val="006F22DA"/>
    <w:rsid w:val="006F2364"/>
    <w:rsid w:val="006F23E0"/>
    <w:rsid w:val="006F25AA"/>
    <w:rsid w:val="006F27A4"/>
    <w:rsid w:val="006F2971"/>
    <w:rsid w:val="006F2C00"/>
    <w:rsid w:val="006F2C5A"/>
    <w:rsid w:val="006F2F89"/>
    <w:rsid w:val="006F2F9C"/>
    <w:rsid w:val="006F3084"/>
    <w:rsid w:val="006F313F"/>
    <w:rsid w:val="006F31F2"/>
    <w:rsid w:val="006F32D9"/>
    <w:rsid w:val="006F35ED"/>
    <w:rsid w:val="006F386C"/>
    <w:rsid w:val="006F3AA4"/>
    <w:rsid w:val="006F3AC0"/>
    <w:rsid w:val="006F420D"/>
    <w:rsid w:val="006F42A6"/>
    <w:rsid w:val="006F42DE"/>
    <w:rsid w:val="006F4354"/>
    <w:rsid w:val="006F447C"/>
    <w:rsid w:val="006F451B"/>
    <w:rsid w:val="006F4563"/>
    <w:rsid w:val="006F476F"/>
    <w:rsid w:val="006F495E"/>
    <w:rsid w:val="006F497F"/>
    <w:rsid w:val="006F4CFF"/>
    <w:rsid w:val="006F4E74"/>
    <w:rsid w:val="006F50F6"/>
    <w:rsid w:val="006F512B"/>
    <w:rsid w:val="006F5267"/>
    <w:rsid w:val="006F52AA"/>
    <w:rsid w:val="006F52F0"/>
    <w:rsid w:val="006F535A"/>
    <w:rsid w:val="006F53BE"/>
    <w:rsid w:val="006F56A6"/>
    <w:rsid w:val="006F595E"/>
    <w:rsid w:val="006F59C7"/>
    <w:rsid w:val="006F59EA"/>
    <w:rsid w:val="006F5E50"/>
    <w:rsid w:val="006F5F68"/>
    <w:rsid w:val="006F60D1"/>
    <w:rsid w:val="006F6140"/>
    <w:rsid w:val="006F623B"/>
    <w:rsid w:val="006F6414"/>
    <w:rsid w:val="006F649C"/>
    <w:rsid w:val="006F651D"/>
    <w:rsid w:val="006F6573"/>
    <w:rsid w:val="006F6593"/>
    <w:rsid w:val="006F6C8A"/>
    <w:rsid w:val="006F6D51"/>
    <w:rsid w:val="006F6DE9"/>
    <w:rsid w:val="006F6F33"/>
    <w:rsid w:val="006F70EA"/>
    <w:rsid w:val="006F7273"/>
    <w:rsid w:val="006F74A1"/>
    <w:rsid w:val="006F7507"/>
    <w:rsid w:val="006F7605"/>
    <w:rsid w:val="006F7713"/>
    <w:rsid w:val="006F7733"/>
    <w:rsid w:val="006F7886"/>
    <w:rsid w:val="006F78FD"/>
    <w:rsid w:val="006F7A1E"/>
    <w:rsid w:val="006F7C45"/>
    <w:rsid w:val="006F7D6E"/>
    <w:rsid w:val="006F7DD1"/>
    <w:rsid w:val="006F7E8D"/>
    <w:rsid w:val="006F7E90"/>
    <w:rsid w:val="00700004"/>
    <w:rsid w:val="007000CF"/>
    <w:rsid w:val="007001D6"/>
    <w:rsid w:val="007004DB"/>
    <w:rsid w:val="00700710"/>
    <w:rsid w:val="00700814"/>
    <w:rsid w:val="0070082A"/>
    <w:rsid w:val="00700A76"/>
    <w:rsid w:val="00700BCD"/>
    <w:rsid w:val="00700C9E"/>
    <w:rsid w:val="00700CDA"/>
    <w:rsid w:val="00700E99"/>
    <w:rsid w:val="0070101E"/>
    <w:rsid w:val="007010EC"/>
    <w:rsid w:val="00701236"/>
    <w:rsid w:val="007016BD"/>
    <w:rsid w:val="00701746"/>
    <w:rsid w:val="00701A78"/>
    <w:rsid w:val="00701F6C"/>
    <w:rsid w:val="0070206F"/>
    <w:rsid w:val="0070208E"/>
    <w:rsid w:val="00702162"/>
    <w:rsid w:val="00702367"/>
    <w:rsid w:val="007026C9"/>
    <w:rsid w:val="007028B7"/>
    <w:rsid w:val="007028E7"/>
    <w:rsid w:val="00702981"/>
    <w:rsid w:val="00702B54"/>
    <w:rsid w:val="00702BA5"/>
    <w:rsid w:val="007033B5"/>
    <w:rsid w:val="007033EA"/>
    <w:rsid w:val="00703655"/>
    <w:rsid w:val="007037A0"/>
    <w:rsid w:val="00703AA5"/>
    <w:rsid w:val="00704057"/>
    <w:rsid w:val="00704131"/>
    <w:rsid w:val="0070414A"/>
    <w:rsid w:val="007041CB"/>
    <w:rsid w:val="00704387"/>
    <w:rsid w:val="00704955"/>
    <w:rsid w:val="007049C8"/>
    <w:rsid w:val="00704A45"/>
    <w:rsid w:val="00704AD6"/>
    <w:rsid w:val="00704EF7"/>
    <w:rsid w:val="00704F94"/>
    <w:rsid w:val="00704FB3"/>
    <w:rsid w:val="00705218"/>
    <w:rsid w:val="00705268"/>
    <w:rsid w:val="00705623"/>
    <w:rsid w:val="007057E6"/>
    <w:rsid w:val="00705988"/>
    <w:rsid w:val="00705A24"/>
    <w:rsid w:val="00705BC4"/>
    <w:rsid w:val="00705C35"/>
    <w:rsid w:val="00705C68"/>
    <w:rsid w:val="00705E88"/>
    <w:rsid w:val="0070617D"/>
    <w:rsid w:val="0070658D"/>
    <w:rsid w:val="007065E4"/>
    <w:rsid w:val="007067EE"/>
    <w:rsid w:val="00706807"/>
    <w:rsid w:val="00706D94"/>
    <w:rsid w:val="0070703A"/>
    <w:rsid w:val="007074FA"/>
    <w:rsid w:val="0070754B"/>
    <w:rsid w:val="0070794A"/>
    <w:rsid w:val="007079E4"/>
    <w:rsid w:val="00707CC5"/>
    <w:rsid w:val="00707D3B"/>
    <w:rsid w:val="00707DA7"/>
    <w:rsid w:val="00707ECC"/>
    <w:rsid w:val="00707F6A"/>
    <w:rsid w:val="00710042"/>
    <w:rsid w:val="007101FA"/>
    <w:rsid w:val="007105F3"/>
    <w:rsid w:val="007109FE"/>
    <w:rsid w:val="00710B59"/>
    <w:rsid w:val="00710C4A"/>
    <w:rsid w:val="00710C9A"/>
    <w:rsid w:val="00710E6D"/>
    <w:rsid w:val="007110ED"/>
    <w:rsid w:val="007111C0"/>
    <w:rsid w:val="0071123B"/>
    <w:rsid w:val="007115FB"/>
    <w:rsid w:val="00711902"/>
    <w:rsid w:val="00711A4F"/>
    <w:rsid w:val="00711AC9"/>
    <w:rsid w:val="00711C9D"/>
    <w:rsid w:val="00711EFE"/>
    <w:rsid w:val="00712265"/>
    <w:rsid w:val="00712462"/>
    <w:rsid w:val="007124CB"/>
    <w:rsid w:val="00712676"/>
    <w:rsid w:val="00712770"/>
    <w:rsid w:val="00712C94"/>
    <w:rsid w:val="00712DA5"/>
    <w:rsid w:val="007132C8"/>
    <w:rsid w:val="007134A1"/>
    <w:rsid w:val="00713538"/>
    <w:rsid w:val="00713DB1"/>
    <w:rsid w:val="00713F61"/>
    <w:rsid w:val="007141E4"/>
    <w:rsid w:val="0071441F"/>
    <w:rsid w:val="0071479B"/>
    <w:rsid w:val="007147CC"/>
    <w:rsid w:val="00714A1F"/>
    <w:rsid w:val="00714D53"/>
    <w:rsid w:val="00714D6D"/>
    <w:rsid w:val="00714DFE"/>
    <w:rsid w:val="00714EA5"/>
    <w:rsid w:val="00715115"/>
    <w:rsid w:val="00715121"/>
    <w:rsid w:val="00715223"/>
    <w:rsid w:val="007153AC"/>
    <w:rsid w:val="00715676"/>
    <w:rsid w:val="007156B0"/>
    <w:rsid w:val="00715702"/>
    <w:rsid w:val="007158BB"/>
    <w:rsid w:val="00715A1D"/>
    <w:rsid w:val="00715E0B"/>
    <w:rsid w:val="00715E9B"/>
    <w:rsid w:val="007160AF"/>
    <w:rsid w:val="007162EB"/>
    <w:rsid w:val="00716565"/>
    <w:rsid w:val="0071667C"/>
    <w:rsid w:val="00716770"/>
    <w:rsid w:val="00716DA6"/>
    <w:rsid w:val="00716F86"/>
    <w:rsid w:val="007170E0"/>
    <w:rsid w:val="00717172"/>
    <w:rsid w:val="007172FA"/>
    <w:rsid w:val="0071758E"/>
    <w:rsid w:val="007176BE"/>
    <w:rsid w:val="00717708"/>
    <w:rsid w:val="00717951"/>
    <w:rsid w:val="007179A9"/>
    <w:rsid w:val="00717C47"/>
    <w:rsid w:val="00717F27"/>
    <w:rsid w:val="007203D8"/>
    <w:rsid w:val="007204B6"/>
    <w:rsid w:val="00720615"/>
    <w:rsid w:val="00720826"/>
    <w:rsid w:val="007208A4"/>
    <w:rsid w:val="00720AA5"/>
    <w:rsid w:val="00720B0F"/>
    <w:rsid w:val="0072114F"/>
    <w:rsid w:val="007211DA"/>
    <w:rsid w:val="007211ED"/>
    <w:rsid w:val="0072125A"/>
    <w:rsid w:val="007216D3"/>
    <w:rsid w:val="00721707"/>
    <w:rsid w:val="00721E63"/>
    <w:rsid w:val="00722403"/>
    <w:rsid w:val="0072253A"/>
    <w:rsid w:val="0072265D"/>
    <w:rsid w:val="007227C7"/>
    <w:rsid w:val="0072285F"/>
    <w:rsid w:val="00722E96"/>
    <w:rsid w:val="00722F0A"/>
    <w:rsid w:val="00722F0D"/>
    <w:rsid w:val="007232B3"/>
    <w:rsid w:val="00723370"/>
    <w:rsid w:val="00723392"/>
    <w:rsid w:val="00723485"/>
    <w:rsid w:val="007234B5"/>
    <w:rsid w:val="00723593"/>
    <w:rsid w:val="007235EA"/>
    <w:rsid w:val="007235F9"/>
    <w:rsid w:val="0072370A"/>
    <w:rsid w:val="0072378B"/>
    <w:rsid w:val="0072396D"/>
    <w:rsid w:val="0072397E"/>
    <w:rsid w:val="00723A17"/>
    <w:rsid w:val="00723E56"/>
    <w:rsid w:val="00723F9C"/>
    <w:rsid w:val="0072407B"/>
    <w:rsid w:val="00724094"/>
    <w:rsid w:val="00724095"/>
    <w:rsid w:val="007241BD"/>
    <w:rsid w:val="007243B7"/>
    <w:rsid w:val="007246A7"/>
    <w:rsid w:val="00724933"/>
    <w:rsid w:val="007249C3"/>
    <w:rsid w:val="007249D9"/>
    <w:rsid w:val="00724F81"/>
    <w:rsid w:val="00724F91"/>
    <w:rsid w:val="00725126"/>
    <w:rsid w:val="00725195"/>
    <w:rsid w:val="00725228"/>
    <w:rsid w:val="007252EF"/>
    <w:rsid w:val="007256BB"/>
    <w:rsid w:val="0072602A"/>
    <w:rsid w:val="00726186"/>
    <w:rsid w:val="0072629E"/>
    <w:rsid w:val="007263DA"/>
    <w:rsid w:val="0072649D"/>
    <w:rsid w:val="007268B0"/>
    <w:rsid w:val="00726CDF"/>
    <w:rsid w:val="00726D74"/>
    <w:rsid w:val="00726E02"/>
    <w:rsid w:val="00726FEB"/>
    <w:rsid w:val="0072715E"/>
    <w:rsid w:val="0072744B"/>
    <w:rsid w:val="0072762C"/>
    <w:rsid w:val="0072774D"/>
    <w:rsid w:val="007277E8"/>
    <w:rsid w:val="0072782A"/>
    <w:rsid w:val="00727C8F"/>
    <w:rsid w:val="00727FEC"/>
    <w:rsid w:val="0073003B"/>
    <w:rsid w:val="00730097"/>
    <w:rsid w:val="00730197"/>
    <w:rsid w:val="0073024A"/>
    <w:rsid w:val="007302C8"/>
    <w:rsid w:val="00730728"/>
    <w:rsid w:val="00730774"/>
    <w:rsid w:val="0073090C"/>
    <w:rsid w:val="007309EC"/>
    <w:rsid w:val="00730A9B"/>
    <w:rsid w:val="00730AB0"/>
    <w:rsid w:val="00730B5C"/>
    <w:rsid w:val="00730F58"/>
    <w:rsid w:val="00731303"/>
    <w:rsid w:val="007317DE"/>
    <w:rsid w:val="00731A9C"/>
    <w:rsid w:val="00731AE5"/>
    <w:rsid w:val="00731D36"/>
    <w:rsid w:val="00731E06"/>
    <w:rsid w:val="00731E77"/>
    <w:rsid w:val="0073217F"/>
    <w:rsid w:val="00732380"/>
    <w:rsid w:val="007323A5"/>
    <w:rsid w:val="007324F6"/>
    <w:rsid w:val="007325E9"/>
    <w:rsid w:val="00732607"/>
    <w:rsid w:val="0073278D"/>
    <w:rsid w:val="007328A9"/>
    <w:rsid w:val="00732B0D"/>
    <w:rsid w:val="00732BF8"/>
    <w:rsid w:val="00732D4C"/>
    <w:rsid w:val="00732D7B"/>
    <w:rsid w:val="00732DB9"/>
    <w:rsid w:val="00732DFB"/>
    <w:rsid w:val="00732F2F"/>
    <w:rsid w:val="007330A0"/>
    <w:rsid w:val="007332C5"/>
    <w:rsid w:val="00733361"/>
    <w:rsid w:val="00733522"/>
    <w:rsid w:val="00733685"/>
    <w:rsid w:val="00733700"/>
    <w:rsid w:val="0073378C"/>
    <w:rsid w:val="00733982"/>
    <w:rsid w:val="00733A00"/>
    <w:rsid w:val="00733A08"/>
    <w:rsid w:val="00733B32"/>
    <w:rsid w:val="00733E55"/>
    <w:rsid w:val="00733EBD"/>
    <w:rsid w:val="00733EDD"/>
    <w:rsid w:val="00734508"/>
    <w:rsid w:val="007345D1"/>
    <w:rsid w:val="00734743"/>
    <w:rsid w:val="00734885"/>
    <w:rsid w:val="0073498B"/>
    <w:rsid w:val="00734AEB"/>
    <w:rsid w:val="00734BE9"/>
    <w:rsid w:val="00734D49"/>
    <w:rsid w:val="00734F9A"/>
    <w:rsid w:val="00734FA8"/>
    <w:rsid w:val="00734FFC"/>
    <w:rsid w:val="00735309"/>
    <w:rsid w:val="0073556B"/>
    <w:rsid w:val="00735929"/>
    <w:rsid w:val="00735969"/>
    <w:rsid w:val="007359EC"/>
    <w:rsid w:val="00735A03"/>
    <w:rsid w:val="00735BD8"/>
    <w:rsid w:val="00735D2F"/>
    <w:rsid w:val="00735E06"/>
    <w:rsid w:val="00735E32"/>
    <w:rsid w:val="007361B7"/>
    <w:rsid w:val="00736282"/>
    <w:rsid w:val="00736484"/>
    <w:rsid w:val="007364AC"/>
    <w:rsid w:val="0073676B"/>
    <w:rsid w:val="007369A5"/>
    <w:rsid w:val="00736D15"/>
    <w:rsid w:val="00736DE8"/>
    <w:rsid w:val="00736F57"/>
    <w:rsid w:val="007371E3"/>
    <w:rsid w:val="00737455"/>
    <w:rsid w:val="00737519"/>
    <w:rsid w:val="007376A1"/>
    <w:rsid w:val="007377E3"/>
    <w:rsid w:val="007377F5"/>
    <w:rsid w:val="00737814"/>
    <w:rsid w:val="00737881"/>
    <w:rsid w:val="00737C39"/>
    <w:rsid w:val="0074015E"/>
    <w:rsid w:val="0074026B"/>
    <w:rsid w:val="007406EA"/>
    <w:rsid w:val="00740925"/>
    <w:rsid w:val="007409F4"/>
    <w:rsid w:val="00740B7A"/>
    <w:rsid w:val="00740C33"/>
    <w:rsid w:val="00740EC4"/>
    <w:rsid w:val="0074114B"/>
    <w:rsid w:val="007419CB"/>
    <w:rsid w:val="00741AC4"/>
    <w:rsid w:val="00741AFD"/>
    <w:rsid w:val="00741D2C"/>
    <w:rsid w:val="00741D6F"/>
    <w:rsid w:val="00741D7C"/>
    <w:rsid w:val="00741E05"/>
    <w:rsid w:val="00741E87"/>
    <w:rsid w:val="00741E92"/>
    <w:rsid w:val="00741EC5"/>
    <w:rsid w:val="00742314"/>
    <w:rsid w:val="007423EF"/>
    <w:rsid w:val="00742412"/>
    <w:rsid w:val="0074244B"/>
    <w:rsid w:val="00742933"/>
    <w:rsid w:val="0074299C"/>
    <w:rsid w:val="00742A3E"/>
    <w:rsid w:val="00742B4D"/>
    <w:rsid w:val="00742BD9"/>
    <w:rsid w:val="00742C57"/>
    <w:rsid w:val="00742C94"/>
    <w:rsid w:val="0074353C"/>
    <w:rsid w:val="007435AD"/>
    <w:rsid w:val="007436E8"/>
    <w:rsid w:val="007438D3"/>
    <w:rsid w:val="00743F39"/>
    <w:rsid w:val="007440A8"/>
    <w:rsid w:val="007444AB"/>
    <w:rsid w:val="00744A12"/>
    <w:rsid w:val="00744F3E"/>
    <w:rsid w:val="00745100"/>
    <w:rsid w:val="00745222"/>
    <w:rsid w:val="007452B2"/>
    <w:rsid w:val="007453A9"/>
    <w:rsid w:val="00745568"/>
    <w:rsid w:val="007455BE"/>
    <w:rsid w:val="007455C6"/>
    <w:rsid w:val="00745882"/>
    <w:rsid w:val="00745941"/>
    <w:rsid w:val="00745A6A"/>
    <w:rsid w:val="00745B6F"/>
    <w:rsid w:val="00745C2F"/>
    <w:rsid w:val="00745DAF"/>
    <w:rsid w:val="00745FE2"/>
    <w:rsid w:val="00746160"/>
    <w:rsid w:val="007463E9"/>
    <w:rsid w:val="007464B8"/>
    <w:rsid w:val="0074651A"/>
    <w:rsid w:val="0074667D"/>
    <w:rsid w:val="00746883"/>
    <w:rsid w:val="0074689A"/>
    <w:rsid w:val="007468D6"/>
    <w:rsid w:val="007469E9"/>
    <w:rsid w:val="00746B2A"/>
    <w:rsid w:val="00746B35"/>
    <w:rsid w:val="00746C81"/>
    <w:rsid w:val="00746FBB"/>
    <w:rsid w:val="00747020"/>
    <w:rsid w:val="00747022"/>
    <w:rsid w:val="007471B1"/>
    <w:rsid w:val="00747276"/>
    <w:rsid w:val="007472F7"/>
    <w:rsid w:val="007472FF"/>
    <w:rsid w:val="007473B2"/>
    <w:rsid w:val="007473EB"/>
    <w:rsid w:val="00747A48"/>
    <w:rsid w:val="00747ABA"/>
    <w:rsid w:val="00747B71"/>
    <w:rsid w:val="00750037"/>
    <w:rsid w:val="00750289"/>
    <w:rsid w:val="007506E3"/>
    <w:rsid w:val="00750C0B"/>
    <w:rsid w:val="00750C8F"/>
    <w:rsid w:val="00750E5D"/>
    <w:rsid w:val="00750F19"/>
    <w:rsid w:val="00750F40"/>
    <w:rsid w:val="00750FF5"/>
    <w:rsid w:val="007512F2"/>
    <w:rsid w:val="00751369"/>
    <w:rsid w:val="007515DA"/>
    <w:rsid w:val="007516E3"/>
    <w:rsid w:val="007519E9"/>
    <w:rsid w:val="00751BDD"/>
    <w:rsid w:val="00751F3D"/>
    <w:rsid w:val="00752143"/>
    <w:rsid w:val="00752412"/>
    <w:rsid w:val="0075244D"/>
    <w:rsid w:val="00752773"/>
    <w:rsid w:val="007528B5"/>
    <w:rsid w:val="00752960"/>
    <w:rsid w:val="00752AA3"/>
    <w:rsid w:val="00752AFA"/>
    <w:rsid w:val="00752B17"/>
    <w:rsid w:val="00752C9C"/>
    <w:rsid w:val="00752CE0"/>
    <w:rsid w:val="00752E1C"/>
    <w:rsid w:val="00752E9B"/>
    <w:rsid w:val="00752F93"/>
    <w:rsid w:val="00752FFE"/>
    <w:rsid w:val="0075319A"/>
    <w:rsid w:val="00753402"/>
    <w:rsid w:val="0075350C"/>
    <w:rsid w:val="00753729"/>
    <w:rsid w:val="007537B3"/>
    <w:rsid w:val="00753813"/>
    <w:rsid w:val="007538CC"/>
    <w:rsid w:val="0075397A"/>
    <w:rsid w:val="00753B6D"/>
    <w:rsid w:val="00753C23"/>
    <w:rsid w:val="00753CDE"/>
    <w:rsid w:val="00754135"/>
    <w:rsid w:val="0075420D"/>
    <w:rsid w:val="0075423B"/>
    <w:rsid w:val="007543AB"/>
    <w:rsid w:val="007544A3"/>
    <w:rsid w:val="0075494E"/>
    <w:rsid w:val="00754A3F"/>
    <w:rsid w:val="00754CC3"/>
    <w:rsid w:val="00754D1F"/>
    <w:rsid w:val="00754D6D"/>
    <w:rsid w:val="0075501C"/>
    <w:rsid w:val="0075510D"/>
    <w:rsid w:val="0075514B"/>
    <w:rsid w:val="00755710"/>
    <w:rsid w:val="00755762"/>
    <w:rsid w:val="00755839"/>
    <w:rsid w:val="007558EE"/>
    <w:rsid w:val="00755917"/>
    <w:rsid w:val="00755969"/>
    <w:rsid w:val="0075597C"/>
    <w:rsid w:val="00755B39"/>
    <w:rsid w:val="00755DC6"/>
    <w:rsid w:val="007560AD"/>
    <w:rsid w:val="007560EE"/>
    <w:rsid w:val="007568CE"/>
    <w:rsid w:val="00756A50"/>
    <w:rsid w:val="00756A8D"/>
    <w:rsid w:val="00756B5F"/>
    <w:rsid w:val="00756B60"/>
    <w:rsid w:val="00756C09"/>
    <w:rsid w:val="00756D1E"/>
    <w:rsid w:val="00756DA8"/>
    <w:rsid w:val="00756EAF"/>
    <w:rsid w:val="0075707D"/>
    <w:rsid w:val="007572CA"/>
    <w:rsid w:val="00757306"/>
    <w:rsid w:val="00757809"/>
    <w:rsid w:val="007578F8"/>
    <w:rsid w:val="00757C54"/>
    <w:rsid w:val="00757E72"/>
    <w:rsid w:val="0076022A"/>
    <w:rsid w:val="0076053F"/>
    <w:rsid w:val="0076061A"/>
    <w:rsid w:val="0076078E"/>
    <w:rsid w:val="00760809"/>
    <w:rsid w:val="0076083C"/>
    <w:rsid w:val="00760BD4"/>
    <w:rsid w:val="0076100E"/>
    <w:rsid w:val="0076109D"/>
    <w:rsid w:val="007610A0"/>
    <w:rsid w:val="00761293"/>
    <w:rsid w:val="007612D1"/>
    <w:rsid w:val="007616CA"/>
    <w:rsid w:val="007616D6"/>
    <w:rsid w:val="00761717"/>
    <w:rsid w:val="007619F0"/>
    <w:rsid w:val="00761A57"/>
    <w:rsid w:val="00761B6C"/>
    <w:rsid w:val="00761E03"/>
    <w:rsid w:val="00761E1F"/>
    <w:rsid w:val="00761FFD"/>
    <w:rsid w:val="007620D7"/>
    <w:rsid w:val="00762187"/>
    <w:rsid w:val="007621DA"/>
    <w:rsid w:val="0076221D"/>
    <w:rsid w:val="0076223A"/>
    <w:rsid w:val="007623A0"/>
    <w:rsid w:val="007624C4"/>
    <w:rsid w:val="00762987"/>
    <w:rsid w:val="00762BF2"/>
    <w:rsid w:val="00762CE1"/>
    <w:rsid w:val="00763138"/>
    <w:rsid w:val="00763200"/>
    <w:rsid w:val="007632A6"/>
    <w:rsid w:val="007632F5"/>
    <w:rsid w:val="007634C4"/>
    <w:rsid w:val="0076350E"/>
    <w:rsid w:val="007636F9"/>
    <w:rsid w:val="00763740"/>
    <w:rsid w:val="007638C3"/>
    <w:rsid w:val="00763A71"/>
    <w:rsid w:val="00763D5E"/>
    <w:rsid w:val="00763EB4"/>
    <w:rsid w:val="00763F52"/>
    <w:rsid w:val="0076429D"/>
    <w:rsid w:val="00764435"/>
    <w:rsid w:val="0076466E"/>
    <w:rsid w:val="00764873"/>
    <w:rsid w:val="00764C35"/>
    <w:rsid w:val="00764E39"/>
    <w:rsid w:val="007651A0"/>
    <w:rsid w:val="0076522C"/>
    <w:rsid w:val="00765364"/>
    <w:rsid w:val="00765449"/>
    <w:rsid w:val="007654F5"/>
    <w:rsid w:val="007658DD"/>
    <w:rsid w:val="00765DBA"/>
    <w:rsid w:val="00765E96"/>
    <w:rsid w:val="00765F61"/>
    <w:rsid w:val="00766235"/>
    <w:rsid w:val="00766273"/>
    <w:rsid w:val="007662C3"/>
    <w:rsid w:val="007666DE"/>
    <w:rsid w:val="0076678F"/>
    <w:rsid w:val="007669B7"/>
    <w:rsid w:val="00766B56"/>
    <w:rsid w:val="00766B79"/>
    <w:rsid w:val="00766C62"/>
    <w:rsid w:val="0076700F"/>
    <w:rsid w:val="007672F8"/>
    <w:rsid w:val="007674BA"/>
    <w:rsid w:val="007677F4"/>
    <w:rsid w:val="00767BEB"/>
    <w:rsid w:val="00767D01"/>
    <w:rsid w:val="00767E57"/>
    <w:rsid w:val="00767F91"/>
    <w:rsid w:val="00767FDD"/>
    <w:rsid w:val="00770073"/>
    <w:rsid w:val="007700D9"/>
    <w:rsid w:val="00770192"/>
    <w:rsid w:val="007701D2"/>
    <w:rsid w:val="00770243"/>
    <w:rsid w:val="00770454"/>
    <w:rsid w:val="007706E1"/>
    <w:rsid w:val="00770776"/>
    <w:rsid w:val="007709A2"/>
    <w:rsid w:val="007709B8"/>
    <w:rsid w:val="00770B25"/>
    <w:rsid w:val="00770B4C"/>
    <w:rsid w:val="00770C89"/>
    <w:rsid w:val="00770E20"/>
    <w:rsid w:val="00771014"/>
    <w:rsid w:val="00771019"/>
    <w:rsid w:val="00771059"/>
    <w:rsid w:val="00771116"/>
    <w:rsid w:val="00771278"/>
    <w:rsid w:val="00771315"/>
    <w:rsid w:val="00771D53"/>
    <w:rsid w:val="00771D58"/>
    <w:rsid w:val="00771DD7"/>
    <w:rsid w:val="00771E4D"/>
    <w:rsid w:val="00772447"/>
    <w:rsid w:val="0077263B"/>
    <w:rsid w:val="00772722"/>
    <w:rsid w:val="00772827"/>
    <w:rsid w:val="00772A1C"/>
    <w:rsid w:val="00772AFB"/>
    <w:rsid w:val="00772B43"/>
    <w:rsid w:val="00772C3E"/>
    <w:rsid w:val="00772C97"/>
    <w:rsid w:val="00772D8D"/>
    <w:rsid w:val="0077306C"/>
    <w:rsid w:val="007730F2"/>
    <w:rsid w:val="00773123"/>
    <w:rsid w:val="00773A2E"/>
    <w:rsid w:val="00773B3C"/>
    <w:rsid w:val="00773B78"/>
    <w:rsid w:val="00773D39"/>
    <w:rsid w:val="0077409C"/>
    <w:rsid w:val="0077413E"/>
    <w:rsid w:val="007741A5"/>
    <w:rsid w:val="00774219"/>
    <w:rsid w:val="00774342"/>
    <w:rsid w:val="00774669"/>
    <w:rsid w:val="00774908"/>
    <w:rsid w:val="0077492B"/>
    <w:rsid w:val="00774A2D"/>
    <w:rsid w:val="00774B0F"/>
    <w:rsid w:val="00774B5E"/>
    <w:rsid w:val="00774C00"/>
    <w:rsid w:val="00774C82"/>
    <w:rsid w:val="00774CDC"/>
    <w:rsid w:val="00774FAF"/>
    <w:rsid w:val="00774FBE"/>
    <w:rsid w:val="007752C1"/>
    <w:rsid w:val="00775351"/>
    <w:rsid w:val="00775403"/>
    <w:rsid w:val="007755D1"/>
    <w:rsid w:val="00775619"/>
    <w:rsid w:val="0077581A"/>
    <w:rsid w:val="00775848"/>
    <w:rsid w:val="00775887"/>
    <w:rsid w:val="007758AF"/>
    <w:rsid w:val="00775987"/>
    <w:rsid w:val="00775AEB"/>
    <w:rsid w:val="00775C7A"/>
    <w:rsid w:val="00775F29"/>
    <w:rsid w:val="00775FB7"/>
    <w:rsid w:val="007760C5"/>
    <w:rsid w:val="007761A6"/>
    <w:rsid w:val="007762D1"/>
    <w:rsid w:val="00776355"/>
    <w:rsid w:val="007764A5"/>
    <w:rsid w:val="0077659F"/>
    <w:rsid w:val="0077698B"/>
    <w:rsid w:val="00776AA6"/>
    <w:rsid w:val="00776C7A"/>
    <w:rsid w:val="00776F17"/>
    <w:rsid w:val="00776F69"/>
    <w:rsid w:val="007771C8"/>
    <w:rsid w:val="0077734D"/>
    <w:rsid w:val="007775AC"/>
    <w:rsid w:val="00777677"/>
    <w:rsid w:val="007779A0"/>
    <w:rsid w:val="00777AAE"/>
    <w:rsid w:val="00777BAD"/>
    <w:rsid w:val="00777C9F"/>
    <w:rsid w:val="00777FE3"/>
    <w:rsid w:val="007802B7"/>
    <w:rsid w:val="007802D0"/>
    <w:rsid w:val="00780634"/>
    <w:rsid w:val="007806A8"/>
    <w:rsid w:val="007806BA"/>
    <w:rsid w:val="007809D6"/>
    <w:rsid w:val="00780B39"/>
    <w:rsid w:val="00780C1E"/>
    <w:rsid w:val="007816D3"/>
    <w:rsid w:val="007816F8"/>
    <w:rsid w:val="00781702"/>
    <w:rsid w:val="00781917"/>
    <w:rsid w:val="00781C32"/>
    <w:rsid w:val="00781C6B"/>
    <w:rsid w:val="00781D5F"/>
    <w:rsid w:val="00781DF9"/>
    <w:rsid w:val="00781EB1"/>
    <w:rsid w:val="007823D4"/>
    <w:rsid w:val="0078240F"/>
    <w:rsid w:val="00782461"/>
    <w:rsid w:val="00782483"/>
    <w:rsid w:val="007827B7"/>
    <w:rsid w:val="007828D7"/>
    <w:rsid w:val="00782948"/>
    <w:rsid w:val="00782B9B"/>
    <w:rsid w:val="00782BE2"/>
    <w:rsid w:val="00782BFB"/>
    <w:rsid w:val="00783107"/>
    <w:rsid w:val="007835AA"/>
    <w:rsid w:val="00783603"/>
    <w:rsid w:val="0078391D"/>
    <w:rsid w:val="00783BB5"/>
    <w:rsid w:val="00783E92"/>
    <w:rsid w:val="00784293"/>
    <w:rsid w:val="007842C2"/>
    <w:rsid w:val="0078441B"/>
    <w:rsid w:val="00785005"/>
    <w:rsid w:val="0078539E"/>
    <w:rsid w:val="0078548B"/>
    <w:rsid w:val="007854D4"/>
    <w:rsid w:val="007857AF"/>
    <w:rsid w:val="00785803"/>
    <w:rsid w:val="00785ACB"/>
    <w:rsid w:val="00785C8A"/>
    <w:rsid w:val="00785DC4"/>
    <w:rsid w:val="00785E5A"/>
    <w:rsid w:val="0078638B"/>
    <w:rsid w:val="007864C2"/>
    <w:rsid w:val="0078666C"/>
    <w:rsid w:val="0078676A"/>
    <w:rsid w:val="00786C6C"/>
    <w:rsid w:val="00786CB9"/>
    <w:rsid w:val="00786D42"/>
    <w:rsid w:val="00786F02"/>
    <w:rsid w:val="00786F91"/>
    <w:rsid w:val="007870A7"/>
    <w:rsid w:val="00787219"/>
    <w:rsid w:val="0078767A"/>
    <w:rsid w:val="0078782B"/>
    <w:rsid w:val="0078793C"/>
    <w:rsid w:val="0078795B"/>
    <w:rsid w:val="00787A84"/>
    <w:rsid w:val="00787B6E"/>
    <w:rsid w:val="00787C2D"/>
    <w:rsid w:val="00787D18"/>
    <w:rsid w:val="00787D3B"/>
    <w:rsid w:val="0079000B"/>
    <w:rsid w:val="00790376"/>
    <w:rsid w:val="0079037A"/>
    <w:rsid w:val="007903B4"/>
    <w:rsid w:val="00790627"/>
    <w:rsid w:val="00790710"/>
    <w:rsid w:val="007908C0"/>
    <w:rsid w:val="00790A88"/>
    <w:rsid w:val="00790AD8"/>
    <w:rsid w:val="00790E5E"/>
    <w:rsid w:val="00790EB0"/>
    <w:rsid w:val="0079126F"/>
    <w:rsid w:val="007914A7"/>
    <w:rsid w:val="00791610"/>
    <w:rsid w:val="007917A4"/>
    <w:rsid w:val="007917DC"/>
    <w:rsid w:val="00791897"/>
    <w:rsid w:val="00792276"/>
    <w:rsid w:val="00792339"/>
    <w:rsid w:val="0079240C"/>
    <w:rsid w:val="007926A4"/>
    <w:rsid w:val="00792767"/>
    <w:rsid w:val="00792955"/>
    <w:rsid w:val="00792976"/>
    <w:rsid w:val="0079313A"/>
    <w:rsid w:val="0079351A"/>
    <w:rsid w:val="007938C4"/>
    <w:rsid w:val="00793A77"/>
    <w:rsid w:val="00793C7A"/>
    <w:rsid w:val="00793CD3"/>
    <w:rsid w:val="007945DC"/>
    <w:rsid w:val="00794643"/>
    <w:rsid w:val="00794A9C"/>
    <w:rsid w:val="00794AE6"/>
    <w:rsid w:val="00794C1C"/>
    <w:rsid w:val="00794DBC"/>
    <w:rsid w:val="0079503F"/>
    <w:rsid w:val="007951D2"/>
    <w:rsid w:val="00795281"/>
    <w:rsid w:val="00795365"/>
    <w:rsid w:val="007953BC"/>
    <w:rsid w:val="00795437"/>
    <w:rsid w:val="007955D3"/>
    <w:rsid w:val="00795742"/>
    <w:rsid w:val="0079580F"/>
    <w:rsid w:val="00795898"/>
    <w:rsid w:val="00795971"/>
    <w:rsid w:val="007959AE"/>
    <w:rsid w:val="00795C83"/>
    <w:rsid w:val="007960C6"/>
    <w:rsid w:val="0079650B"/>
    <w:rsid w:val="00796738"/>
    <w:rsid w:val="007967E8"/>
    <w:rsid w:val="00796998"/>
    <w:rsid w:val="00796A28"/>
    <w:rsid w:val="00796E42"/>
    <w:rsid w:val="00796E66"/>
    <w:rsid w:val="00796F40"/>
    <w:rsid w:val="00797076"/>
    <w:rsid w:val="00797186"/>
    <w:rsid w:val="0079732B"/>
    <w:rsid w:val="007974E1"/>
    <w:rsid w:val="00797540"/>
    <w:rsid w:val="007975CD"/>
    <w:rsid w:val="0079780C"/>
    <w:rsid w:val="00797847"/>
    <w:rsid w:val="00797917"/>
    <w:rsid w:val="00797927"/>
    <w:rsid w:val="00797C63"/>
    <w:rsid w:val="007A030B"/>
    <w:rsid w:val="007A0555"/>
    <w:rsid w:val="007A055F"/>
    <w:rsid w:val="007A060D"/>
    <w:rsid w:val="007A084D"/>
    <w:rsid w:val="007A0911"/>
    <w:rsid w:val="007A097B"/>
    <w:rsid w:val="007A0A26"/>
    <w:rsid w:val="007A0AF4"/>
    <w:rsid w:val="007A10AE"/>
    <w:rsid w:val="007A12E3"/>
    <w:rsid w:val="007A148F"/>
    <w:rsid w:val="007A14F5"/>
    <w:rsid w:val="007A15FE"/>
    <w:rsid w:val="007A17E5"/>
    <w:rsid w:val="007A17EF"/>
    <w:rsid w:val="007A186A"/>
    <w:rsid w:val="007A19AC"/>
    <w:rsid w:val="007A19F2"/>
    <w:rsid w:val="007A1ACB"/>
    <w:rsid w:val="007A1AF1"/>
    <w:rsid w:val="007A1BDE"/>
    <w:rsid w:val="007A1E3E"/>
    <w:rsid w:val="007A2069"/>
    <w:rsid w:val="007A246B"/>
    <w:rsid w:val="007A25BF"/>
    <w:rsid w:val="007A2840"/>
    <w:rsid w:val="007A289C"/>
    <w:rsid w:val="007A29AB"/>
    <w:rsid w:val="007A2E9C"/>
    <w:rsid w:val="007A2EA0"/>
    <w:rsid w:val="007A341E"/>
    <w:rsid w:val="007A36E7"/>
    <w:rsid w:val="007A373B"/>
    <w:rsid w:val="007A3D1B"/>
    <w:rsid w:val="007A3D51"/>
    <w:rsid w:val="007A3DFB"/>
    <w:rsid w:val="007A4002"/>
    <w:rsid w:val="007A40CD"/>
    <w:rsid w:val="007A4555"/>
    <w:rsid w:val="007A4814"/>
    <w:rsid w:val="007A48A0"/>
    <w:rsid w:val="007A48BD"/>
    <w:rsid w:val="007A4B4E"/>
    <w:rsid w:val="007A4EBE"/>
    <w:rsid w:val="007A504B"/>
    <w:rsid w:val="007A53A4"/>
    <w:rsid w:val="007A564B"/>
    <w:rsid w:val="007A56EE"/>
    <w:rsid w:val="007A57DB"/>
    <w:rsid w:val="007A58B9"/>
    <w:rsid w:val="007A58D3"/>
    <w:rsid w:val="007A5901"/>
    <w:rsid w:val="007A5D17"/>
    <w:rsid w:val="007A5F39"/>
    <w:rsid w:val="007A626F"/>
    <w:rsid w:val="007A653C"/>
    <w:rsid w:val="007A6789"/>
    <w:rsid w:val="007A6886"/>
    <w:rsid w:val="007A690D"/>
    <w:rsid w:val="007A6AB2"/>
    <w:rsid w:val="007A6D56"/>
    <w:rsid w:val="007A6D9C"/>
    <w:rsid w:val="007A712C"/>
    <w:rsid w:val="007A722D"/>
    <w:rsid w:val="007A729E"/>
    <w:rsid w:val="007A7505"/>
    <w:rsid w:val="007A77C3"/>
    <w:rsid w:val="007A7961"/>
    <w:rsid w:val="007A7999"/>
    <w:rsid w:val="007A79D8"/>
    <w:rsid w:val="007A7B33"/>
    <w:rsid w:val="007A7BB9"/>
    <w:rsid w:val="007A7C2F"/>
    <w:rsid w:val="007A7E6A"/>
    <w:rsid w:val="007A7E86"/>
    <w:rsid w:val="007B00E1"/>
    <w:rsid w:val="007B03FA"/>
    <w:rsid w:val="007B04DA"/>
    <w:rsid w:val="007B051F"/>
    <w:rsid w:val="007B0572"/>
    <w:rsid w:val="007B05F5"/>
    <w:rsid w:val="007B07DB"/>
    <w:rsid w:val="007B0806"/>
    <w:rsid w:val="007B08E8"/>
    <w:rsid w:val="007B09A4"/>
    <w:rsid w:val="007B09B0"/>
    <w:rsid w:val="007B0CBF"/>
    <w:rsid w:val="007B0EBA"/>
    <w:rsid w:val="007B0FDD"/>
    <w:rsid w:val="007B108D"/>
    <w:rsid w:val="007B115D"/>
    <w:rsid w:val="007B1354"/>
    <w:rsid w:val="007B1414"/>
    <w:rsid w:val="007B149D"/>
    <w:rsid w:val="007B167A"/>
    <w:rsid w:val="007B1B93"/>
    <w:rsid w:val="007B1DE2"/>
    <w:rsid w:val="007B232D"/>
    <w:rsid w:val="007B266A"/>
    <w:rsid w:val="007B271E"/>
    <w:rsid w:val="007B2C0F"/>
    <w:rsid w:val="007B2C13"/>
    <w:rsid w:val="007B2C41"/>
    <w:rsid w:val="007B2FA8"/>
    <w:rsid w:val="007B31B8"/>
    <w:rsid w:val="007B34C1"/>
    <w:rsid w:val="007B34EA"/>
    <w:rsid w:val="007B3621"/>
    <w:rsid w:val="007B38C0"/>
    <w:rsid w:val="007B38ED"/>
    <w:rsid w:val="007B3A88"/>
    <w:rsid w:val="007B3D8A"/>
    <w:rsid w:val="007B3EC1"/>
    <w:rsid w:val="007B4264"/>
    <w:rsid w:val="007B4286"/>
    <w:rsid w:val="007B434B"/>
    <w:rsid w:val="007B4464"/>
    <w:rsid w:val="007B467F"/>
    <w:rsid w:val="007B46A9"/>
    <w:rsid w:val="007B46D9"/>
    <w:rsid w:val="007B4C14"/>
    <w:rsid w:val="007B4C19"/>
    <w:rsid w:val="007B4D5A"/>
    <w:rsid w:val="007B4E82"/>
    <w:rsid w:val="007B50A9"/>
    <w:rsid w:val="007B559F"/>
    <w:rsid w:val="007B55FF"/>
    <w:rsid w:val="007B566B"/>
    <w:rsid w:val="007B56E5"/>
    <w:rsid w:val="007B5925"/>
    <w:rsid w:val="007B5D5A"/>
    <w:rsid w:val="007B5E35"/>
    <w:rsid w:val="007B65F4"/>
    <w:rsid w:val="007B66C1"/>
    <w:rsid w:val="007B6847"/>
    <w:rsid w:val="007B6B39"/>
    <w:rsid w:val="007B6CDB"/>
    <w:rsid w:val="007B6D60"/>
    <w:rsid w:val="007B6E22"/>
    <w:rsid w:val="007B7042"/>
    <w:rsid w:val="007B70F8"/>
    <w:rsid w:val="007B71C5"/>
    <w:rsid w:val="007B725D"/>
    <w:rsid w:val="007B72C3"/>
    <w:rsid w:val="007B7393"/>
    <w:rsid w:val="007B7461"/>
    <w:rsid w:val="007B74E6"/>
    <w:rsid w:val="007B75D9"/>
    <w:rsid w:val="007B76CF"/>
    <w:rsid w:val="007B775F"/>
    <w:rsid w:val="007B7892"/>
    <w:rsid w:val="007B7CA1"/>
    <w:rsid w:val="007B7FFB"/>
    <w:rsid w:val="007C005C"/>
    <w:rsid w:val="007C00A5"/>
    <w:rsid w:val="007C024C"/>
    <w:rsid w:val="007C07B7"/>
    <w:rsid w:val="007C14F1"/>
    <w:rsid w:val="007C15A3"/>
    <w:rsid w:val="007C1A0B"/>
    <w:rsid w:val="007C1C30"/>
    <w:rsid w:val="007C1C44"/>
    <w:rsid w:val="007C1C8D"/>
    <w:rsid w:val="007C1CBA"/>
    <w:rsid w:val="007C1CEB"/>
    <w:rsid w:val="007C1E99"/>
    <w:rsid w:val="007C1F1E"/>
    <w:rsid w:val="007C1FF8"/>
    <w:rsid w:val="007C2010"/>
    <w:rsid w:val="007C21DA"/>
    <w:rsid w:val="007C2205"/>
    <w:rsid w:val="007C23F0"/>
    <w:rsid w:val="007C250A"/>
    <w:rsid w:val="007C2854"/>
    <w:rsid w:val="007C288D"/>
    <w:rsid w:val="007C2B6C"/>
    <w:rsid w:val="007C2FCE"/>
    <w:rsid w:val="007C2FD8"/>
    <w:rsid w:val="007C32E0"/>
    <w:rsid w:val="007C3440"/>
    <w:rsid w:val="007C3522"/>
    <w:rsid w:val="007C3541"/>
    <w:rsid w:val="007C4123"/>
    <w:rsid w:val="007C432C"/>
    <w:rsid w:val="007C46B3"/>
    <w:rsid w:val="007C476C"/>
    <w:rsid w:val="007C4840"/>
    <w:rsid w:val="007C4859"/>
    <w:rsid w:val="007C4867"/>
    <w:rsid w:val="007C4B0D"/>
    <w:rsid w:val="007C4D59"/>
    <w:rsid w:val="007C4D9B"/>
    <w:rsid w:val="007C4DA7"/>
    <w:rsid w:val="007C4DBD"/>
    <w:rsid w:val="007C4EE4"/>
    <w:rsid w:val="007C4F13"/>
    <w:rsid w:val="007C4F8B"/>
    <w:rsid w:val="007C5145"/>
    <w:rsid w:val="007C531F"/>
    <w:rsid w:val="007C5699"/>
    <w:rsid w:val="007C57F7"/>
    <w:rsid w:val="007C5EED"/>
    <w:rsid w:val="007C61DE"/>
    <w:rsid w:val="007C6327"/>
    <w:rsid w:val="007C6428"/>
    <w:rsid w:val="007C65AB"/>
    <w:rsid w:val="007C68CF"/>
    <w:rsid w:val="007C698C"/>
    <w:rsid w:val="007C6B96"/>
    <w:rsid w:val="007C6C2B"/>
    <w:rsid w:val="007C6CA9"/>
    <w:rsid w:val="007C6DE6"/>
    <w:rsid w:val="007C6FA8"/>
    <w:rsid w:val="007C6FCB"/>
    <w:rsid w:val="007C70C8"/>
    <w:rsid w:val="007C713F"/>
    <w:rsid w:val="007C73DD"/>
    <w:rsid w:val="007C740A"/>
    <w:rsid w:val="007C7472"/>
    <w:rsid w:val="007C7874"/>
    <w:rsid w:val="007C7929"/>
    <w:rsid w:val="007C79C1"/>
    <w:rsid w:val="007C7AD9"/>
    <w:rsid w:val="007D0011"/>
    <w:rsid w:val="007D0121"/>
    <w:rsid w:val="007D0264"/>
    <w:rsid w:val="007D04BB"/>
    <w:rsid w:val="007D0814"/>
    <w:rsid w:val="007D0881"/>
    <w:rsid w:val="007D0912"/>
    <w:rsid w:val="007D0A4C"/>
    <w:rsid w:val="007D0B63"/>
    <w:rsid w:val="007D0B9F"/>
    <w:rsid w:val="007D0DA6"/>
    <w:rsid w:val="007D0DE7"/>
    <w:rsid w:val="007D1118"/>
    <w:rsid w:val="007D123F"/>
    <w:rsid w:val="007D16BC"/>
    <w:rsid w:val="007D1856"/>
    <w:rsid w:val="007D186A"/>
    <w:rsid w:val="007D1990"/>
    <w:rsid w:val="007D1AE9"/>
    <w:rsid w:val="007D1B8C"/>
    <w:rsid w:val="007D1DFF"/>
    <w:rsid w:val="007D1F3A"/>
    <w:rsid w:val="007D2019"/>
    <w:rsid w:val="007D20F7"/>
    <w:rsid w:val="007D2124"/>
    <w:rsid w:val="007D214B"/>
    <w:rsid w:val="007D2236"/>
    <w:rsid w:val="007D2409"/>
    <w:rsid w:val="007D279B"/>
    <w:rsid w:val="007D2AB1"/>
    <w:rsid w:val="007D2C7B"/>
    <w:rsid w:val="007D2F88"/>
    <w:rsid w:val="007D2F97"/>
    <w:rsid w:val="007D2FAD"/>
    <w:rsid w:val="007D3505"/>
    <w:rsid w:val="007D398C"/>
    <w:rsid w:val="007D3B2F"/>
    <w:rsid w:val="007D3B41"/>
    <w:rsid w:val="007D3C17"/>
    <w:rsid w:val="007D3CA6"/>
    <w:rsid w:val="007D3DD9"/>
    <w:rsid w:val="007D3F45"/>
    <w:rsid w:val="007D4118"/>
    <w:rsid w:val="007D426B"/>
    <w:rsid w:val="007D4381"/>
    <w:rsid w:val="007D4448"/>
    <w:rsid w:val="007D4494"/>
    <w:rsid w:val="007D4728"/>
    <w:rsid w:val="007D4823"/>
    <w:rsid w:val="007D4926"/>
    <w:rsid w:val="007D4A27"/>
    <w:rsid w:val="007D4EC3"/>
    <w:rsid w:val="007D5153"/>
    <w:rsid w:val="007D515D"/>
    <w:rsid w:val="007D5485"/>
    <w:rsid w:val="007D5623"/>
    <w:rsid w:val="007D59BC"/>
    <w:rsid w:val="007D59D8"/>
    <w:rsid w:val="007D5C93"/>
    <w:rsid w:val="007D5CC9"/>
    <w:rsid w:val="007D5FF1"/>
    <w:rsid w:val="007D6360"/>
    <w:rsid w:val="007D638E"/>
    <w:rsid w:val="007D6444"/>
    <w:rsid w:val="007D654A"/>
    <w:rsid w:val="007D65D9"/>
    <w:rsid w:val="007D66E2"/>
    <w:rsid w:val="007D68A6"/>
    <w:rsid w:val="007D69A0"/>
    <w:rsid w:val="007D6BF0"/>
    <w:rsid w:val="007D6C6F"/>
    <w:rsid w:val="007D6CD5"/>
    <w:rsid w:val="007D6D84"/>
    <w:rsid w:val="007D7615"/>
    <w:rsid w:val="007D768F"/>
    <w:rsid w:val="007D782C"/>
    <w:rsid w:val="007D7896"/>
    <w:rsid w:val="007D78AE"/>
    <w:rsid w:val="007D7A92"/>
    <w:rsid w:val="007D7BEB"/>
    <w:rsid w:val="007E003D"/>
    <w:rsid w:val="007E05CB"/>
    <w:rsid w:val="007E0764"/>
    <w:rsid w:val="007E07EA"/>
    <w:rsid w:val="007E08F3"/>
    <w:rsid w:val="007E09FF"/>
    <w:rsid w:val="007E0A18"/>
    <w:rsid w:val="007E0A3B"/>
    <w:rsid w:val="007E0D08"/>
    <w:rsid w:val="007E0D4E"/>
    <w:rsid w:val="007E0DA9"/>
    <w:rsid w:val="007E11FB"/>
    <w:rsid w:val="007E14E9"/>
    <w:rsid w:val="007E15BC"/>
    <w:rsid w:val="007E1665"/>
    <w:rsid w:val="007E1790"/>
    <w:rsid w:val="007E1ABF"/>
    <w:rsid w:val="007E1BDD"/>
    <w:rsid w:val="007E1FC8"/>
    <w:rsid w:val="007E2354"/>
    <w:rsid w:val="007E243A"/>
    <w:rsid w:val="007E2479"/>
    <w:rsid w:val="007E2AD3"/>
    <w:rsid w:val="007E2F92"/>
    <w:rsid w:val="007E2F95"/>
    <w:rsid w:val="007E34B6"/>
    <w:rsid w:val="007E35C0"/>
    <w:rsid w:val="007E35C3"/>
    <w:rsid w:val="007E35FD"/>
    <w:rsid w:val="007E367C"/>
    <w:rsid w:val="007E36B5"/>
    <w:rsid w:val="007E397F"/>
    <w:rsid w:val="007E3C48"/>
    <w:rsid w:val="007E3E07"/>
    <w:rsid w:val="007E3FB0"/>
    <w:rsid w:val="007E43C4"/>
    <w:rsid w:val="007E43E1"/>
    <w:rsid w:val="007E4531"/>
    <w:rsid w:val="007E45C7"/>
    <w:rsid w:val="007E481C"/>
    <w:rsid w:val="007E4A7A"/>
    <w:rsid w:val="007E4BDF"/>
    <w:rsid w:val="007E4C84"/>
    <w:rsid w:val="007E4E30"/>
    <w:rsid w:val="007E4F1C"/>
    <w:rsid w:val="007E5023"/>
    <w:rsid w:val="007E51DF"/>
    <w:rsid w:val="007E53FF"/>
    <w:rsid w:val="007E5433"/>
    <w:rsid w:val="007E552A"/>
    <w:rsid w:val="007E56B4"/>
    <w:rsid w:val="007E579A"/>
    <w:rsid w:val="007E57F3"/>
    <w:rsid w:val="007E5A33"/>
    <w:rsid w:val="007E5E69"/>
    <w:rsid w:val="007E619D"/>
    <w:rsid w:val="007E62D5"/>
    <w:rsid w:val="007E6300"/>
    <w:rsid w:val="007E669C"/>
    <w:rsid w:val="007E67D5"/>
    <w:rsid w:val="007E69A3"/>
    <w:rsid w:val="007E69AF"/>
    <w:rsid w:val="007E6E23"/>
    <w:rsid w:val="007E6F0E"/>
    <w:rsid w:val="007E720F"/>
    <w:rsid w:val="007E73AE"/>
    <w:rsid w:val="007E73C7"/>
    <w:rsid w:val="007E747A"/>
    <w:rsid w:val="007E762F"/>
    <w:rsid w:val="007E786D"/>
    <w:rsid w:val="007E7DB7"/>
    <w:rsid w:val="007E7E5E"/>
    <w:rsid w:val="007E7FDC"/>
    <w:rsid w:val="007F00C7"/>
    <w:rsid w:val="007F00E2"/>
    <w:rsid w:val="007F0395"/>
    <w:rsid w:val="007F044A"/>
    <w:rsid w:val="007F05B9"/>
    <w:rsid w:val="007F090B"/>
    <w:rsid w:val="007F0987"/>
    <w:rsid w:val="007F0A77"/>
    <w:rsid w:val="007F1184"/>
    <w:rsid w:val="007F12A4"/>
    <w:rsid w:val="007F18AB"/>
    <w:rsid w:val="007F191F"/>
    <w:rsid w:val="007F19FD"/>
    <w:rsid w:val="007F1AD2"/>
    <w:rsid w:val="007F1B35"/>
    <w:rsid w:val="007F1C8D"/>
    <w:rsid w:val="007F1D0D"/>
    <w:rsid w:val="007F1D78"/>
    <w:rsid w:val="007F1FBE"/>
    <w:rsid w:val="007F2194"/>
    <w:rsid w:val="007F2206"/>
    <w:rsid w:val="007F2250"/>
    <w:rsid w:val="007F2552"/>
    <w:rsid w:val="007F26E3"/>
    <w:rsid w:val="007F28AD"/>
    <w:rsid w:val="007F28E2"/>
    <w:rsid w:val="007F2AAE"/>
    <w:rsid w:val="007F2BF4"/>
    <w:rsid w:val="007F2DB8"/>
    <w:rsid w:val="007F3027"/>
    <w:rsid w:val="007F3263"/>
    <w:rsid w:val="007F334E"/>
    <w:rsid w:val="007F33A1"/>
    <w:rsid w:val="007F347F"/>
    <w:rsid w:val="007F34B7"/>
    <w:rsid w:val="007F34C7"/>
    <w:rsid w:val="007F36F0"/>
    <w:rsid w:val="007F3A59"/>
    <w:rsid w:val="007F3ED1"/>
    <w:rsid w:val="007F3F3C"/>
    <w:rsid w:val="007F430B"/>
    <w:rsid w:val="007F4369"/>
    <w:rsid w:val="007F4503"/>
    <w:rsid w:val="007F46D4"/>
    <w:rsid w:val="007F4783"/>
    <w:rsid w:val="007F49F1"/>
    <w:rsid w:val="007F4A61"/>
    <w:rsid w:val="007F4B0F"/>
    <w:rsid w:val="007F4B75"/>
    <w:rsid w:val="007F4EAD"/>
    <w:rsid w:val="007F4F40"/>
    <w:rsid w:val="007F50B1"/>
    <w:rsid w:val="007F5282"/>
    <w:rsid w:val="007F5508"/>
    <w:rsid w:val="007F56CD"/>
    <w:rsid w:val="007F577E"/>
    <w:rsid w:val="007F5895"/>
    <w:rsid w:val="007F58F6"/>
    <w:rsid w:val="007F5919"/>
    <w:rsid w:val="007F5A40"/>
    <w:rsid w:val="007F5A75"/>
    <w:rsid w:val="007F5B5B"/>
    <w:rsid w:val="007F5D7B"/>
    <w:rsid w:val="007F60E0"/>
    <w:rsid w:val="007F63DB"/>
    <w:rsid w:val="007F6480"/>
    <w:rsid w:val="007F64DB"/>
    <w:rsid w:val="007F6634"/>
    <w:rsid w:val="007F6C36"/>
    <w:rsid w:val="007F6D5B"/>
    <w:rsid w:val="007F701B"/>
    <w:rsid w:val="007F71EA"/>
    <w:rsid w:val="007F7349"/>
    <w:rsid w:val="007F7458"/>
    <w:rsid w:val="007F77F6"/>
    <w:rsid w:val="007F7932"/>
    <w:rsid w:val="007F7AD7"/>
    <w:rsid w:val="007F7AF7"/>
    <w:rsid w:val="007F7CC0"/>
    <w:rsid w:val="00800027"/>
    <w:rsid w:val="00800172"/>
    <w:rsid w:val="00800453"/>
    <w:rsid w:val="00800512"/>
    <w:rsid w:val="008005F4"/>
    <w:rsid w:val="0080066E"/>
    <w:rsid w:val="00800782"/>
    <w:rsid w:val="008008D8"/>
    <w:rsid w:val="008008DB"/>
    <w:rsid w:val="00800A7F"/>
    <w:rsid w:val="00800B08"/>
    <w:rsid w:val="00800B4C"/>
    <w:rsid w:val="00800C87"/>
    <w:rsid w:val="00800DCD"/>
    <w:rsid w:val="00800E3F"/>
    <w:rsid w:val="008010B7"/>
    <w:rsid w:val="008010F3"/>
    <w:rsid w:val="0080120D"/>
    <w:rsid w:val="0080140A"/>
    <w:rsid w:val="0080140F"/>
    <w:rsid w:val="00801433"/>
    <w:rsid w:val="00801441"/>
    <w:rsid w:val="008015A0"/>
    <w:rsid w:val="00801983"/>
    <w:rsid w:val="0080199C"/>
    <w:rsid w:val="00801CC4"/>
    <w:rsid w:val="00801E9D"/>
    <w:rsid w:val="00801EA4"/>
    <w:rsid w:val="00801FA8"/>
    <w:rsid w:val="00801FAF"/>
    <w:rsid w:val="008021A8"/>
    <w:rsid w:val="0080226F"/>
    <w:rsid w:val="008022C4"/>
    <w:rsid w:val="00803016"/>
    <w:rsid w:val="008031AA"/>
    <w:rsid w:val="0080324D"/>
    <w:rsid w:val="00803398"/>
    <w:rsid w:val="0080354C"/>
    <w:rsid w:val="00803561"/>
    <w:rsid w:val="00803830"/>
    <w:rsid w:val="00803AE1"/>
    <w:rsid w:val="00803B47"/>
    <w:rsid w:val="00803B95"/>
    <w:rsid w:val="00803E2A"/>
    <w:rsid w:val="0080405C"/>
    <w:rsid w:val="00804086"/>
    <w:rsid w:val="00804230"/>
    <w:rsid w:val="00804E45"/>
    <w:rsid w:val="00804ECC"/>
    <w:rsid w:val="008050FF"/>
    <w:rsid w:val="00805158"/>
    <w:rsid w:val="008051C0"/>
    <w:rsid w:val="00805413"/>
    <w:rsid w:val="00805C59"/>
    <w:rsid w:val="00805E05"/>
    <w:rsid w:val="00806029"/>
    <w:rsid w:val="00806115"/>
    <w:rsid w:val="008061A1"/>
    <w:rsid w:val="00806266"/>
    <w:rsid w:val="008064C8"/>
    <w:rsid w:val="0080658F"/>
    <w:rsid w:val="008067F9"/>
    <w:rsid w:val="00806A2E"/>
    <w:rsid w:val="00806AEC"/>
    <w:rsid w:val="00806BA3"/>
    <w:rsid w:val="00806BF9"/>
    <w:rsid w:val="00806F0B"/>
    <w:rsid w:val="0080769A"/>
    <w:rsid w:val="0080772A"/>
    <w:rsid w:val="00807BC1"/>
    <w:rsid w:val="00807C06"/>
    <w:rsid w:val="00807D71"/>
    <w:rsid w:val="00807F65"/>
    <w:rsid w:val="008101DD"/>
    <w:rsid w:val="00810524"/>
    <w:rsid w:val="008109D0"/>
    <w:rsid w:val="008109E9"/>
    <w:rsid w:val="00810A02"/>
    <w:rsid w:val="00810BAD"/>
    <w:rsid w:val="008110E2"/>
    <w:rsid w:val="008112AB"/>
    <w:rsid w:val="008112F9"/>
    <w:rsid w:val="00811390"/>
    <w:rsid w:val="008116E8"/>
    <w:rsid w:val="008117AB"/>
    <w:rsid w:val="00811928"/>
    <w:rsid w:val="00811A5C"/>
    <w:rsid w:val="00811B33"/>
    <w:rsid w:val="00811BD5"/>
    <w:rsid w:val="00811F2C"/>
    <w:rsid w:val="0081221B"/>
    <w:rsid w:val="00812498"/>
    <w:rsid w:val="00812A2F"/>
    <w:rsid w:val="00812A59"/>
    <w:rsid w:val="00812C0B"/>
    <w:rsid w:val="00812CAE"/>
    <w:rsid w:val="00812CC8"/>
    <w:rsid w:val="008132EE"/>
    <w:rsid w:val="008134FB"/>
    <w:rsid w:val="008136C6"/>
    <w:rsid w:val="00813840"/>
    <w:rsid w:val="0081387B"/>
    <w:rsid w:val="00813A12"/>
    <w:rsid w:val="00813AE9"/>
    <w:rsid w:val="00813BAD"/>
    <w:rsid w:val="00813C94"/>
    <w:rsid w:val="00813CD1"/>
    <w:rsid w:val="00813E99"/>
    <w:rsid w:val="00813ECA"/>
    <w:rsid w:val="00813FD6"/>
    <w:rsid w:val="00814035"/>
    <w:rsid w:val="008142F8"/>
    <w:rsid w:val="0081441C"/>
    <w:rsid w:val="00814774"/>
    <w:rsid w:val="008147C0"/>
    <w:rsid w:val="00814C3E"/>
    <w:rsid w:val="00814CAA"/>
    <w:rsid w:val="00814CEA"/>
    <w:rsid w:val="00814D95"/>
    <w:rsid w:val="00814E1D"/>
    <w:rsid w:val="00814EE0"/>
    <w:rsid w:val="00815027"/>
    <w:rsid w:val="00815068"/>
    <w:rsid w:val="0081512B"/>
    <w:rsid w:val="0081517A"/>
    <w:rsid w:val="00815238"/>
    <w:rsid w:val="00815329"/>
    <w:rsid w:val="00815362"/>
    <w:rsid w:val="008154AA"/>
    <w:rsid w:val="00815585"/>
    <w:rsid w:val="008155F7"/>
    <w:rsid w:val="00815640"/>
    <w:rsid w:val="00815685"/>
    <w:rsid w:val="0081572C"/>
    <w:rsid w:val="008157C4"/>
    <w:rsid w:val="00815808"/>
    <w:rsid w:val="00815913"/>
    <w:rsid w:val="00815957"/>
    <w:rsid w:val="00815C65"/>
    <w:rsid w:val="00815DB0"/>
    <w:rsid w:val="00815F76"/>
    <w:rsid w:val="00815F7E"/>
    <w:rsid w:val="00816378"/>
    <w:rsid w:val="00816384"/>
    <w:rsid w:val="00816394"/>
    <w:rsid w:val="008165DC"/>
    <w:rsid w:val="008168A8"/>
    <w:rsid w:val="00816BF8"/>
    <w:rsid w:val="00816C38"/>
    <w:rsid w:val="00816E19"/>
    <w:rsid w:val="00816F31"/>
    <w:rsid w:val="0081723E"/>
    <w:rsid w:val="008172AE"/>
    <w:rsid w:val="00817362"/>
    <w:rsid w:val="00817485"/>
    <w:rsid w:val="00817537"/>
    <w:rsid w:val="00817888"/>
    <w:rsid w:val="00817ADE"/>
    <w:rsid w:val="00817B48"/>
    <w:rsid w:val="00817DA8"/>
    <w:rsid w:val="00817EBE"/>
    <w:rsid w:val="0082010A"/>
    <w:rsid w:val="0082017E"/>
    <w:rsid w:val="008201FD"/>
    <w:rsid w:val="00820274"/>
    <w:rsid w:val="008202AD"/>
    <w:rsid w:val="008207F5"/>
    <w:rsid w:val="008207F7"/>
    <w:rsid w:val="00820943"/>
    <w:rsid w:val="00820A24"/>
    <w:rsid w:val="00820B51"/>
    <w:rsid w:val="00820E10"/>
    <w:rsid w:val="00821055"/>
    <w:rsid w:val="00821075"/>
    <w:rsid w:val="00821476"/>
    <w:rsid w:val="0082185E"/>
    <w:rsid w:val="0082196D"/>
    <w:rsid w:val="00821C66"/>
    <w:rsid w:val="00821CFF"/>
    <w:rsid w:val="00821D37"/>
    <w:rsid w:val="00821DEE"/>
    <w:rsid w:val="00821EFA"/>
    <w:rsid w:val="00821FD9"/>
    <w:rsid w:val="00822078"/>
    <w:rsid w:val="00822122"/>
    <w:rsid w:val="008222F1"/>
    <w:rsid w:val="0082234A"/>
    <w:rsid w:val="00822508"/>
    <w:rsid w:val="00822594"/>
    <w:rsid w:val="008227B0"/>
    <w:rsid w:val="008227CD"/>
    <w:rsid w:val="008228C9"/>
    <w:rsid w:val="008228F2"/>
    <w:rsid w:val="008229B0"/>
    <w:rsid w:val="00822D54"/>
    <w:rsid w:val="00822D6C"/>
    <w:rsid w:val="00823009"/>
    <w:rsid w:val="00823047"/>
    <w:rsid w:val="0082311B"/>
    <w:rsid w:val="00823244"/>
    <w:rsid w:val="0082361D"/>
    <w:rsid w:val="0082363E"/>
    <w:rsid w:val="00823A0E"/>
    <w:rsid w:val="00823B2C"/>
    <w:rsid w:val="00823B78"/>
    <w:rsid w:val="00824061"/>
    <w:rsid w:val="0082413D"/>
    <w:rsid w:val="00824150"/>
    <w:rsid w:val="00824400"/>
    <w:rsid w:val="008244F7"/>
    <w:rsid w:val="00824551"/>
    <w:rsid w:val="008245B7"/>
    <w:rsid w:val="00824912"/>
    <w:rsid w:val="00824C94"/>
    <w:rsid w:val="00825136"/>
    <w:rsid w:val="00825339"/>
    <w:rsid w:val="008254C8"/>
    <w:rsid w:val="008255FA"/>
    <w:rsid w:val="0082598A"/>
    <w:rsid w:val="00825C9E"/>
    <w:rsid w:val="00825D9B"/>
    <w:rsid w:val="00825F1E"/>
    <w:rsid w:val="008260DF"/>
    <w:rsid w:val="008260E2"/>
    <w:rsid w:val="008261FB"/>
    <w:rsid w:val="00826255"/>
    <w:rsid w:val="008265D6"/>
    <w:rsid w:val="00826734"/>
    <w:rsid w:val="0082675C"/>
    <w:rsid w:val="00826830"/>
    <w:rsid w:val="00826B89"/>
    <w:rsid w:val="00826D53"/>
    <w:rsid w:val="008270B8"/>
    <w:rsid w:val="00827114"/>
    <w:rsid w:val="00827248"/>
    <w:rsid w:val="00827300"/>
    <w:rsid w:val="00827471"/>
    <w:rsid w:val="008274B4"/>
    <w:rsid w:val="0082769E"/>
    <w:rsid w:val="0082770B"/>
    <w:rsid w:val="00827903"/>
    <w:rsid w:val="0082795B"/>
    <w:rsid w:val="00827DAB"/>
    <w:rsid w:val="00830046"/>
    <w:rsid w:val="008300C3"/>
    <w:rsid w:val="00830260"/>
    <w:rsid w:val="008302EF"/>
    <w:rsid w:val="00830415"/>
    <w:rsid w:val="00830699"/>
    <w:rsid w:val="00830700"/>
    <w:rsid w:val="00830783"/>
    <w:rsid w:val="00830887"/>
    <w:rsid w:val="00830A78"/>
    <w:rsid w:val="00830B7D"/>
    <w:rsid w:val="00830BF2"/>
    <w:rsid w:val="00830D22"/>
    <w:rsid w:val="00830E71"/>
    <w:rsid w:val="00830FC7"/>
    <w:rsid w:val="008312D6"/>
    <w:rsid w:val="00831317"/>
    <w:rsid w:val="00831425"/>
    <w:rsid w:val="00831498"/>
    <w:rsid w:val="00831506"/>
    <w:rsid w:val="008315F7"/>
    <w:rsid w:val="00831724"/>
    <w:rsid w:val="008318D6"/>
    <w:rsid w:val="008318E5"/>
    <w:rsid w:val="00831FAD"/>
    <w:rsid w:val="00831FF5"/>
    <w:rsid w:val="00832089"/>
    <w:rsid w:val="008322CF"/>
    <w:rsid w:val="00832547"/>
    <w:rsid w:val="00832723"/>
    <w:rsid w:val="0083286A"/>
    <w:rsid w:val="008328F6"/>
    <w:rsid w:val="00832BD3"/>
    <w:rsid w:val="00832E3C"/>
    <w:rsid w:val="00832EDD"/>
    <w:rsid w:val="008331AF"/>
    <w:rsid w:val="008332BC"/>
    <w:rsid w:val="008332FF"/>
    <w:rsid w:val="008333DF"/>
    <w:rsid w:val="00833459"/>
    <w:rsid w:val="008334BF"/>
    <w:rsid w:val="00833637"/>
    <w:rsid w:val="00833A30"/>
    <w:rsid w:val="00833B68"/>
    <w:rsid w:val="00833D96"/>
    <w:rsid w:val="00833DA6"/>
    <w:rsid w:val="00833DD2"/>
    <w:rsid w:val="00833E41"/>
    <w:rsid w:val="00834442"/>
    <w:rsid w:val="0083470D"/>
    <w:rsid w:val="00834739"/>
    <w:rsid w:val="0083481E"/>
    <w:rsid w:val="00834891"/>
    <w:rsid w:val="00834DA3"/>
    <w:rsid w:val="0083504D"/>
    <w:rsid w:val="008353B1"/>
    <w:rsid w:val="008353C2"/>
    <w:rsid w:val="0083542F"/>
    <w:rsid w:val="00835608"/>
    <w:rsid w:val="00835A8F"/>
    <w:rsid w:val="00835D66"/>
    <w:rsid w:val="00835F05"/>
    <w:rsid w:val="008362ED"/>
    <w:rsid w:val="0083632E"/>
    <w:rsid w:val="008364A5"/>
    <w:rsid w:val="00836900"/>
    <w:rsid w:val="00836915"/>
    <w:rsid w:val="00836A63"/>
    <w:rsid w:val="00836A64"/>
    <w:rsid w:val="00836C01"/>
    <w:rsid w:val="00836D1F"/>
    <w:rsid w:val="00836DD1"/>
    <w:rsid w:val="00836E7A"/>
    <w:rsid w:val="008370EB"/>
    <w:rsid w:val="00837171"/>
    <w:rsid w:val="00837290"/>
    <w:rsid w:val="00837379"/>
    <w:rsid w:val="0083742D"/>
    <w:rsid w:val="00837476"/>
    <w:rsid w:val="008374E7"/>
    <w:rsid w:val="00837A12"/>
    <w:rsid w:val="00837A3A"/>
    <w:rsid w:val="00837ADA"/>
    <w:rsid w:val="00837D59"/>
    <w:rsid w:val="00840148"/>
    <w:rsid w:val="00840504"/>
    <w:rsid w:val="0084059D"/>
    <w:rsid w:val="0084064E"/>
    <w:rsid w:val="008411E4"/>
    <w:rsid w:val="00841806"/>
    <w:rsid w:val="00841C18"/>
    <w:rsid w:val="00841D58"/>
    <w:rsid w:val="00841D86"/>
    <w:rsid w:val="00841DF0"/>
    <w:rsid w:val="00841FD9"/>
    <w:rsid w:val="008422F4"/>
    <w:rsid w:val="008423B0"/>
    <w:rsid w:val="00842522"/>
    <w:rsid w:val="00842874"/>
    <w:rsid w:val="00842CF9"/>
    <w:rsid w:val="00842E41"/>
    <w:rsid w:val="00842EBC"/>
    <w:rsid w:val="00842ED7"/>
    <w:rsid w:val="00842FA7"/>
    <w:rsid w:val="00842FC0"/>
    <w:rsid w:val="008431AC"/>
    <w:rsid w:val="008431EF"/>
    <w:rsid w:val="00843203"/>
    <w:rsid w:val="008433AA"/>
    <w:rsid w:val="008433C6"/>
    <w:rsid w:val="008434EF"/>
    <w:rsid w:val="008436E3"/>
    <w:rsid w:val="0084374C"/>
    <w:rsid w:val="00843868"/>
    <w:rsid w:val="008438A8"/>
    <w:rsid w:val="008439A9"/>
    <w:rsid w:val="00843AA0"/>
    <w:rsid w:val="00843AAB"/>
    <w:rsid w:val="00843BAF"/>
    <w:rsid w:val="00843C11"/>
    <w:rsid w:val="00843C5E"/>
    <w:rsid w:val="00843C74"/>
    <w:rsid w:val="00843E38"/>
    <w:rsid w:val="00843F05"/>
    <w:rsid w:val="008441ED"/>
    <w:rsid w:val="00844765"/>
    <w:rsid w:val="0084477C"/>
    <w:rsid w:val="00844870"/>
    <w:rsid w:val="00844922"/>
    <w:rsid w:val="00844932"/>
    <w:rsid w:val="00844A05"/>
    <w:rsid w:val="00844A9E"/>
    <w:rsid w:val="00844D0E"/>
    <w:rsid w:val="00844D37"/>
    <w:rsid w:val="00844F05"/>
    <w:rsid w:val="00845147"/>
    <w:rsid w:val="00845229"/>
    <w:rsid w:val="00845338"/>
    <w:rsid w:val="00845C00"/>
    <w:rsid w:val="00846084"/>
    <w:rsid w:val="0084628F"/>
    <w:rsid w:val="0084634D"/>
    <w:rsid w:val="00846389"/>
    <w:rsid w:val="00846718"/>
    <w:rsid w:val="00846C9A"/>
    <w:rsid w:val="00846DB9"/>
    <w:rsid w:val="00846F28"/>
    <w:rsid w:val="00847055"/>
    <w:rsid w:val="008474C7"/>
    <w:rsid w:val="0084797F"/>
    <w:rsid w:val="00847A58"/>
    <w:rsid w:val="00847D7F"/>
    <w:rsid w:val="00847E13"/>
    <w:rsid w:val="0085042A"/>
    <w:rsid w:val="0085049E"/>
    <w:rsid w:val="00850502"/>
    <w:rsid w:val="00850631"/>
    <w:rsid w:val="00850708"/>
    <w:rsid w:val="008507EF"/>
    <w:rsid w:val="008508C2"/>
    <w:rsid w:val="00850920"/>
    <w:rsid w:val="00850D83"/>
    <w:rsid w:val="00850DEB"/>
    <w:rsid w:val="00850E47"/>
    <w:rsid w:val="00851058"/>
    <w:rsid w:val="008510CE"/>
    <w:rsid w:val="00851172"/>
    <w:rsid w:val="008512A5"/>
    <w:rsid w:val="008514DE"/>
    <w:rsid w:val="00851639"/>
    <w:rsid w:val="00851682"/>
    <w:rsid w:val="008517BE"/>
    <w:rsid w:val="00851824"/>
    <w:rsid w:val="00851851"/>
    <w:rsid w:val="00851A24"/>
    <w:rsid w:val="00851A2B"/>
    <w:rsid w:val="00851A36"/>
    <w:rsid w:val="00851A49"/>
    <w:rsid w:val="00851D5F"/>
    <w:rsid w:val="008520E3"/>
    <w:rsid w:val="008520F7"/>
    <w:rsid w:val="008521EC"/>
    <w:rsid w:val="0085246B"/>
    <w:rsid w:val="008525F3"/>
    <w:rsid w:val="00852613"/>
    <w:rsid w:val="00852692"/>
    <w:rsid w:val="008526B6"/>
    <w:rsid w:val="0085274E"/>
    <w:rsid w:val="0085292F"/>
    <w:rsid w:val="008529AB"/>
    <w:rsid w:val="00852F3C"/>
    <w:rsid w:val="00853056"/>
    <w:rsid w:val="008530D4"/>
    <w:rsid w:val="00853280"/>
    <w:rsid w:val="008532F7"/>
    <w:rsid w:val="0085340F"/>
    <w:rsid w:val="0085374A"/>
    <w:rsid w:val="0085380C"/>
    <w:rsid w:val="00853ACE"/>
    <w:rsid w:val="00853C6B"/>
    <w:rsid w:val="00853CD5"/>
    <w:rsid w:val="00853D3D"/>
    <w:rsid w:val="00853F3B"/>
    <w:rsid w:val="00854075"/>
    <w:rsid w:val="0085438D"/>
    <w:rsid w:val="0085474A"/>
    <w:rsid w:val="0085482A"/>
    <w:rsid w:val="0085486C"/>
    <w:rsid w:val="00854AA3"/>
    <w:rsid w:val="00854F50"/>
    <w:rsid w:val="0085507B"/>
    <w:rsid w:val="00855102"/>
    <w:rsid w:val="0085553A"/>
    <w:rsid w:val="00855829"/>
    <w:rsid w:val="00855834"/>
    <w:rsid w:val="00855E3F"/>
    <w:rsid w:val="00855EB6"/>
    <w:rsid w:val="00855FE7"/>
    <w:rsid w:val="00856046"/>
    <w:rsid w:val="008562E1"/>
    <w:rsid w:val="008563AB"/>
    <w:rsid w:val="008564E1"/>
    <w:rsid w:val="008564E5"/>
    <w:rsid w:val="0085662D"/>
    <w:rsid w:val="00856693"/>
    <w:rsid w:val="0085672B"/>
    <w:rsid w:val="0085675A"/>
    <w:rsid w:val="00856821"/>
    <w:rsid w:val="008569FD"/>
    <w:rsid w:val="00856B76"/>
    <w:rsid w:val="00856BAC"/>
    <w:rsid w:val="00856CE7"/>
    <w:rsid w:val="00856CF6"/>
    <w:rsid w:val="00856DEA"/>
    <w:rsid w:val="00856FDD"/>
    <w:rsid w:val="00857364"/>
    <w:rsid w:val="00857486"/>
    <w:rsid w:val="0085761E"/>
    <w:rsid w:val="0085763E"/>
    <w:rsid w:val="0085783D"/>
    <w:rsid w:val="00857903"/>
    <w:rsid w:val="0085795D"/>
    <w:rsid w:val="00857B2F"/>
    <w:rsid w:val="00857DDB"/>
    <w:rsid w:val="00857E03"/>
    <w:rsid w:val="00857E3F"/>
    <w:rsid w:val="0086020D"/>
    <w:rsid w:val="00860266"/>
    <w:rsid w:val="008602EB"/>
    <w:rsid w:val="00860360"/>
    <w:rsid w:val="00860582"/>
    <w:rsid w:val="008605AF"/>
    <w:rsid w:val="008607A4"/>
    <w:rsid w:val="008609AB"/>
    <w:rsid w:val="00860A1D"/>
    <w:rsid w:val="00860C30"/>
    <w:rsid w:val="00860C60"/>
    <w:rsid w:val="00860DB5"/>
    <w:rsid w:val="00860EA9"/>
    <w:rsid w:val="008610FC"/>
    <w:rsid w:val="00861232"/>
    <w:rsid w:val="008617C4"/>
    <w:rsid w:val="008617D6"/>
    <w:rsid w:val="00861CD5"/>
    <w:rsid w:val="00861D69"/>
    <w:rsid w:val="00861E5E"/>
    <w:rsid w:val="00861EA8"/>
    <w:rsid w:val="00861FBF"/>
    <w:rsid w:val="00861FC7"/>
    <w:rsid w:val="008622E1"/>
    <w:rsid w:val="00862422"/>
    <w:rsid w:val="0086253B"/>
    <w:rsid w:val="0086267D"/>
    <w:rsid w:val="0086295E"/>
    <w:rsid w:val="00862FEE"/>
    <w:rsid w:val="00863196"/>
    <w:rsid w:val="00863381"/>
    <w:rsid w:val="008633FD"/>
    <w:rsid w:val="0086345A"/>
    <w:rsid w:val="008636B2"/>
    <w:rsid w:val="008636B9"/>
    <w:rsid w:val="0086376E"/>
    <w:rsid w:val="0086390B"/>
    <w:rsid w:val="00863939"/>
    <w:rsid w:val="00863B20"/>
    <w:rsid w:val="00863C10"/>
    <w:rsid w:val="00863CFA"/>
    <w:rsid w:val="00864317"/>
    <w:rsid w:val="0086439A"/>
    <w:rsid w:val="0086448F"/>
    <w:rsid w:val="00864495"/>
    <w:rsid w:val="008649B0"/>
    <w:rsid w:val="00864ABB"/>
    <w:rsid w:val="00864CDA"/>
    <w:rsid w:val="00864D7C"/>
    <w:rsid w:val="00864F03"/>
    <w:rsid w:val="00865A45"/>
    <w:rsid w:val="00865B7C"/>
    <w:rsid w:val="00865BBB"/>
    <w:rsid w:val="00865F58"/>
    <w:rsid w:val="00866232"/>
    <w:rsid w:val="0086637B"/>
    <w:rsid w:val="008663F5"/>
    <w:rsid w:val="0086657B"/>
    <w:rsid w:val="0086675E"/>
    <w:rsid w:val="008667C7"/>
    <w:rsid w:val="00866D94"/>
    <w:rsid w:val="00866E21"/>
    <w:rsid w:val="00866E9A"/>
    <w:rsid w:val="00866ED0"/>
    <w:rsid w:val="00866FE1"/>
    <w:rsid w:val="00866FF6"/>
    <w:rsid w:val="008670DF"/>
    <w:rsid w:val="00867245"/>
    <w:rsid w:val="00867462"/>
    <w:rsid w:val="008674FA"/>
    <w:rsid w:val="00867BDD"/>
    <w:rsid w:val="00867EC6"/>
    <w:rsid w:val="0087003D"/>
    <w:rsid w:val="0087009F"/>
    <w:rsid w:val="008705D8"/>
    <w:rsid w:val="00870801"/>
    <w:rsid w:val="00870847"/>
    <w:rsid w:val="00870861"/>
    <w:rsid w:val="00870C48"/>
    <w:rsid w:val="00870F0F"/>
    <w:rsid w:val="00870F7A"/>
    <w:rsid w:val="00871121"/>
    <w:rsid w:val="00871226"/>
    <w:rsid w:val="00871710"/>
    <w:rsid w:val="00871885"/>
    <w:rsid w:val="00871AAE"/>
    <w:rsid w:val="008723EE"/>
    <w:rsid w:val="00872437"/>
    <w:rsid w:val="00873377"/>
    <w:rsid w:val="0087363F"/>
    <w:rsid w:val="008737DF"/>
    <w:rsid w:val="008738A4"/>
    <w:rsid w:val="00873A97"/>
    <w:rsid w:val="00873AE7"/>
    <w:rsid w:val="00873D49"/>
    <w:rsid w:val="00873DAD"/>
    <w:rsid w:val="00873E33"/>
    <w:rsid w:val="00873FC2"/>
    <w:rsid w:val="00874255"/>
    <w:rsid w:val="00874309"/>
    <w:rsid w:val="0087498F"/>
    <w:rsid w:val="008749A5"/>
    <w:rsid w:val="00874C51"/>
    <w:rsid w:val="00874F35"/>
    <w:rsid w:val="008751DD"/>
    <w:rsid w:val="008752AD"/>
    <w:rsid w:val="0087554F"/>
    <w:rsid w:val="008759ED"/>
    <w:rsid w:val="00875AE4"/>
    <w:rsid w:val="00875C8A"/>
    <w:rsid w:val="00875D9A"/>
    <w:rsid w:val="00875EA7"/>
    <w:rsid w:val="00875F50"/>
    <w:rsid w:val="0087619D"/>
    <w:rsid w:val="00876646"/>
    <w:rsid w:val="008766CE"/>
    <w:rsid w:val="00876735"/>
    <w:rsid w:val="008768DF"/>
    <w:rsid w:val="00876906"/>
    <w:rsid w:val="00876AB4"/>
    <w:rsid w:val="00876AC5"/>
    <w:rsid w:val="00876B1C"/>
    <w:rsid w:val="00876B93"/>
    <w:rsid w:val="00876D0C"/>
    <w:rsid w:val="00876EA4"/>
    <w:rsid w:val="00876FD6"/>
    <w:rsid w:val="00877055"/>
    <w:rsid w:val="00877408"/>
    <w:rsid w:val="008775B5"/>
    <w:rsid w:val="00877808"/>
    <w:rsid w:val="00877959"/>
    <w:rsid w:val="00877B33"/>
    <w:rsid w:val="00880478"/>
    <w:rsid w:val="008804F9"/>
    <w:rsid w:val="008806A7"/>
    <w:rsid w:val="00880723"/>
    <w:rsid w:val="0088098F"/>
    <w:rsid w:val="00880A35"/>
    <w:rsid w:val="00880B69"/>
    <w:rsid w:val="0088101D"/>
    <w:rsid w:val="008811CB"/>
    <w:rsid w:val="008812A1"/>
    <w:rsid w:val="008812B4"/>
    <w:rsid w:val="008813BA"/>
    <w:rsid w:val="0088161B"/>
    <w:rsid w:val="00881659"/>
    <w:rsid w:val="00881779"/>
    <w:rsid w:val="00881C80"/>
    <w:rsid w:val="00881D32"/>
    <w:rsid w:val="00881E7F"/>
    <w:rsid w:val="00881EE2"/>
    <w:rsid w:val="00881F5D"/>
    <w:rsid w:val="00882029"/>
    <w:rsid w:val="00882050"/>
    <w:rsid w:val="008820DE"/>
    <w:rsid w:val="0088257B"/>
    <w:rsid w:val="00882A0E"/>
    <w:rsid w:val="00882B36"/>
    <w:rsid w:val="00882CB9"/>
    <w:rsid w:val="008831A3"/>
    <w:rsid w:val="008832FA"/>
    <w:rsid w:val="008835BB"/>
    <w:rsid w:val="0088386A"/>
    <w:rsid w:val="00883CAF"/>
    <w:rsid w:val="00883E6F"/>
    <w:rsid w:val="00883EA8"/>
    <w:rsid w:val="00883EEE"/>
    <w:rsid w:val="00883FC1"/>
    <w:rsid w:val="008841B5"/>
    <w:rsid w:val="0088423E"/>
    <w:rsid w:val="00884257"/>
    <w:rsid w:val="008842E2"/>
    <w:rsid w:val="00884350"/>
    <w:rsid w:val="008843A1"/>
    <w:rsid w:val="00884823"/>
    <w:rsid w:val="00884A59"/>
    <w:rsid w:val="00884C11"/>
    <w:rsid w:val="00884C22"/>
    <w:rsid w:val="00884E7A"/>
    <w:rsid w:val="00884FEF"/>
    <w:rsid w:val="008851BA"/>
    <w:rsid w:val="00885366"/>
    <w:rsid w:val="0088538A"/>
    <w:rsid w:val="0088552B"/>
    <w:rsid w:val="00885583"/>
    <w:rsid w:val="00885829"/>
    <w:rsid w:val="00885842"/>
    <w:rsid w:val="00885B2F"/>
    <w:rsid w:val="008860A6"/>
    <w:rsid w:val="0088612C"/>
    <w:rsid w:val="0088620F"/>
    <w:rsid w:val="00886358"/>
    <w:rsid w:val="00886A82"/>
    <w:rsid w:val="00886B47"/>
    <w:rsid w:val="00886BF5"/>
    <w:rsid w:val="00886D17"/>
    <w:rsid w:val="00886E3B"/>
    <w:rsid w:val="0088702D"/>
    <w:rsid w:val="00887161"/>
    <w:rsid w:val="0088729B"/>
    <w:rsid w:val="00887598"/>
    <w:rsid w:val="00887607"/>
    <w:rsid w:val="0088795B"/>
    <w:rsid w:val="00887A15"/>
    <w:rsid w:val="00887B55"/>
    <w:rsid w:val="00887C48"/>
    <w:rsid w:val="00887D04"/>
    <w:rsid w:val="00887D62"/>
    <w:rsid w:val="00890090"/>
    <w:rsid w:val="0089059F"/>
    <w:rsid w:val="008906B8"/>
    <w:rsid w:val="0089079D"/>
    <w:rsid w:val="00890A5F"/>
    <w:rsid w:val="00890B94"/>
    <w:rsid w:val="00890D20"/>
    <w:rsid w:val="00890E0A"/>
    <w:rsid w:val="0089129A"/>
    <w:rsid w:val="0089132F"/>
    <w:rsid w:val="00891410"/>
    <w:rsid w:val="0089152A"/>
    <w:rsid w:val="0089153A"/>
    <w:rsid w:val="008916C7"/>
    <w:rsid w:val="00891763"/>
    <w:rsid w:val="008917F0"/>
    <w:rsid w:val="0089182B"/>
    <w:rsid w:val="00891872"/>
    <w:rsid w:val="008918BD"/>
    <w:rsid w:val="00891B59"/>
    <w:rsid w:val="00891B78"/>
    <w:rsid w:val="00891B89"/>
    <w:rsid w:val="00891BA1"/>
    <w:rsid w:val="00891C7B"/>
    <w:rsid w:val="00891CC6"/>
    <w:rsid w:val="00891CDE"/>
    <w:rsid w:val="00891CE4"/>
    <w:rsid w:val="00891ECE"/>
    <w:rsid w:val="00892193"/>
    <w:rsid w:val="0089246A"/>
    <w:rsid w:val="00892679"/>
    <w:rsid w:val="008926DD"/>
    <w:rsid w:val="00892837"/>
    <w:rsid w:val="00892999"/>
    <w:rsid w:val="00892B38"/>
    <w:rsid w:val="00892B47"/>
    <w:rsid w:val="00892C88"/>
    <w:rsid w:val="00892D9E"/>
    <w:rsid w:val="00892E76"/>
    <w:rsid w:val="00892FCA"/>
    <w:rsid w:val="00893000"/>
    <w:rsid w:val="00893120"/>
    <w:rsid w:val="0089317A"/>
    <w:rsid w:val="0089325A"/>
    <w:rsid w:val="00893365"/>
    <w:rsid w:val="00893515"/>
    <w:rsid w:val="008936F0"/>
    <w:rsid w:val="00893767"/>
    <w:rsid w:val="00893D41"/>
    <w:rsid w:val="00893DD6"/>
    <w:rsid w:val="00893EEB"/>
    <w:rsid w:val="00893EF7"/>
    <w:rsid w:val="0089414D"/>
    <w:rsid w:val="00894457"/>
    <w:rsid w:val="008947CE"/>
    <w:rsid w:val="00894D03"/>
    <w:rsid w:val="00894E38"/>
    <w:rsid w:val="00894FE6"/>
    <w:rsid w:val="00895118"/>
    <w:rsid w:val="00895363"/>
    <w:rsid w:val="008955E8"/>
    <w:rsid w:val="0089566A"/>
    <w:rsid w:val="008956AB"/>
    <w:rsid w:val="00895871"/>
    <w:rsid w:val="00895931"/>
    <w:rsid w:val="00895A23"/>
    <w:rsid w:val="00895B4A"/>
    <w:rsid w:val="00895B58"/>
    <w:rsid w:val="00895FEF"/>
    <w:rsid w:val="0089622B"/>
    <w:rsid w:val="0089665C"/>
    <w:rsid w:val="00896907"/>
    <w:rsid w:val="00896BA5"/>
    <w:rsid w:val="00896BEB"/>
    <w:rsid w:val="00896EE4"/>
    <w:rsid w:val="00896FFD"/>
    <w:rsid w:val="008973EE"/>
    <w:rsid w:val="00897558"/>
    <w:rsid w:val="008977B5"/>
    <w:rsid w:val="008977DE"/>
    <w:rsid w:val="00897BAB"/>
    <w:rsid w:val="00897DE3"/>
    <w:rsid w:val="00897E40"/>
    <w:rsid w:val="008A0024"/>
    <w:rsid w:val="008A01CB"/>
    <w:rsid w:val="008A0434"/>
    <w:rsid w:val="008A0482"/>
    <w:rsid w:val="008A051B"/>
    <w:rsid w:val="008A0646"/>
    <w:rsid w:val="008A0887"/>
    <w:rsid w:val="008A0B7D"/>
    <w:rsid w:val="008A0D7D"/>
    <w:rsid w:val="008A0E04"/>
    <w:rsid w:val="008A0EDC"/>
    <w:rsid w:val="008A12F9"/>
    <w:rsid w:val="008A1476"/>
    <w:rsid w:val="008A14B0"/>
    <w:rsid w:val="008A14CD"/>
    <w:rsid w:val="008A1650"/>
    <w:rsid w:val="008A17F1"/>
    <w:rsid w:val="008A1902"/>
    <w:rsid w:val="008A1B7C"/>
    <w:rsid w:val="008A1BE4"/>
    <w:rsid w:val="008A2119"/>
    <w:rsid w:val="008A21AB"/>
    <w:rsid w:val="008A2207"/>
    <w:rsid w:val="008A2374"/>
    <w:rsid w:val="008A23F7"/>
    <w:rsid w:val="008A2411"/>
    <w:rsid w:val="008A2476"/>
    <w:rsid w:val="008A24C3"/>
    <w:rsid w:val="008A2779"/>
    <w:rsid w:val="008A27AB"/>
    <w:rsid w:val="008A2945"/>
    <w:rsid w:val="008A2ADF"/>
    <w:rsid w:val="008A2E8B"/>
    <w:rsid w:val="008A2EDD"/>
    <w:rsid w:val="008A30F1"/>
    <w:rsid w:val="008A3100"/>
    <w:rsid w:val="008A330C"/>
    <w:rsid w:val="008A335E"/>
    <w:rsid w:val="008A373C"/>
    <w:rsid w:val="008A3B46"/>
    <w:rsid w:val="008A3B78"/>
    <w:rsid w:val="008A3BCC"/>
    <w:rsid w:val="008A3BDF"/>
    <w:rsid w:val="008A3D8C"/>
    <w:rsid w:val="008A3F43"/>
    <w:rsid w:val="008A41D4"/>
    <w:rsid w:val="008A45CE"/>
    <w:rsid w:val="008A4739"/>
    <w:rsid w:val="008A483A"/>
    <w:rsid w:val="008A4ABB"/>
    <w:rsid w:val="008A4C9E"/>
    <w:rsid w:val="008A4DB6"/>
    <w:rsid w:val="008A503A"/>
    <w:rsid w:val="008A5220"/>
    <w:rsid w:val="008A522B"/>
    <w:rsid w:val="008A5519"/>
    <w:rsid w:val="008A5620"/>
    <w:rsid w:val="008A563B"/>
    <w:rsid w:val="008A5642"/>
    <w:rsid w:val="008A5ACE"/>
    <w:rsid w:val="008A5DB1"/>
    <w:rsid w:val="008A5F47"/>
    <w:rsid w:val="008A6122"/>
    <w:rsid w:val="008A633A"/>
    <w:rsid w:val="008A636F"/>
    <w:rsid w:val="008A648E"/>
    <w:rsid w:val="008A666B"/>
    <w:rsid w:val="008A6808"/>
    <w:rsid w:val="008A6816"/>
    <w:rsid w:val="008A6896"/>
    <w:rsid w:val="008A68C7"/>
    <w:rsid w:val="008A6C39"/>
    <w:rsid w:val="008A6D1C"/>
    <w:rsid w:val="008A6F19"/>
    <w:rsid w:val="008A7033"/>
    <w:rsid w:val="008A705F"/>
    <w:rsid w:val="008A71A2"/>
    <w:rsid w:val="008A73B9"/>
    <w:rsid w:val="008A74A8"/>
    <w:rsid w:val="008A7628"/>
    <w:rsid w:val="008A774B"/>
    <w:rsid w:val="008A789D"/>
    <w:rsid w:val="008A7D58"/>
    <w:rsid w:val="008A7EA0"/>
    <w:rsid w:val="008A7F29"/>
    <w:rsid w:val="008B0139"/>
    <w:rsid w:val="008B0187"/>
    <w:rsid w:val="008B01A0"/>
    <w:rsid w:val="008B0208"/>
    <w:rsid w:val="008B02A0"/>
    <w:rsid w:val="008B039D"/>
    <w:rsid w:val="008B089D"/>
    <w:rsid w:val="008B0A86"/>
    <w:rsid w:val="008B11D5"/>
    <w:rsid w:val="008B1904"/>
    <w:rsid w:val="008B1946"/>
    <w:rsid w:val="008B1961"/>
    <w:rsid w:val="008B1AAE"/>
    <w:rsid w:val="008B1BD9"/>
    <w:rsid w:val="008B1BE7"/>
    <w:rsid w:val="008B1DBD"/>
    <w:rsid w:val="008B1F4D"/>
    <w:rsid w:val="008B248E"/>
    <w:rsid w:val="008B24AA"/>
    <w:rsid w:val="008B251B"/>
    <w:rsid w:val="008B2571"/>
    <w:rsid w:val="008B26DF"/>
    <w:rsid w:val="008B2CDE"/>
    <w:rsid w:val="008B2D0D"/>
    <w:rsid w:val="008B2DD3"/>
    <w:rsid w:val="008B2E84"/>
    <w:rsid w:val="008B2EFD"/>
    <w:rsid w:val="008B301C"/>
    <w:rsid w:val="008B30BA"/>
    <w:rsid w:val="008B3191"/>
    <w:rsid w:val="008B3398"/>
    <w:rsid w:val="008B3613"/>
    <w:rsid w:val="008B36F5"/>
    <w:rsid w:val="008B3A19"/>
    <w:rsid w:val="008B3B5D"/>
    <w:rsid w:val="008B3FFE"/>
    <w:rsid w:val="008B40BE"/>
    <w:rsid w:val="008B4189"/>
    <w:rsid w:val="008B45BF"/>
    <w:rsid w:val="008B4622"/>
    <w:rsid w:val="008B4771"/>
    <w:rsid w:val="008B4ACB"/>
    <w:rsid w:val="008B4D74"/>
    <w:rsid w:val="008B4DF3"/>
    <w:rsid w:val="008B4F19"/>
    <w:rsid w:val="008B5055"/>
    <w:rsid w:val="008B5121"/>
    <w:rsid w:val="008B521A"/>
    <w:rsid w:val="008B546D"/>
    <w:rsid w:val="008B551C"/>
    <w:rsid w:val="008B5726"/>
    <w:rsid w:val="008B5A01"/>
    <w:rsid w:val="008B5FE2"/>
    <w:rsid w:val="008B6914"/>
    <w:rsid w:val="008B6B8E"/>
    <w:rsid w:val="008B6E40"/>
    <w:rsid w:val="008B6E98"/>
    <w:rsid w:val="008B6F6C"/>
    <w:rsid w:val="008B705D"/>
    <w:rsid w:val="008B724B"/>
    <w:rsid w:val="008B7273"/>
    <w:rsid w:val="008B728F"/>
    <w:rsid w:val="008B7357"/>
    <w:rsid w:val="008B73FD"/>
    <w:rsid w:val="008B7545"/>
    <w:rsid w:val="008B755D"/>
    <w:rsid w:val="008B76C6"/>
    <w:rsid w:val="008B7784"/>
    <w:rsid w:val="008B7B13"/>
    <w:rsid w:val="008B7E6C"/>
    <w:rsid w:val="008C0601"/>
    <w:rsid w:val="008C0842"/>
    <w:rsid w:val="008C0AD7"/>
    <w:rsid w:val="008C0D6F"/>
    <w:rsid w:val="008C10AA"/>
    <w:rsid w:val="008C1154"/>
    <w:rsid w:val="008C13AA"/>
    <w:rsid w:val="008C13CE"/>
    <w:rsid w:val="008C14FC"/>
    <w:rsid w:val="008C179C"/>
    <w:rsid w:val="008C1A57"/>
    <w:rsid w:val="008C1BA6"/>
    <w:rsid w:val="008C1D71"/>
    <w:rsid w:val="008C212C"/>
    <w:rsid w:val="008C2456"/>
    <w:rsid w:val="008C2508"/>
    <w:rsid w:val="008C2528"/>
    <w:rsid w:val="008C2568"/>
    <w:rsid w:val="008C2632"/>
    <w:rsid w:val="008C266E"/>
    <w:rsid w:val="008C26B0"/>
    <w:rsid w:val="008C26F3"/>
    <w:rsid w:val="008C2817"/>
    <w:rsid w:val="008C2A0C"/>
    <w:rsid w:val="008C2A54"/>
    <w:rsid w:val="008C2CA5"/>
    <w:rsid w:val="008C2E4B"/>
    <w:rsid w:val="008C3108"/>
    <w:rsid w:val="008C3202"/>
    <w:rsid w:val="008C343D"/>
    <w:rsid w:val="008C34EF"/>
    <w:rsid w:val="008C3583"/>
    <w:rsid w:val="008C3722"/>
    <w:rsid w:val="008C37E7"/>
    <w:rsid w:val="008C380E"/>
    <w:rsid w:val="008C3AF8"/>
    <w:rsid w:val="008C3B6C"/>
    <w:rsid w:val="008C3C33"/>
    <w:rsid w:val="008C3DE2"/>
    <w:rsid w:val="008C3E09"/>
    <w:rsid w:val="008C3E88"/>
    <w:rsid w:val="008C4201"/>
    <w:rsid w:val="008C434B"/>
    <w:rsid w:val="008C442D"/>
    <w:rsid w:val="008C454E"/>
    <w:rsid w:val="008C4550"/>
    <w:rsid w:val="008C464E"/>
    <w:rsid w:val="008C46BD"/>
    <w:rsid w:val="008C470C"/>
    <w:rsid w:val="008C4796"/>
    <w:rsid w:val="008C48C7"/>
    <w:rsid w:val="008C4BE7"/>
    <w:rsid w:val="008C4BEA"/>
    <w:rsid w:val="008C4F60"/>
    <w:rsid w:val="008C4FFB"/>
    <w:rsid w:val="008C50CF"/>
    <w:rsid w:val="008C521B"/>
    <w:rsid w:val="008C5278"/>
    <w:rsid w:val="008C528B"/>
    <w:rsid w:val="008C53A1"/>
    <w:rsid w:val="008C540F"/>
    <w:rsid w:val="008C5529"/>
    <w:rsid w:val="008C55CD"/>
    <w:rsid w:val="008C5687"/>
    <w:rsid w:val="008C5725"/>
    <w:rsid w:val="008C5733"/>
    <w:rsid w:val="008C5870"/>
    <w:rsid w:val="008C5A1F"/>
    <w:rsid w:val="008C5A5F"/>
    <w:rsid w:val="008C5F06"/>
    <w:rsid w:val="008C5FEB"/>
    <w:rsid w:val="008C60A9"/>
    <w:rsid w:val="008C62BE"/>
    <w:rsid w:val="008C6323"/>
    <w:rsid w:val="008C6417"/>
    <w:rsid w:val="008C64F1"/>
    <w:rsid w:val="008C654A"/>
    <w:rsid w:val="008C6A48"/>
    <w:rsid w:val="008C6D3C"/>
    <w:rsid w:val="008C6EB1"/>
    <w:rsid w:val="008C714E"/>
    <w:rsid w:val="008C7168"/>
    <w:rsid w:val="008C729F"/>
    <w:rsid w:val="008C7515"/>
    <w:rsid w:val="008C7696"/>
    <w:rsid w:val="008C7D5D"/>
    <w:rsid w:val="008C7DE2"/>
    <w:rsid w:val="008C7DE6"/>
    <w:rsid w:val="008C7E24"/>
    <w:rsid w:val="008C7E60"/>
    <w:rsid w:val="008C7F48"/>
    <w:rsid w:val="008C7FFE"/>
    <w:rsid w:val="008D0464"/>
    <w:rsid w:val="008D0901"/>
    <w:rsid w:val="008D0A16"/>
    <w:rsid w:val="008D0DC1"/>
    <w:rsid w:val="008D1168"/>
    <w:rsid w:val="008D1217"/>
    <w:rsid w:val="008D14FF"/>
    <w:rsid w:val="008D1506"/>
    <w:rsid w:val="008D199E"/>
    <w:rsid w:val="008D1A66"/>
    <w:rsid w:val="008D1A97"/>
    <w:rsid w:val="008D1C10"/>
    <w:rsid w:val="008D1E5F"/>
    <w:rsid w:val="008D1F3C"/>
    <w:rsid w:val="008D2433"/>
    <w:rsid w:val="008D243F"/>
    <w:rsid w:val="008D2890"/>
    <w:rsid w:val="008D2A06"/>
    <w:rsid w:val="008D2CED"/>
    <w:rsid w:val="008D2D1F"/>
    <w:rsid w:val="008D2D39"/>
    <w:rsid w:val="008D2FBC"/>
    <w:rsid w:val="008D324E"/>
    <w:rsid w:val="008D3371"/>
    <w:rsid w:val="008D35B3"/>
    <w:rsid w:val="008D3605"/>
    <w:rsid w:val="008D3642"/>
    <w:rsid w:val="008D381F"/>
    <w:rsid w:val="008D383F"/>
    <w:rsid w:val="008D3AD2"/>
    <w:rsid w:val="008D3B74"/>
    <w:rsid w:val="008D3BE6"/>
    <w:rsid w:val="008D3DA1"/>
    <w:rsid w:val="008D3E9F"/>
    <w:rsid w:val="008D4199"/>
    <w:rsid w:val="008D431E"/>
    <w:rsid w:val="008D43D0"/>
    <w:rsid w:val="008D4503"/>
    <w:rsid w:val="008D4CA5"/>
    <w:rsid w:val="008D4DDE"/>
    <w:rsid w:val="008D4F2B"/>
    <w:rsid w:val="008D50AC"/>
    <w:rsid w:val="008D5275"/>
    <w:rsid w:val="008D5324"/>
    <w:rsid w:val="008D53C2"/>
    <w:rsid w:val="008D541D"/>
    <w:rsid w:val="008D55BE"/>
    <w:rsid w:val="008D5603"/>
    <w:rsid w:val="008D5663"/>
    <w:rsid w:val="008D59A8"/>
    <w:rsid w:val="008D5AEC"/>
    <w:rsid w:val="008D5B4A"/>
    <w:rsid w:val="008D5CCF"/>
    <w:rsid w:val="008D5F9A"/>
    <w:rsid w:val="008D5FFD"/>
    <w:rsid w:val="008D66A7"/>
    <w:rsid w:val="008D6A92"/>
    <w:rsid w:val="008D6B45"/>
    <w:rsid w:val="008D7031"/>
    <w:rsid w:val="008D718A"/>
    <w:rsid w:val="008D727F"/>
    <w:rsid w:val="008D732E"/>
    <w:rsid w:val="008D7335"/>
    <w:rsid w:val="008D7387"/>
    <w:rsid w:val="008D73B5"/>
    <w:rsid w:val="008D74E5"/>
    <w:rsid w:val="008D7655"/>
    <w:rsid w:val="008D7695"/>
    <w:rsid w:val="008D78A6"/>
    <w:rsid w:val="008D7B44"/>
    <w:rsid w:val="008D7C34"/>
    <w:rsid w:val="008D7CAA"/>
    <w:rsid w:val="008D7F7C"/>
    <w:rsid w:val="008E00C7"/>
    <w:rsid w:val="008E04AA"/>
    <w:rsid w:val="008E04D6"/>
    <w:rsid w:val="008E0521"/>
    <w:rsid w:val="008E08C6"/>
    <w:rsid w:val="008E0AC8"/>
    <w:rsid w:val="008E0BB6"/>
    <w:rsid w:val="008E0D98"/>
    <w:rsid w:val="008E10AA"/>
    <w:rsid w:val="008E10BE"/>
    <w:rsid w:val="008E1274"/>
    <w:rsid w:val="008E12A8"/>
    <w:rsid w:val="008E151B"/>
    <w:rsid w:val="008E1788"/>
    <w:rsid w:val="008E17AA"/>
    <w:rsid w:val="008E17D8"/>
    <w:rsid w:val="008E19A3"/>
    <w:rsid w:val="008E1A26"/>
    <w:rsid w:val="008E1C07"/>
    <w:rsid w:val="008E1E44"/>
    <w:rsid w:val="008E1E59"/>
    <w:rsid w:val="008E25B3"/>
    <w:rsid w:val="008E26C9"/>
    <w:rsid w:val="008E2870"/>
    <w:rsid w:val="008E2892"/>
    <w:rsid w:val="008E2990"/>
    <w:rsid w:val="008E29BA"/>
    <w:rsid w:val="008E2C15"/>
    <w:rsid w:val="008E2DAA"/>
    <w:rsid w:val="008E2DCD"/>
    <w:rsid w:val="008E2E6E"/>
    <w:rsid w:val="008E32E2"/>
    <w:rsid w:val="008E3488"/>
    <w:rsid w:val="008E3511"/>
    <w:rsid w:val="008E3646"/>
    <w:rsid w:val="008E3652"/>
    <w:rsid w:val="008E3810"/>
    <w:rsid w:val="008E3D39"/>
    <w:rsid w:val="008E3EED"/>
    <w:rsid w:val="008E3F29"/>
    <w:rsid w:val="008E3F8D"/>
    <w:rsid w:val="008E404E"/>
    <w:rsid w:val="008E4109"/>
    <w:rsid w:val="008E4819"/>
    <w:rsid w:val="008E48A8"/>
    <w:rsid w:val="008E4C9B"/>
    <w:rsid w:val="008E4E19"/>
    <w:rsid w:val="008E4E89"/>
    <w:rsid w:val="008E50DB"/>
    <w:rsid w:val="008E5179"/>
    <w:rsid w:val="008E51E8"/>
    <w:rsid w:val="008E51F3"/>
    <w:rsid w:val="008E52BB"/>
    <w:rsid w:val="008E5506"/>
    <w:rsid w:val="008E560B"/>
    <w:rsid w:val="008E56E4"/>
    <w:rsid w:val="008E5723"/>
    <w:rsid w:val="008E5D77"/>
    <w:rsid w:val="008E62DC"/>
    <w:rsid w:val="008E6789"/>
    <w:rsid w:val="008E6882"/>
    <w:rsid w:val="008E694A"/>
    <w:rsid w:val="008E699E"/>
    <w:rsid w:val="008E6C2B"/>
    <w:rsid w:val="008E6C45"/>
    <w:rsid w:val="008E7186"/>
    <w:rsid w:val="008E73D4"/>
    <w:rsid w:val="008E73F1"/>
    <w:rsid w:val="008E744E"/>
    <w:rsid w:val="008E7A08"/>
    <w:rsid w:val="008E7AC4"/>
    <w:rsid w:val="008E7DD1"/>
    <w:rsid w:val="008E7EED"/>
    <w:rsid w:val="008E7FA9"/>
    <w:rsid w:val="008F0464"/>
    <w:rsid w:val="008F046B"/>
    <w:rsid w:val="008F05F9"/>
    <w:rsid w:val="008F0AA0"/>
    <w:rsid w:val="008F0CA0"/>
    <w:rsid w:val="008F0E7E"/>
    <w:rsid w:val="008F0F97"/>
    <w:rsid w:val="008F11D6"/>
    <w:rsid w:val="008F139A"/>
    <w:rsid w:val="008F13DE"/>
    <w:rsid w:val="008F15E3"/>
    <w:rsid w:val="008F163A"/>
    <w:rsid w:val="008F1661"/>
    <w:rsid w:val="008F1674"/>
    <w:rsid w:val="008F1782"/>
    <w:rsid w:val="008F1A21"/>
    <w:rsid w:val="008F1BDA"/>
    <w:rsid w:val="008F1E9B"/>
    <w:rsid w:val="008F21C0"/>
    <w:rsid w:val="008F2369"/>
    <w:rsid w:val="008F241E"/>
    <w:rsid w:val="008F2483"/>
    <w:rsid w:val="008F24CF"/>
    <w:rsid w:val="008F2519"/>
    <w:rsid w:val="008F26BE"/>
    <w:rsid w:val="008F276E"/>
    <w:rsid w:val="008F286A"/>
    <w:rsid w:val="008F2A2D"/>
    <w:rsid w:val="008F2AE5"/>
    <w:rsid w:val="008F2D17"/>
    <w:rsid w:val="008F2E3C"/>
    <w:rsid w:val="008F2EFD"/>
    <w:rsid w:val="008F3331"/>
    <w:rsid w:val="008F3808"/>
    <w:rsid w:val="008F3853"/>
    <w:rsid w:val="008F3AA1"/>
    <w:rsid w:val="008F3AC7"/>
    <w:rsid w:val="008F3B3E"/>
    <w:rsid w:val="008F3DD5"/>
    <w:rsid w:val="008F3FBF"/>
    <w:rsid w:val="008F46B0"/>
    <w:rsid w:val="008F472D"/>
    <w:rsid w:val="008F4842"/>
    <w:rsid w:val="008F4E01"/>
    <w:rsid w:val="008F5118"/>
    <w:rsid w:val="008F51EA"/>
    <w:rsid w:val="008F52CC"/>
    <w:rsid w:val="008F590F"/>
    <w:rsid w:val="008F5AA5"/>
    <w:rsid w:val="008F5C2C"/>
    <w:rsid w:val="008F5C58"/>
    <w:rsid w:val="008F5D00"/>
    <w:rsid w:val="008F5FE8"/>
    <w:rsid w:val="008F600E"/>
    <w:rsid w:val="008F61E7"/>
    <w:rsid w:val="008F6388"/>
    <w:rsid w:val="008F651C"/>
    <w:rsid w:val="008F6733"/>
    <w:rsid w:val="008F68FD"/>
    <w:rsid w:val="008F6A51"/>
    <w:rsid w:val="008F6B70"/>
    <w:rsid w:val="008F6D3A"/>
    <w:rsid w:val="008F6E53"/>
    <w:rsid w:val="008F6FB4"/>
    <w:rsid w:val="008F702D"/>
    <w:rsid w:val="008F7448"/>
    <w:rsid w:val="008F75B8"/>
    <w:rsid w:val="008F7764"/>
    <w:rsid w:val="008F7784"/>
    <w:rsid w:val="008F779A"/>
    <w:rsid w:val="008F78E1"/>
    <w:rsid w:val="008F7B27"/>
    <w:rsid w:val="008F7B76"/>
    <w:rsid w:val="008F7BD2"/>
    <w:rsid w:val="008F7D62"/>
    <w:rsid w:val="0090015F"/>
    <w:rsid w:val="0090018E"/>
    <w:rsid w:val="00900209"/>
    <w:rsid w:val="0090031F"/>
    <w:rsid w:val="009003A4"/>
    <w:rsid w:val="009003B5"/>
    <w:rsid w:val="009005C4"/>
    <w:rsid w:val="00900618"/>
    <w:rsid w:val="009006EF"/>
    <w:rsid w:val="00900C08"/>
    <w:rsid w:val="00900D16"/>
    <w:rsid w:val="00900EBD"/>
    <w:rsid w:val="009010C6"/>
    <w:rsid w:val="009012E9"/>
    <w:rsid w:val="00901302"/>
    <w:rsid w:val="00901410"/>
    <w:rsid w:val="00901458"/>
    <w:rsid w:val="009014C3"/>
    <w:rsid w:val="0090156B"/>
    <w:rsid w:val="0090190E"/>
    <w:rsid w:val="00901955"/>
    <w:rsid w:val="0090198D"/>
    <w:rsid w:val="00901BA9"/>
    <w:rsid w:val="00901BB3"/>
    <w:rsid w:val="00901C44"/>
    <w:rsid w:val="00901D6F"/>
    <w:rsid w:val="00901E7B"/>
    <w:rsid w:val="00902467"/>
    <w:rsid w:val="00902478"/>
    <w:rsid w:val="00902677"/>
    <w:rsid w:val="009029F3"/>
    <w:rsid w:val="00902C70"/>
    <w:rsid w:val="00902E86"/>
    <w:rsid w:val="00902EBA"/>
    <w:rsid w:val="00902F32"/>
    <w:rsid w:val="009032CD"/>
    <w:rsid w:val="009034BD"/>
    <w:rsid w:val="009035DB"/>
    <w:rsid w:val="0090377A"/>
    <w:rsid w:val="009037A3"/>
    <w:rsid w:val="00903A44"/>
    <w:rsid w:val="00903AFD"/>
    <w:rsid w:val="00903B0A"/>
    <w:rsid w:val="00903CE1"/>
    <w:rsid w:val="00903D73"/>
    <w:rsid w:val="00903FBA"/>
    <w:rsid w:val="009041B8"/>
    <w:rsid w:val="0090420F"/>
    <w:rsid w:val="00904329"/>
    <w:rsid w:val="009044EA"/>
    <w:rsid w:val="009047C3"/>
    <w:rsid w:val="009048B7"/>
    <w:rsid w:val="00904910"/>
    <w:rsid w:val="009049B4"/>
    <w:rsid w:val="00904F65"/>
    <w:rsid w:val="00905199"/>
    <w:rsid w:val="0090523F"/>
    <w:rsid w:val="0090539F"/>
    <w:rsid w:val="00905641"/>
    <w:rsid w:val="009056C8"/>
    <w:rsid w:val="009056D2"/>
    <w:rsid w:val="0090584D"/>
    <w:rsid w:val="009058AC"/>
    <w:rsid w:val="00905A51"/>
    <w:rsid w:val="00905B70"/>
    <w:rsid w:val="00905D82"/>
    <w:rsid w:val="00905E87"/>
    <w:rsid w:val="00905E91"/>
    <w:rsid w:val="00905FA2"/>
    <w:rsid w:val="00906032"/>
    <w:rsid w:val="009060CB"/>
    <w:rsid w:val="0090624A"/>
    <w:rsid w:val="00906BFD"/>
    <w:rsid w:val="00906CA1"/>
    <w:rsid w:val="00906CF0"/>
    <w:rsid w:val="00906ED2"/>
    <w:rsid w:val="00906EE0"/>
    <w:rsid w:val="00907245"/>
    <w:rsid w:val="009075B3"/>
    <w:rsid w:val="00907A8E"/>
    <w:rsid w:val="00907CC8"/>
    <w:rsid w:val="00907D72"/>
    <w:rsid w:val="00907E2B"/>
    <w:rsid w:val="00907F4D"/>
    <w:rsid w:val="009100D3"/>
    <w:rsid w:val="0091050E"/>
    <w:rsid w:val="009107A2"/>
    <w:rsid w:val="00910A85"/>
    <w:rsid w:val="00910BE4"/>
    <w:rsid w:val="00910CCC"/>
    <w:rsid w:val="00910CF5"/>
    <w:rsid w:val="00910D38"/>
    <w:rsid w:val="00910EF4"/>
    <w:rsid w:val="00910F49"/>
    <w:rsid w:val="0091114A"/>
    <w:rsid w:val="0091143C"/>
    <w:rsid w:val="00911772"/>
    <w:rsid w:val="009118AE"/>
    <w:rsid w:val="00911A6E"/>
    <w:rsid w:val="00911FC2"/>
    <w:rsid w:val="00912136"/>
    <w:rsid w:val="009121EF"/>
    <w:rsid w:val="0091220C"/>
    <w:rsid w:val="009122B7"/>
    <w:rsid w:val="009123BB"/>
    <w:rsid w:val="0091257C"/>
    <w:rsid w:val="0091266A"/>
    <w:rsid w:val="0091266B"/>
    <w:rsid w:val="00912B91"/>
    <w:rsid w:val="00912E29"/>
    <w:rsid w:val="00912E5A"/>
    <w:rsid w:val="009130E7"/>
    <w:rsid w:val="00913184"/>
    <w:rsid w:val="00913353"/>
    <w:rsid w:val="00913570"/>
    <w:rsid w:val="0091363E"/>
    <w:rsid w:val="00913679"/>
    <w:rsid w:val="00913766"/>
    <w:rsid w:val="00913CD0"/>
    <w:rsid w:val="00913D37"/>
    <w:rsid w:val="00913E48"/>
    <w:rsid w:val="009141B1"/>
    <w:rsid w:val="009145A3"/>
    <w:rsid w:val="00914753"/>
    <w:rsid w:val="009149D5"/>
    <w:rsid w:val="00914A53"/>
    <w:rsid w:val="00914A57"/>
    <w:rsid w:val="00914B80"/>
    <w:rsid w:val="00914C4D"/>
    <w:rsid w:val="00914C73"/>
    <w:rsid w:val="009152CD"/>
    <w:rsid w:val="00915466"/>
    <w:rsid w:val="0091594B"/>
    <w:rsid w:val="00915A21"/>
    <w:rsid w:val="00915C2A"/>
    <w:rsid w:val="00915E05"/>
    <w:rsid w:val="00915E48"/>
    <w:rsid w:val="009160B1"/>
    <w:rsid w:val="009163D2"/>
    <w:rsid w:val="00916604"/>
    <w:rsid w:val="00916633"/>
    <w:rsid w:val="00916815"/>
    <w:rsid w:val="009169DA"/>
    <w:rsid w:val="00916A2E"/>
    <w:rsid w:val="00916AE7"/>
    <w:rsid w:val="00916BC6"/>
    <w:rsid w:val="00916BF0"/>
    <w:rsid w:val="00916EF4"/>
    <w:rsid w:val="00917341"/>
    <w:rsid w:val="00917494"/>
    <w:rsid w:val="0091757F"/>
    <w:rsid w:val="00917581"/>
    <w:rsid w:val="00917614"/>
    <w:rsid w:val="00917BA0"/>
    <w:rsid w:val="00917BD0"/>
    <w:rsid w:val="00917D56"/>
    <w:rsid w:val="00917F1C"/>
    <w:rsid w:val="00917FC4"/>
    <w:rsid w:val="0092059D"/>
    <w:rsid w:val="009207A6"/>
    <w:rsid w:val="0092099B"/>
    <w:rsid w:val="009209B8"/>
    <w:rsid w:val="00920B8D"/>
    <w:rsid w:val="00920C43"/>
    <w:rsid w:val="00921067"/>
    <w:rsid w:val="009210CE"/>
    <w:rsid w:val="009214DD"/>
    <w:rsid w:val="00921534"/>
    <w:rsid w:val="009215B8"/>
    <w:rsid w:val="00921764"/>
    <w:rsid w:val="00921871"/>
    <w:rsid w:val="00921E62"/>
    <w:rsid w:val="00921F46"/>
    <w:rsid w:val="009220A5"/>
    <w:rsid w:val="009220F5"/>
    <w:rsid w:val="00922117"/>
    <w:rsid w:val="00922149"/>
    <w:rsid w:val="0092247C"/>
    <w:rsid w:val="009224A9"/>
    <w:rsid w:val="00922721"/>
    <w:rsid w:val="00922CE3"/>
    <w:rsid w:val="00922DFC"/>
    <w:rsid w:val="00922ED3"/>
    <w:rsid w:val="00923044"/>
    <w:rsid w:val="009230BA"/>
    <w:rsid w:val="009230C1"/>
    <w:rsid w:val="009231A4"/>
    <w:rsid w:val="009234A7"/>
    <w:rsid w:val="009235D4"/>
    <w:rsid w:val="0092375D"/>
    <w:rsid w:val="009238D9"/>
    <w:rsid w:val="00923D2A"/>
    <w:rsid w:val="00923D5D"/>
    <w:rsid w:val="00923E51"/>
    <w:rsid w:val="00923E65"/>
    <w:rsid w:val="009242B0"/>
    <w:rsid w:val="00924426"/>
    <w:rsid w:val="0092453B"/>
    <w:rsid w:val="00924742"/>
    <w:rsid w:val="00924824"/>
    <w:rsid w:val="00924B2E"/>
    <w:rsid w:val="00924D74"/>
    <w:rsid w:val="00924FC8"/>
    <w:rsid w:val="0092531C"/>
    <w:rsid w:val="0092542C"/>
    <w:rsid w:val="0092557A"/>
    <w:rsid w:val="0092557B"/>
    <w:rsid w:val="00925873"/>
    <w:rsid w:val="00925C8C"/>
    <w:rsid w:val="00925D8D"/>
    <w:rsid w:val="0092614C"/>
    <w:rsid w:val="0092616A"/>
    <w:rsid w:val="009263BA"/>
    <w:rsid w:val="009263F7"/>
    <w:rsid w:val="0092658C"/>
    <w:rsid w:val="009265A8"/>
    <w:rsid w:val="009266B2"/>
    <w:rsid w:val="0092678D"/>
    <w:rsid w:val="009267B0"/>
    <w:rsid w:val="009269A5"/>
    <w:rsid w:val="00926A07"/>
    <w:rsid w:val="00926CCE"/>
    <w:rsid w:val="00926F22"/>
    <w:rsid w:val="00927087"/>
    <w:rsid w:val="0092712E"/>
    <w:rsid w:val="009273D1"/>
    <w:rsid w:val="0092761B"/>
    <w:rsid w:val="00927638"/>
    <w:rsid w:val="00927754"/>
    <w:rsid w:val="00927875"/>
    <w:rsid w:val="0092794E"/>
    <w:rsid w:val="00927C52"/>
    <w:rsid w:val="00927F70"/>
    <w:rsid w:val="00927F84"/>
    <w:rsid w:val="009300A9"/>
    <w:rsid w:val="00930254"/>
    <w:rsid w:val="00930471"/>
    <w:rsid w:val="00930550"/>
    <w:rsid w:val="009309A3"/>
    <w:rsid w:val="00930D87"/>
    <w:rsid w:val="00930EB7"/>
    <w:rsid w:val="00931060"/>
    <w:rsid w:val="009315F7"/>
    <w:rsid w:val="009317E2"/>
    <w:rsid w:val="0093183A"/>
    <w:rsid w:val="0093190C"/>
    <w:rsid w:val="00931A6E"/>
    <w:rsid w:val="00931B6C"/>
    <w:rsid w:val="00931E41"/>
    <w:rsid w:val="00931E9A"/>
    <w:rsid w:val="00931FCB"/>
    <w:rsid w:val="00932168"/>
    <w:rsid w:val="009324D8"/>
    <w:rsid w:val="0093250D"/>
    <w:rsid w:val="009325E3"/>
    <w:rsid w:val="00932643"/>
    <w:rsid w:val="0093284C"/>
    <w:rsid w:val="00932954"/>
    <w:rsid w:val="00932B33"/>
    <w:rsid w:val="00932B5A"/>
    <w:rsid w:val="00932C0A"/>
    <w:rsid w:val="00932C3E"/>
    <w:rsid w:val="00932EA7"/>
    <w:rsid w:val="00932EBB"/>
    <w:rsid w:val="00932FBF"/>
    <w:rsid w:val="00932FCE"/>
    <w:rsid w:val="00933253"/>
    <w:rsid w:val="009334E4"/>
    <w:rsid w:val="00933807"/>
    <w:rsid w:val="009339FD"/>
    <w:rsid w:val="00933A8C"/>
    <w:rsid w:val="00933B51"/>
    <w:rsid w:val="00933D2C"/>
    <w:rsid w:val="00934289"/>
    <w:rsid w:val="00934337"/>
    <w:rsid w:val="0093437B"/>
    <w:rsid w:val="009345BC"/>
    <w:rsid w:val="009348F0"/>
    <w:rsid w:val="00934D6F"/>
    <w:rsid w:val="00934FD4"/>
    <w:rsid w:val="0093528D"/>
    <w:rsid w:val="009352DF"/>
    <w:rsid w:val="00935340"/>
    <w:rsid w:val="009354B7"/>
    <w:rsid w:val="009354F7"/>
    <w:rsid w:val="009356BE"/>
    <w:rsid w:val="00935C7F"/>
    <w:rsid w:val="00935C9E"/>
    <w:rsid w:val="00935EF8"/>
    <w:rsid w:val="00935F6A"/>
    <w:rsid w:val="00936071"/>
    <w:rsid w:val="00936199"/>
    <w:rsid w:val="00936515"/>
    <w:rsid w:val="00936561"/>
    <w:rsid w:val="0093674D"/>
    <w:rsid w:val="009368A4"/>
    <w:rsid w:val="009368AD"/>
    <w:rsid w:val="009368E9"/>
    <w:rsid w:val="00936920"/>
    <w:rsid w:val="00936A1A"/>
    <w:rsid w:val="00936A9C"/>
    <w:rsid w:val="00936ADC"/>
    <w:rsid w:val="00936B67"/>
    <w:rsid w:val="00936C88"/>
    <w:rsid w:val="00936D16"/>
    <w:rsid w:val="00936F65"/>
    <w:rsid w:val="00937248"/>
    <w:rsid w:val="00937362"/>
    <w:rsid w:val="009375EF"/>
    <w:rsid w:val="0093791A"/>
    <w:rsid w:val="00937A14"/>
    <w:rsid w:val="00937ABC"/>
    <w:rsid w:val="00937D39"/>
    <w:rsid w:val="00937D52"/>
    <w:rsid w:val="00937DF1"/>
    <w:rsid w:val="00937FC8"/>
    <w:rsid w:val="009402B9"/>
    <w:rsid w:val="009403E5"/>
    <w:rsid w:val="00940484"/>
    <w:rsid w:val="009406D5"/>
    <w:rsid w:val="009406F1"/>
    <w:rsid w:val="009409D3"/>
    <w:rsid w:val="00940AA3"/>
    <w:rsid w:val="00940CD5"/>
    <w:rsid w:val="00940FFF"/>
    <w:rsid w:val="0094106E"/>
    <w:rsid w:val="009414B6"/>
    <w:rsid w:val="00941516"/>
    <w:rsid w:val="009416B7"/>
    <w:rsid w:val="00941824"/>
    <w:rsid w:val="00941937"/>
    <w:rsid w:val="009419F4"/>
    <w:rsid w:val="00941CEE"/>
    <w:rsid w:val="009420A7"/>
    <w:rsid w:val="009422C2"/>
    <w:rsid w:val="0094233A"/>
    <w:rsid w:val="00942353"/>
    <w:rsid w:val="0094252A"/>
    <w:rsid w:val="00942675"/>
    <w:rsid w:val="009426FD"/>
    <w:rsid w:val="00942887"/>
    <w:rsid w:val="0094297C"/>
    <w:rsid w:val="00942BF8"/>
    <w:rsid w:val="00942E3C"/>
    <w:rsid w:val="00943046"/>
    <w:rsid w:val="0094309E"/>
    <w:rsid w:val="00943298"/>
    <w:rsid w:val="009437EA"/>
    <w:rsid w:val="00943B79"/>
    <w:rsid w:val="00944013"/>
    <w:rsid w:val="00944065"/>
    <w:rsid w:val="00944810"/>
    <w:rsid w:val="009449D8"/>
    <w:rsid w:val="00944B2D"/>
    <w:rsid w:val="00944D27"/>
    <w:rsid w:val="00944D49"/>
    <w:rsid w:val="00944E10"/>
    <w:rsid w:val="0094547A"/>
    <w:rsid w:val="00945480"/>
    <w:rsid w:val="009454A8"/>
    <w:rsid w:val="009455E4"/>
    <w:rsid w:val="00945756"/>
    <w:rsid w:val="00945909"/>
    <w:rsid w:val="00945A82"/>
    <w:rsid w:val="00945D2B"/>
    <w:rsid w:val="00945D41"/>
    <w:rsid w:val="00945F1C"/>
    <w:rsid w:val="00945F35"/>
    <w:rsid w:val="009462DB"/>
    <w:rsid w:val="009462E8"/>
    <w:rsid w:val="0094637D"/>
    <w:rsid w:val="00946410"/>
    <w:rsid w:val="0094667E"/>
    <w:rsid w:val="0094678F"/>
    <w:rsid w:val="009467DB"/>
    <w:rsid w:val="00946960"/>
    <w:rsid w:val="00946981"/>
    <w:rsid w:val="00946BD9"/>
    <w:rsid w:val="00946E26"/>
    <w:rsid w:val="00946F2A"/>
    <w:rsid w:val="00947042"/>
    <w:rsid w:val="009471EB"/>
    <w:rsid w:val="009472B8"/>
    <w:rsid w:val="009472DD"/>
    <w:rsid w:val="009474A9"/>
    <w:rsid w:val="00947534"/>
    <w:rsid w:val="0094758F"/>
    <w:rsid w:val="00947616"/>
    <w:rsid w:val="00947AC7"/>
    <w:rsid w:val="00947B88"/>
    <w:rsid w:val="00947F4A"/>
    <w:rsid w:val="00947F7E"/>
    <w:rsid w:val="0095031C"/>
    <w:rsid w:val="0095076B"/>
    <w:rsid w:val="00950A97"/>
    <w:rsid w:val="00951131"/>
    <w:rsid w:val="00951422"/>
    <w:rsid w:val="009514F3"/>
    <w:rsid w:val="009516B5"/>
    <w:rsid w:val="00951BAB"/>
    <w:rsid w:val="00951CEC"/>
    <w:rsid w:val="009520F5"/>
    <w:rsid w:val="0095213F"/>
    <w:rsid w:val="00952140"/>
    <w:rsid w:val="009522D1"/>
    <w:rsid w:val="00952324"/>
    <w:rsid w:val="0095240B"/>
    <w:rsid w:val="009529A4"/>
    <w:rsid w:val="009529B7"/>
    <w:rsid w:val="00952A18"/>
    <w:rsid w:val="00952A1B"/>
    <w:rsid w:val="00952B17"/>
    <w:rsid w:val="00952D4F"/>
    <w:rsid w:val="00952D6F"/>
    <w:rsid w:val="00952F2B"/>
    <w:rsid w:val="0095312F"/>
    <w:rsid w:val="0095317C"/>
    <w:rsid w:val="0095321A"/>
    <w:rsid w:val="00953299"/>
    <w:rsid w:val="009534CA"/>
    <w:rsid w:val="009534DB"/>
    <w:rsid w:val="00953644"/>
    <w:rsid w:val="00953832"/>
    <w:rsid w:val="00953962"/>
    <w:rsid w:val="0095398E"/>
    <w:rsid w:val="009539EA"/>
    <w:rsid w:val="00953A9D"/>
    <w:rsid w:val="00953EC6"/>
    <w:rsid w:val="00954012"/>
    <w:rsid w:val="00954064"/>
    <w:rsid w:val="009540B8"/>
    <w:rsid w:val="00954287"/>
    <w:rsid w:val="0095432E"/>
    <w:rsid w:val="009544D1"/>
    <w:rsid w:val="009545AA"/>
    <w:rsid w:val="00954628"/>
    <w:rsid w:val="0095476B"/>
    <w:rsid w:val="00954951"/>
    <w:rsid w:val="0095498A"/>
    <w:rsid w:val="009549F7"/>
    <w:rsid w:val="00954C1A"/>
    <w:rsid w:val="00954DAC"/>
    <w:rsid w:val="0095536B"/>
    <w:rsid w:val="00955381"/>
    <w:rsid w:val="009553BD"/>
    <w:rsid w:val="009553C3"/>
    <w:rsid w:val="009555F4"/>
    <w:rsid w:val="00955D61"/>
    <w:rsid w:val="00955D73"/>
    <w:rsid w:val="00955D91"/>
    <w:rsid w:val="00955E48"/>
    <w:rsid w:val="00955E58"/>
    <w:rsid w:val="00955EE5"/>
    <w:rsid w:val="00956272"/>
    <w:rsid w:val="00956290"/>
    <w:rsid w:val="00956304"/>
    <w:rsid w:val="0095634B"/>
    <w:rsid w:val="00956388"/>
    <w:rsid w:val="0095653B"/>
    <w:rsid w:val="0095667E"/>
    <w:rsid w:val="00956B54"/>
    <w:rsid w:val="00956BD0"/>
    <w:rsid w:val="00956BE7"/>
    <w:rsid w:val="00956C0D"/>
    <w:rsid w:val="00956C11"/>
    <w:rsid w:val="00956C12"/>
    <w:rsid w:val="00956C59"/>
    <w:rsid w:val="00956CF0"/>
    <w:rsid w:val="00956E09"/>
    <w:rsid w:val="009572F7"/>
    <w:rsid w:val="009575BB"/>
    <w:rsid w:val="009575F2"/>
    <w:rsid w:val="009575F9"/>
    <w:rsid w:val="00957636"/>
    <w:rsid w:val="009578A0"/>
    <w:rsid w:val="00957910"/>
    <w:rsid w:val="0095799D"/>
    <w:rsid w:val="00957A6B"/>
    <w:rsid w:val="00957BA3"/>
    <w:rsid w:val="00957C9F"/>
    <w:rsid w:val="00957D67"/>
    <w:rsid w:val="00957DDF"/>
    <w:rsid w:val="00957F95"/>
    <w:rsid w:val="00957FD2"/>
    <w:rsid w:val="009600AF"/>
    <w:rsid w:val="009600B3"/>
    <w:rsid w:val="0096024F"/>
    <w:rsid w:val="009602E0"/>
    <w:rsid w:val="00960366"/>
    <w:rsid w:val="009603A5"/>
    <w:rsid w:val="00960681"/>
    <w:rsid w:val="0096068C"/>
    <w:rsid w:val="009606BA"/>
    <w:rsid w:val="0096089E"/>
    <w:rsid w:val="009608DA"/>
    <w:rsid w:val="009609B9"/>
    <w:rsid w:val="00960B16"/>
    <w:rsid w:val="00960B5E"/>
    <w:rsid w:val="00960B8F"/>
    <w:rsid w:val="00960CC0"/>
    <w:rsid w:val="00960DCC"/>
    <w:rsid w:val="00960EAC"/>
    <w:rsid w:val="00960FF5"/>
    <w:rsid w:val="00961962"/>
    <w:rsid w:val="00961990"/>
    <w:rsid w:val="00961BD8"/>
    <w:rsid w:val="00961D47"/>
    <w:rsid w:val="00961D9F"/>
    <w:rsid w:val="00962204"/>
    <w:rsid w:val="009623E7"/>
    <w:rsid w:val="009624DF"/>
    <w:rsid w:val="00962813"/>
    <w:rsid w:val="00962873"/>
    <w:rsid w:val="00962981"/>
    <w:rsid w:val="00962A56"/>
    <w:rsid w:val="00962BC9"/>
    <w:rsid w:val="00962EEA"/>
    <w:rsid w:val="00962FA5"/>
    <w:rsid w:val="009630C2"/>
    <w:rsid w:val="0096322F"/>
    <w:rsid w:val="009632B1"/>
    <w:rsid w:val="009632C5"/>
    <w:rsid w:val="0096359E"/>
    <w:rsid w:val="0096361B"/>
    <w:rsid w:val="009638DF"/>
    <w:rsid w:val="00963914"/>
    <w:rsid w:val="00963980"/>
    <w:rsid w:val="00963991"/>
    <w:rsid w:val="00963AAE"/>
    <w:rsid w:val="00963D3A"/>
    <w:rsid w:val="00963E28"/>
    <w:rsid w:val="009640B7"/>
    <w:rsid w:val="00964118"/>
    <w:rsid w:val="00964282"/>
    <w:rsid w:val="00964472"/>
    <w:rsid w:val="00964879"/>
    <w:rsid w:val="00964C01"/>
    <w:rsid w:val="00964D6E"/>
    <w:rsid w:val="00964EBC"/>
    <w:rsid w:val="00964FDB"/>
    <w:rsid w:val="009651CD"/>
    <w:rsid w:val="0096539B"/>
    <w:rsid w:val="00965551"/>
    <w:rsid w:val="009657B0"/>
    <w:rsid w:val="00965A42"/>
    <w:rsid w:val="00965C39"/>
    <w:rsid w:val="00965FB4"/>
    <w:rsid w:val="00966383"/>
    <w:rsid w:val="009663A8"/>
    <w:rsid w:val="00966466"/>
    <w:rsid w:val="0096648B"/>
    <w:rsid w:val="00966C32"/>
    <w:rsid w:val="00966E29"/>
    <w:rsid w:val="00967015"/>
    <w:rsid w:val="009670A9"/>
    <w:rsid w:val="0096756E"/>
    <w:rsid w:val="009675C0"/>
    <w:rsid w:val="00967621"/>
    <w:rsid w:val="00967B2F"/>
    <w:rsid w:val="00967D34"/>
    <w:rsid w:val="00967F69"/>
    <w:rsid w:val="00970096"/>
    <w:rsid w:val="00970405"/>
    <w:rsid w:val="00970596"/>
    <w:rsid w:val="009705F1"/>
    <w:rsid w:val="009706B9"/>
    <w:rsid w:val="00970717"/>
    <w:rsid w:val="0097087D"/>
    <w:rsid w:val="009709C2"/>
    <w:rsid w:val="00970C4D"/>
    <w:rsid w:val="00970C68"/>
    <w:rsid w:val="00970FF8"/>
    <w:rsid w:val="0097107E"/>
    <w:rsid w:val="00971127"/>
    <w:rsid w:val="009716A7"/>
    <w:rsid w:val="009716F3"/>
    <w:rsid w:val="00971726"/>
    <w:rsid w:val="00971967"/>
    <w:rsid w:val="00971A69"/>
    <w:rsid w:val="00971C0D"/>
    <w:rsid w:val="00971CB8"/>
    <w:rsid w:val="00971CE3"/>
    <w:rsid w:val="00971E6A"/>
    <w:rsid w:val="00971EA3"/>
    <w:rsid w:val="0097200A"/>
    <w:rsid w:val="0097205C"/>
    <w:rsid w:val="0097211A"/>
    <w:rsid w:val="00972203"/>
    <w:rsid w:val="00972349"/>
    <w:rsid w:val="009728C7"/>
    <w:rsid w:val="00972A0C"/>
    <w:rsid w:val="00972A86"/>
    <w:rsid w:val="00972D8B"/>
    <w:rsid w:val="00972DE0"/>
    <w:rsid w:val="00972E70"/>
    <w:rsid w:val="00972EB5"/>
    <w:rsid w:val="00972F86"/>
    <w:rsid w:val="0097303A"/>
    <w:rsid w:val="00973487"/>
    <w:rsid w:val="009734FE"/>
    <w:rsid w:val="00973633"/>
    <w:rsid w:val="00973AA5"/>
    <w:rsid w:val="00973AB2"/>
    <w:rsid w:val="00973B88"/>
    <w:rsid w:val="00973CA1"/>
    <w:rsid w:val="00973D5A"/>
    <w:rsid w:val="00973E5F"/>
    <w:rsid w:val="00973F48"/>
    <w:rsid w:val="00974058"/>
    <w:rsid w:val="00974150"/>
    <w:rsid w:val="00974439"/>
    <w:rsid w:val="00974611"/>
    <w:rsid w:val="009747CA"/>
    <w:rsid w:val="0097495D"/>
    <w:rsid w:val="00974962"/>
    <w:rsid w:val="00974A03"/>
    <w:rsid w:val="00974B29"/>
    <w:rsid w:val="00974B72"/>
    <w:rsid w:val="00974BAA"/>
    <w:rsid w:val="00974C0E"/>
    <w:rsid w:val="00974C65"/>
    <w:rsid w:val="00974CFD"/>
    <w:rsid w:val="00974EB7"/>
    <w:rsid w:val="00974EC8"/>
    <w:rsid w:val="00974ED9"/>
    <w:rsid w:val="00974FBF"/>
    <w:rsid w:val="009750F0"/>
    <w:rsid w:val="009751B0"/>
    <w:rsid w:val="00975461"/>
    <w:rsid w:val="0097551D"/>
    <w:rsid w:val="00975EBA"/>
    <w:rsid w:val="00976130"/>
    <w:rsid w:val="00976310"/>
    <w:rsid w:val="0097681C"/>
    <w:rsid w:val="00976920"/>
    <w:rsid w:val="009769E2"/>
    <w:rsid w:val="00976E05"/>
    <w:rsid w:val="00976EEA"/>
    <w:rsid w:val="00976FC9"/>
    <w:rsid w:val="0097704D"/>
    <w:rsid w:val="0097716B"/>
    <w:rsid w:val="00977447"/>
    <w:rsid w:val="0097744C"/>
    <w:rsid w:val="0097746D"/>
    <w:rsid w:val="00977640"/>
    <w:rsid w:val="00977946"/>
    <w:rsid w:val="00977A18"/>
    <w:rsid w:val="00977A58"/>
    <w:rsid w:val="00977AF2"/>
    <w:rsid w:val="00977BE0"/>
    <w:rsid w:val="00977CEC"/>
    <w:rsid w:val="00977F9F"/>
    <w:rsid w:val="009800BB"/>
    <w:rsid w:val="009803D2"/>
    <w:rsid w:val="00980657"/>
    <w:rsid w:val="00980A98"/>
    <w:rsid w:val="00980D0E"/>
    <w:rsid w:val="00980E22"/>
    <w:rsid w:val="00980E47"/>
    <w:rsid w:val="00980E8E"/>
    <w:rsid w:val="009811B0"/>
    <w:rsid w:val="009812FC"/>
    <w:rsid w:val="009812FD"/>
    <w:rsid w:val="0098133C"/>
    <w:rsid w:val="009813ED"/>
    <w:rsid w:val="00981677"/>
    <w:rsid w:val="0098185E"/>
    <w:rsid w:val="009818AB"/>
    <w:rsid w:val="00981913"/>
    <w:rsid w:val="00981A10"/>
    <w:rsid w:val="00981CDE"/>
    <w:rsid w:val="00981D80"/>
    <w:rsid w:val="00982245"/>
    <w:rsid w:val="00982248"/>
    <w:rsid w:val="00982404"/>
    <w:rsid w:val="009824AC"/>
    <w:rsid w:val="00982997"/>
    <w:rsid w:val="00982A27"/>
    <w:rsid w:val="00982AC6"/>
    <w:rsid w:val="00982BBB"/>
    <w:rsid w:val="00982D7A"/>
    <w:rsid w:val="00982E0E"/>
    <w:rsid w:val="00982F93"/>
    <w:rsid w:val="00982FD0"/>
    <w:rsid w:val="009830C8"/>
    <w:rsid w:val="009830CB"/>
    <w:rsid w:val="00983794"/>
    <w:rsid w:val="009837E3"/>
    <w:rsid w:val="009839B7"/>
    <w:rsid w:val="009839CE"/>
    <w:rsid w:val="00983CB6"/>
    <w:rsid w:val="00984128"/>
    <w:rsid w:val="00984204"/>
    <w:rsid w:val="00984467"/>
    <w:rsid w:val="00985E4C"/>
    <w:rsid w:val="00986101"/>
    <w:rsid w:val="00986AE9"/>
    <w:rsid w:val="00986E62"/>
    <w:rsid w:val="0098708C"/>
    <w:rsid w:val="00987648"/>
    <w:rsid w:val="00987811"/>
    <w:rsid w:val="0098786E"/>
    <w:rsid w:val="0098788F"/>
    <w:rsid w:val="00987948"/>
    <w:rsid w:val="00987955"/>
    <w:rsid w:val="00987C4E"/>
    <w:rsid w:val="00987D83"/>
    <w:rsid w:val="00987F7D"/>
    <w:rsid w:val="0099003F"/>
    <w:rsid w:val="00990048"/>
    <w:rsid w:val="009900A8"/>
    <w:rsid w:val="009900DB"/>
    <w:rsid w:val="0099034E"/>
    <w:rsid w:val="00990377"/>
    <w:rsid w:val="00990478"/>
    <w:rsid w:val="0099080C"/>
    <w:rsid w:val="00990B04"/>
    <w:rsid w:val="00990B0A"/>
    <w:rsid w:val="00990C7A"/>
    <w:rsid w:val="00990CB9"/>
    <w:rsid w:val="00991024"/>
    <w:rsid w:val="00991302"/>
    <w:rsid w:val="009918F7"/>
    <w:rsid w:val="00991B39"/>
    <w:rsid w:val="00991CE1"/>
    <w:rsid w:val="00991E76"/>
    <w:rsid w:val="00991F88"/>
    <w:rsid w:val="00992038"/>
    <w:rsid w:val="009922E0"/>
    <w:rsid w:val="00992388"/>
    <w:rsid w:val="0099238D"/>
    <w:rsid w:val="009923B2"/>
    <w:rsid w:val="0099242C"/>
    <w:rsid w:val="00992467"/>
    <w:rsid w:val="00992478"/>
    <w:rsid w:val="00992835"/>
    <w:rsid w:val="0099299F"/>
    <w:rsid w:val="009929BF"/>
    <w:rsid w:val="00992A4B"/>
    <w:rsid w:val="00993124"/>
    <w:rsid w:val="009932CB"/>
    <w:rsid w:val="009936D3"/>
    <w:rsid w:val="00993B47"/>
    <w:rsid w:val="00993C2E"/>
    <w:rsid w:val="00993CB4"/>
    <w:rsid w:val="00993E16"/>
    <w:rsid w:val="00993F0A"/>
    <w:rsid w:val="00993F4F"/>
    <w:rsid w:val="00993F5A"/>
    <w:rsid w:val="00993F71"/>
    <w:rsid w:val="009941A1"/>
    <w:rsid w:val="00994320"/>
    <w:rsid w:val="0099443D"/>
    <w:rsid w:val="0099458B"/>
    <w:rsid w:val="009949E9"/>
    <w:rsid w:val="00994BD1"/>
    <w:rsid w:val="00994E22"/>
    <w:rsid w:val="00994E6B"/>
    <w:rsid w:val="009952E2"/>
    <w:rsid w:val="009953DB"/>
    <w:rsid w:val="009954CF"/>
    <w:rsid w:val="0099554C"/>
    <w:rsid w:val="00995586"/>
    <w:rsid w:val="009955F7"/>
    <w:rsid w:val="00995697"/>
    <w:rsid w:val="009957AF"/>
    <w:rsid w:val="00995845"/>
    <w:rsid w:val="00995A1F"/>
    <w:rsid w:val="00995BA4"/>
    <w:rsid w:val="00995D61"/>
    <w:rsid w:val="009960CE"/>
    <w:rsid w:val="00996234"/>
    <w:rsid w:val="009963A2"/>
    <w:rsid w:val="009963FD"/>
    <w:rsid w:val="009964A4"/>
    <w:rsid w:val="0099656A"/>
    <w:rsid w:val="00996719"/>
    <w:rsid w:val="00996891"/>
    <w:rsid w:val="009968A2"/>
    <w:rsid w:val="009968FB"/>
    <w:rsid w:val="0099694D"/>
    <w:rsid w:val="00996A73"/>
    <w:rsid w:val="00996C15"/>
    <w:rsid w:val="00996C5D"/>
    <w:rsid w:val="00996E9C"/>
    <w:rsid w:val="009973B8"/>
    <w:rsid w:val="0099746C"/>
    <w:rsid w:val="009978E6"/>
    <w:rsid w:val="00997A92"/>
    <w:rsid w:val="00997B2D"/>
    <w:rsid w:val="00997BA7"/>
    <w:rsid w:val="009A0002"/>
    <w:rsid w:val="009A0160"/>
    <w:rsid w:val="009A01BE"/>
    <w:rsid w:val="009A01FE"/>
    <w:rsid w:val="009A02F0"/>
    <w:rsid w:val="009A034A"/>
    <w:rsid w:val="009A05AD"/>
    <w:rsid w:val="009A07D2"/>
    <w:rsid w:val="009A0913"/>
    <w:rsid w:val="009A099A"/>
    <w:rsid w:val="009A0B1A"/>
    <w:rsid w:val="009A0B68"/>
    <w:rsid w:val="009A0B7E"/>
    <w:rsid w:val="009A0E0E"/>
    <w:rsid w:val="009A10DD"/>
    <w:rsid w:val="009A1362"/>
    <w:rsid w:val="009A1559"/>
    <w:rsid w:val="009A171E"/>
    <w:rsid w:val="009A1BB3"/>
    <w:rsid w:val="009A1D43"/>
    <w:rsid w:val="009A1E06"/>
    <w:rsid w:val="009A1E6E"/>
    <w:rsid w:val="009A1FC6"/>
    <w:rsid w:val="009A224E"/>
    <w:rsid w:val="009A29C6"/>
    <w:rsid w:val="009A2C50"/>
    <w:rsid w:val="009A308B"/>
    <w:rsid w:val="009A31EF"/>
    <w:rsid w:val="009A32AA"/>
    <w:rsid w:val="009A33EC"/>
    <w:rsid w:val="009A3524"/>
    <w:rsid w:val="009A3554"/>
    <w:rsid w:val="009A3AF0"/>
    <w:rsid w:val="009A3C19"/>
    <w:rsid w:val="009A409B"/>
    <w:rsid w:val="009A4442"/>
    <w:rsid w:val="009A4506"/>
    <w:rsid w:val="009A4774"/>
    <w:rsid w:val="009A47C9"/>
    <w:rsid w:val="009A4961"/>
    <w:rsid w:val="009A49D0"/>
    <w:rsid w:val="009A4A7D"/>
    <w:rsid w:val="009A4AEF"/>
    <w:rsid w:val="009A4B04"/>
    <w:rsid w:val="009A4D40"/>
    <w:rsid w:val="009A4DE6"/>
    <w:rsid w:val="009A4ED8"/>
    <w:rsid w:val="009A4EEC"/>
    <w:rsid w:val="009A4F39"/>
    <w:rsid w:val="009A4F61"/>
    <w:rsid w:val="009A534A"/>
    <w:rsid w:val="009A54C2"/>
    <w:rsid w:val="009A553D"/>
    <w:rsid w:val="009A559B"/>
    <w:rsid w:val="009A55D0"/>
    <w:rsid w:val="009A5803"/>
    <w:rsid w:val="009A5B23"/>
    <w:rsid w:val="009A5C56"/>
    <w:rsid w:val="009A5D57"/>
    <w:rsid w:val="009A5D58"/>
    <w:rsid w:val="009A5DFE"/>
    <w:rsid w:val="009A5E39"/>
    <w:rsid w:val="009A5F5A"/>
    <w:rsid w:val="009A60D3"/>
    <w:rsid w:val="009A6225"/>
    <w:rsid w:val="009A63AB"/>
    <w:rsid w:val="009A657B"/>
    <w:rsid w:val="009A6620"/>
    <w:rsid w:val="009A66B7"/>
    <w:rsid w:val="009A67C2"/>
    <w:rsid w:val="009A6B05"/>
    <w:rsid w:val="009A6D4B"/>
    <w:rsid w:val="009A6DA1"/>
    <w:rsid w:val="009A6F79"/>
    <w:rsid w:val="009A723E"/>
    <w:rsid w:val="009A7375"/>
    <w:rsid w:val="009A7421"/>
    <w:rsid w:val="009A7617"/>
    <w:rsid w:val="009A7CC7"/>
    <w:rsid w:val="009A7DC5"/>
    <w:rsid w:val="009A7E85"/>
    <w:rsid w:val="009A7F19"/>
    <w:rsid w:val="009A7F6C"/>
    <w:rsid w:val="009B00D6"/>
    <w:rsid w:val="009B0163"/>
    <w:rsid w:val="009B017B"/>
    <w:rsid w:val="009B06D9"/>
    <w:rsid w:val="009B07AE"/>
    <w:rsid w:val="009B07B1"/>
    <w:rsid w:val="009B0902"/>
    <w:rsid w:val="009B0A2A"/>
    <w:rsid w:val="009B0A7D"/>
    <w:rsid w:val="009B0B1B"/>
    <w:rsid w:val="009B0C25"/>
    <w:rsid w:val="009B0CEA"/>
    <w:rsid w:val="009B0EF1"/>
    <w:rsid w:val="009B0F30"/>
    <w:rsid w:val="009B1251"/>
    <w:rsid w:val="009B144B"/>
    <w:rsid w:val="009B1716"/>
    <w:rsid w:val="009B1A94"/>
    <w:rsid w:val="009B1B24"/>
    <w:rsid w:val="009B1F45"/>
    <w:rsid w:val="009B211A"/>
    <w:rsid w:val="009B2256"/>
    <w:rsid w:val="009B2320"/>
    <w:rsid w:val="009B23DF"/>
    <w:rsid w:val="009B24F5"/>
    <w:rsid w:val="009B264F"/>
    <w:rsid w:val="009B26E1"/>
    <w:rsid w:val="009B2712"/>
    <w:rsid w:val="009B2901"/>
    <w:rsid w:val="009B2D76"/>
    <w:rsid w:val="009B2F84"/>
    <w:rsid w:val="009B3120"/>
    <w:rsid w:val="009B3185"/>
    <w:rsid w:val="009B322D"/>
    <w:rsid w:val="009B37DC"/>
    <w:rsid w:val="009B38D9"/>
    <w:rsid w:val="009B391E"/>
    <w:rsid w:val="009B3CCD"/>
    <w:rsid w:val="009B3E8A"/>
    <w:rsid w:val="009B4087"/>
    <w:rsid w:val="009B41D1"/>
    <w:rsid w:val="009B4215"/>
    <w:rsid w:val="009B429B"/>
    <w:rsid w:val="009B433B"/>
    <w:rsid w:val="009B4504"/>
    <w:rsid w:val="009B4867"/>
    <w:rsid w:val="009B4AD2"/>
    <w:rsid w:val="009B4B2A"/>
    <w:rsid w:val="009B4BFA"/>
    <w:rsid w:val="009B4CD1"/>
    <w:rsid w:val="009B4D49"/>
    <w:rsid w:val="009B4E6F"/>
    <w:rsid w:val="009B4F9C"/>
    <w:rsid w:val="009B51EB"/>
    <w:rsid w:val="009B5313"/>
    <w:rsid w:val="009B5439"/>
    <w:rsid w:val="009B5730"/>
    <w:rsid w:val="009B5797"/>
    <w:rsid w:val="009B57FC"/>
    <w:rsid w:val="009B597C"/>
    <w:rsid w:val="009B5AD8"/>
    <w:rsid w:val="009B5C91"/>
    <w:rsid w:val="009B5D07"/>
    <w:rsid w:val="009B5E31"/>
    <w:rsid w:val="009B5FEB"/>
    <w:rsid w:val="009B6023"/>
    <w:rsid w:val="009B605E"/>
    <w:rsid w:val="009B6392"/>
    <w:rsid w:val="009B63D6"/>
    <w:rsid w:val="009B6423"/>
    <w:rsid w:val="009B6545"/>
    <w:rsid w:val="009B6596"/>
    <w:rsid w:val="009B6A3C"/>
    <w:rsid w:val="009B6AE6"/>
    <w:rsid w:val="009B6B89"/>
    <w:rsid w:val="009B6BC6"/>
    <w:rsid w:val="009B6E95"/>
    <w:rsid w:val="009B6EE1"/>
    <w:rsid w:val="009B6EEC"/>
    <w:rsid w:val="009B704D"/>
    <w:rsid w:val="009B71CA"/>
    <w:rsid w:val="009B71E7"/>
    <w:rsid w:val="009B73F8"/>
    <w:rsid w:val="009B777F"/>
    <w:rsid w:val="009B7A44"/>
    <w:rsid w:val="009B7B4E"/>
    <w:rsid w:val="009B7C2E"/>
    <w:rsid w:val="009B7C69"/>
    <w:rsid w:val="009B7D60"/>
    <w:rsid w:val="009C02A6"/>
    <w:rsid w:val="009C0311"/>
    <w:rsid w:val="009C0374"/>
    <w:rsid w:val="009C0762"/>
    <w:rsid w:val="009C07EA"/>
    <w:rsid w:val="009C094A"/>
    <w:rsid w:val="009C097A"/>
    <w:rsid w:val="009C0982"/>
    <w:rsid w:val="009C0BFB"/>
    <w:rsid w:val="009C0D43"/>
    <w:rsid w:val="009C0EC4"/>
    <w:rsid w:val="009C0FED"/>
    <w:rsid w:val="009C1310"/>
    <w:rsid w:val="009C1354"/>
    <w:rsid w:val="009C14F7"/>
    <w:rsid w:val="009C15D7"/>
    <w:rsid w:val="009C17A9"/>
    <w:rsid w:val="009C1913"/>
    <w:rsid w:val="009C1980"/>
    <w:rsid w:val="009C1B46"/>
    <w:rsid w:val="009C1CBC"/>
    <w:rsid w:val="009C1CC2"/>
    <w:rsid w:val="009C1D10"/>
    <w:rsid w:val="009C1D87"/>
    <w:rsid w:val="009C208C"/>
    <w:rsid w:val="009C248B"/>
    <w:rsid w:val="009C26AD"/>
    <w:rsid w:val="009C2A27"/>
    <w:rsid w:val="009C2B64"/>
    <w:rsid w:val="009C2CE1"/>
    <w:rsid w:val="009C2D39"/>
    <w:rsid w:val="009C34F9"/>
    <w:rsid w:val="009C3674"/>
    <w:rsid w:val="009C375A"/>
    <w:rsid w:val="009C3786"/>
    <w:rsid w:val="009C396B"/>
    <w:rsid w:val="009C39BA"/>
    <w:rsid w:val="009C3A50"/>
    <w:rsid w:val="009C3C8E"/>
    <w:rsid w:val="009C4336"/>
    <w:rsid w:val="009C4375"/>
    <w:rsid w:val="009C44EA"/>
    <w:rsid w:val="009C4646"/>
    <w:rsid w:val="009C4649"/>
    <w:rsid w:val="009C4691"/>
    <w:rsid w:val="009C47B2"/>
    <w:rsid w:val="009C4938"/>
    <w:rsid w:val="009C49EF"/>
    <w:rsid w:val="009C4AB2"/>
    <w:rsid w:val="009C4CCF"/>
    <w:rsid w:val="009C4D5D"/>
    <w:rsid w:val="009C5134"/>
    <w:rsid w:val="009C5360"/>
    <w:rsid w:val="009C539D"/>
    <w:rsid w:val="009C55BB"/>
    <w:rsid w:val="009C5A61"/>
    <w:rsid w:val="009C5B0D"/>
    <w:rsid w:val="009C5B85"/>
    <w:rsid w:val="009C5CCC"/>
    <w:rsid w:val="009C5D00"/>
    <w:rsid w:val="009C5E71"/>
    <w:rsid w:val="009C5FEE"/>
    <w:rsid w:val="009C600C"/>
    <w:rsid w:val="009C6012"/>
    <w:rsid w:val="009C60BF"/>
    <w:rsid w:val="009C6340"/>
    <w:rsid w:val="009C6465"/>
    <w:rsid w:val="009C65A4"/>
    <w:rsid w:val="009C65BD"/>
    <w:rsid w:val="009C665E"/>
    <w:rsid w:val="009C69EC"/>
    <w:rsid w:val="009C6D95"/>
    <w:rsid w:val="009C6E88"/>
    <w:rsid w:val="009C6F03"/>
    <w:rsid w:val="009C6FB1"/>
    <w:rsid w:val="009C7087"/>
    <w:rsid w:val="009C723B"/>
    <w:rsid w:val="009C73C0"/>
    <w:rsid w:val="009C7600"/>
    <w:rsid w:val="009C76B8"/>
    <w:rsid w:val="009C7B1D"/>
    <w:rsid w:val="009C7B43"/>
    <w:rsid w:val="009C7BB5"/>
    <w:rsid w:val="009C7E07"/>
    <w:rsid w:val="009C7FD9"/>
    <w:rsid w:val="009D0004"/>
    <w:rsid w:val="009D01F4"/>
    <w:rsid w:val="009D022F"/>
    <w:rsid w:val="009D04E2"/>
    <w:rsid w:val="009D0783"/>
    <w:rsid w:val="009D0826"/>
    <w:rsid w:val="009D093A"/>
    <w:rsid w:val="009D09A1"/>
    <w:rsid w:val="009D0B01"/>
    <w:rsid w:val="009D0C69"/>
    <w:rsid w:val="009D0F8C"/>
    <w:rsid w:val="009D12B8"/>
    <w:rsid w:val="009D1534"/>
    <w:rsid w:val="009D15CE"/>
    <w:rsid w:val="009D16A3"/>
    <w:rsid w:val="009D1D86"/>
    <w:rsid w:val="009D20E8"/>
    <w:rsid w:val="009D21BD"/>
    <w:rsid w:val="009D2386"/>
    <w:rsid w:val="009D24D9"/>
    <w:rsid w:val="009D267F"/>
    <w:rsid w:val="009D2764"/>
    <w:rsid w:val="009D2B37"/>
    <w:rsid w:val="009D2C64"/>
    <w:rsid w:val="009D2CFB"/>
    <w:rsid w:val="009D2F5B"/>
    <w:rsid w:val="009D3542"/>
    <w:rsid w:val="009D35AA"/>
    <w:rsid w:val="009D36A9"/>
    <w:rsid w:val="009D372E"/>
    <w:rsid w:val="009D3AB4"/>
    <w:rsid w:val="009D3BEC"/>
    <w:rsid w:val="009D3DD7"/>
    <w:rsid w:val="009D3F5B"/>
    <w:rsid w:val="009D3F66"/>
    <w:rsid w:val="009D4018"/>
    <w:rsid w:val="009D40E5"/>
    <w:rsid w:val="009D4782"/>
    <w:rsid w:val="009D47A7"/>
    <w:rsid w:val="009D49B2"/>
    <w:rsid w:val="009D4F42"/>
    <w:rsid w:val="009D4FC0"/>
    <w:rsid w:val="009D510C"/>
    <w:rsid w:val="009D5483"/>
    <w:rsid w:val="009D54E4"/>
    <w:rsid w:val="009D54EB"/>
    <w:rsid w:val="009D5811"/>
    <w:rsid w:val="009D58B3"/>
    <w:rsid w:val="009D597E"/>
    <w:rsid w:val="009D59D1"/>
    <w:rsid w:val="009D5A29"/>
    <w:rsid w:val="009D5A9A"/>
    <w:rsid w:val="009D5B3C"/>
    <w:rsid w:val="009D5BFA"/>
    <w:rsid w:val="009D5C82"/>
    <w:rsid w:val="009D5DCB"/>
    <w:rsid w:val="009D5EF9"/>
    <w:rsid w:val="009D6192"/>
    <w:rsid w:val="009D6352"/>
    <w:rsid w:val="009D63F9"/>
    <w:rsid w:val="009D67EF"/>
    <w:rsid w:val="009D6962"/>
    <w:rsid w:val="009D6A66"/>
    <w:rsid w:val="009D6B0D"/>
    <w:rsid w:val="009D6BA0"/>
    <w:rsid w:val="009D6BBA"/>
    <w:rsid w:val="009D6DE3"/>
    <w:rsid w:val="009D6E06"/>
    <w:rsid w:val="009D6F69"/>
    <w:rsid w:val="009D7156"/>
    <w:rsid w:val="009D73C8"/>
    <w:rsid w:val="009D7446"/>
    <w:rsid w:val="009D769D"/>
    <w:rsid w:val="009D7C65"/>
    <w:rsid w:val="009D7D2B"/>
    <w:rsid w:val="009D7F85"/>
    <w:rsid w:val="009E007B"/>
    <w:rsid w:val="009E008A"/>
    <w:rsid w:val="009E027E"/>
    <w:rsid w:val="009E02F8"/>
    <w:rsid w:val="009E0615"/>
    <w:rsid w:val="009E0760"/>
    <w:rsid w:val="009E080F"/>
    <w:rsid w:val="009E0850"/>
    <w:rsid w:val="009E0992"/>
    <w:rsid w:val="009E0B0C"/>
    <w:rsid w:val="009E0B19"/>
    <w:rsid w:val="009E0B48"/>
    <w:rsid w:val="009E0C4C"/>
    <w:rsid w:val="009E0C70"/>
    <w:rsid w:val="009E0DE4"/>
    <w:rsid w:val="009E0EB1"/>
    <w:rsid w:val="009E0F3D"/>
    <w:rsid w:val="009E0F9D"/>
    <w:rsid w:val="009E1037"/>
    <w:rsid w:val="009E1112"/>
    <w:rsid w:val="009E116D"/>
    <w:rsid w:val="009E1230"/>
    <w:rsid w:val="009E127D"/>
    <w:rsid w:val="009E1519"/>
    <w:rsid w:val="009E1598"/>
    <w:rsid w:val="009E1DE2"/>
    <w:rsid w:val="009E1DF5"/>
    <w:rsid w:val="009E1E51"/>
    <w:rsid w:val="009E1E9C"/>
    <w:rsid w:val="009E1EA0"/>
    <w:rsid w:val="009E1FB8"/>
    <w:rsid w:val="009E2301"/>
    <w:rsid w:val="009E23DD"/>
    <w:rsid w:val="009E24BB"/>
    <w:rsid w:val="009E273E"/>
    <w:rsid w:val="009E2813"/>
    <w:rsid w:val="009E2B40"/>
    <w:rsid w:val="009E2B42"/>
    <w:rsid w:val="009E2B8C"/>
    <w:rsid w:val="009E2C8B"/>
    <w:rsid w:val="009E2E57"/>
    <w:rsid w:val="009E2FE8"/>
    <w:rsid w:val="009E311D"/>
    <w:rsid w:val="009E321C"/>
    <w:rsid w:val="009E34C9"/>
    <w:rsid w:val="009E3545"/>
    <w:rsid w:val="009E388C"/>
    <w:rsid w:val="009E3931"/>
    <w:rsid w:val="009E3A15"/>
    <w:rsid w:val="009E3C73"/>
    <w:rsid w:val="009E3CBB"/>
    <w:rsid w:val="009E3F95"/>
    <w:rsid w:val="009E3FC7"/>
    <w:rsid w:val="009E42B8"/>
    <w:rsid w:val="009E447E"/>
    <w:rsid w:val="009E44AD"/>
    <w:rsid w:val="009E452F"/>
    <w:rsid w:val="009E45A7"/>
    <w:rsid w:val="009E49BC"/>
    <w:rsid w:val="009E4A3B"/>
    <w:rsid w:val="009E4AEB"/>
    <w:rsid w:val="009E4C8D"/>
    <w:rsid w:val="009E4CA6"/>
    <w:rsid w:val="009E4DCE"/>
    <w:rsid w:val="009E526A"/>
    <w:rsid w:val="009E52E8"/>
    <w:rsid w:val="009E53AD"/>
    <w:rsid w:val="009E55D6"/>
    <w:rsid w:val="009E577B"/>
    <w:rsid w:val="009E590A"/>
    <w:rsid w:val="009E5960"/>
    <w:rsid w:val="009E5A8F"/>
    <w:rsid w:val="009E5D7B"/>
    <w:rsid w:val="009E5E3A"/>
    <w:rsid w:val="009E5FD8"/>
    <w:rsid w:val="009E6286"/>
    <w:rsid w:val="009E64A7"/>
    <w:rsid w:val="009E6ABC"/>
    <w:rsid w:val="009E6B39"/>
    <w:rsid w:val="009E6E03"/>
    <w:rsid w:val="009E6E0A"/>
    <w:rsid w:val="009E7136"/>
    <w:rsid w:val="009E7239"/>
    <w:rsid w:val="009E7953"/>
    <w:rsid w:val="009E7A33"/>
    <w:rsid w:val="009E7A41"/>
    <w:rsid w:val="009E7B82"/>
    <w:rsid w:val="009E7B9A"/>
    <w:rsid w:val="009F02A6"/>
    <w:rsid w:val="009F044A"/>
    <w:rsid w:val="009F0459"/>
    <w:rsid w:val="009F0619"/>
    <w:rsid w:val="009F0E52"/>
    <w:rsid w:val="009F1318"/>
    <w:rsid w:val="009F136F"/>
    <w:rsid w:val="009F1706"/>
    <w:rsid w:val="009F1861"/>
    <w:rsid w:val="009F19BD"/>
    <w:rsid w:val="009F1A40"/>
    <w:rsid w:val="009F1BA0"/>
    <w:rsid w:val="009F1D40"/>
    <w:rsid w:val="009F1F24"/>
    <w:rsid w:val="009F2605"/>
    <w:rsid w:val="009F28EC"/>
    <w:rsid w:val="009F2A7E"/>
    <w:rsid w:val="009F2BB4"/>
    <w:rsid w:val="009F2C75"/>
    <w:rsid w:val="009F2D0C"/>
    <w:rsid w:val="009F2DED"/>
    <w:rsid w:val="009F2E25"/>
    <w:rsid w:val="009F2FED"/>
    <w:rsid w:val="009F307E"/>
    <w:rsid w:val="009F30B9"/>
    <w:rsid w:val="009F316C"/>
    <w:rsid w:val="009F34A0"/>
    <w:rsid w:val="009F3730"/>
    <w:rsid w:val="009F3EA1"/>
    <w:rsid w:val="009F3F54"/>
    <w:rsid w:val="009F3FA9"/>
    <w:rsid w:val="009F4320"/>
    <w:rsid w:val="009F448D"/>
    <w:rsid w:val="009F44E0"/>
    <w:rsid w:val="009F47C4"/>
    <w:rsid w:val="009F48B3"/>
    <w:rsid w:val="009F4C05"/>
    <w:rsid w:val="009F4CEF"/>
    <w:rsid w:val="009F51A2"/>
    <w:rsid w:val="009F5380"/>
    <w:rsid w:val="009F5756"/>
    <w:rsid w:val="009F58F9"/>
    <w:rsid w:val="009F5923"/>
    <w:rsid w:val="009F5990"/>
    <w:rsid w:val="009F5B4C"/>
    <w:rsid w:val="009F5B84"/>
    <w:rsid w:val="009F5B87"/>
    <w:rsid w:val="009F5C96"/>
    <w:rsid w:val="009F5D52"/>
    <w:rsid w:val="009F5DB0"/>
    <w:rsid w:val="009F632E"/>
    <w:rsid w:val="009F638E"/>
    <w:rsid w:val="009F6453"/>
    <w:rsid w:val="009F6738"/>
    <w:rsid w:val="009F6880"/>
    <w:rsid w:val="009F6A91"/>
    <w:rsid w:val="009F6D2E"/>
    <w:rsid w:val="009F6E6D"/>
    <w:rsid w:val="009F6F26"/>
    <w:rsid w:val="009F708C"/>
    <w:rsid w:val="009F7223"/>
    <w:rsid w:val="009F7240"/>
    <w:rsid w:val="009F759C"/>
    <w:rsid w:val="009F75FF"/>
    <w:rsid w:val="009F7736"/>
    <w:rsid w:val="009F7926"/>
    <w:rsid w:val="009F795F"/>
    <w:rsid w:val="009F7992"/>
    <w:rsid w:val="009F7B26"/>
    <w:rsid w:val="009F7D04"/>
    <w:rsid w:val="009F7E73"/>
    <w:rsid w:val="009F7F66"/>
    <w:rsid w:val="00A0006C"/>
    <w:rsid w:val="00A00260"/>
    <w:rsid w:val="00A0028C"/>
    <w:rsid w:val="00A00340"/>
    <w:rsid w:val="00A00353"/>
    <w:rsid w:val="00A003A3"/>
    <w:rsid w:val="00A00544"/>
    <w:rsid w:val="00A005EB"/>
    <w:rsid w:val="00A006DD"/>
    <w:rsid w:val="00A00C40"/>
    <w:rsid w:val="00A00F1C"/>
    <w:rsid w:val="00A00F5F"/>
    <w:rsid w:val="00A012DA"/>
    <w:rsid w:val="00A0140C"/>
    <w:rsid w:val="00A015AF"/>
    <w:rsid w:val="00A015F3"/>
    <w:rsid w:val="00A01AA9"/>
    <w:rsid w:val="00A01B50"/>
    <w:rsid w:val="00A01F6B"/>
    <w:rsid w:val="00A02056"/>
    <w:rsid w:val="00A0208F"/>
    <w:rsid w:val="00A0215C"/>
    <w:rsid w:val="00A02521"/>
    <w:rsid w:val="00A0293C"/>
    <w:rsid w:val="00A02CB4"/>
    <w:rsid w:val="00A02CD2"/>
    <w:rsid w:val="00A02D5D"/>
    <w:rsid w:val="00A02F0A"/>
    <w:rsid w:val="00A03046"/>
    <w:rsid w:val="00A0307C"/>
    <w:rsid w:val="00A03178"/>
    <w:rsid w:val="00A0329E"/>
    <w:rsid w:val="00A03410"/>
    <w:rsid w:val="00A03417"/>
    <w:rsid w:val="00A03556"/>
    <w:rsid w:val="00A0365F"/>
    <w:rsid w:val="00A0380E"/>
    <w:rsid w:val="00A03960"/>
    <w:rsid w:val="00A039B5"/>
    <w:rsid w:val="00A03ACE"/>
    <w:rsid w:val="00A03B54"/>
    <w:rsid w:val="00A03B85"/>
    <w:rsid w:val="00A03D0A"/>
    <w:rsid w:val="00A03E3A"/>
    <w:rsid w:val="00A0407D"/>
    <w:rsid w:val="00A04170"/>
    <w:rsid w:val="00A04201"/>
    <w:rsid w:val="00A0420F"/>
    <w:rsid w:val="00A043C6"/>
    <w:rsid w:val="00A04483"/>
    <w:rsid w:val="00A0461E"/>
    <w:rsid w:val="00A0473D"/>
    <w:rsid w:val="00A047C6"/>
    <w:rsid w:val="00A04858"/>
    <w:rsid w:val="00A04988"/>
    <w:rsid w:val="00A04C18"/>
    <w:rsid w:val="00A04E4E"/>
    <w:rsid w:val="00A04EB3"/>
    <w:rsid w:val="00A0514F"/>
    <w:rsid w:val="00A05224"/>
    <w:rsid w:val="00A05414"/>
    <w:rsid w:val="00A05BBD"/>
    <w:rsid w:val="00A05D7B"/>
    <w:rsid w:val="00A062A7"/>
    <w:rsid w:val="00A063AF"/>
    <w:rsid w:val="00A063E7"/>
    <w:rsid w:val="00A064F1"/>
    <w:rsid w:val="00A06671"/>
    <w:rsid w:val="00A066AE"/>
    <w:rsid w:val="00A06723"/>
    <w:rsid w:val="00A06731"/>
    <w:rsid w:val="00A0685E"/>
    <w:rsid w:val="00A068BB"/>
    <w:rsid w:val="00A06C81"/>
    <w:rsid w:val="00A06D68"/>
    <w:rsid w:val="00A06DA4"/>
    <w:rsid w:val="00A06ED2"/>
    <w:rsid w:val="00A07036"/>
    <w:rsid w:val="00A0720F"/>
    <w:rsid w:val="00A076C8"/>
    <w:rsid w:val="00A0795B"/>
    <w:rsid w:val="00A07C36"/>
    <w:rsid w:val="00A1010E"/>
    <w:rsid w:val="00A101AD"/>
    <w:rsid w:val="00A1021A"/>
    <w:rsid w:val="00A10443"/>
    <w:rsid w:val="00A10658"/>
    <w:rsid w:val="00A1070C"/>
    <w:rsid w:val="00A10BB7"/>
    <w:rsid w:val="00A10D93"/>
    <w:rsid w:val="00A11222"/>
    <w:rsid w:val="00A1130D"/>
    <w:rsid w:val="00A11479"/>
    <w:rsid w:val="00A116FA"/>
    <w:rsid w:val="00A11796"/>
    <w:rsid w:val="00A11843"/>
    <w:rsid w:val="00A118ED"/>
    <w:rsid w:val="00A11C57"/>
    <w:rsid w:val="00A12003"/>
    <w:rsid w:val="00A1239E"/>
    <w:rsid w:val="00A12475"/>
    <w:rsid w:val="00A1258D"/>
    <w:rsid w:val="00A125D4"/>
    <w:rsid w:val="00A12990"/>
    <w:rsid w:val="00A129C5"/>
    <w:rsid w:val="00A12A57"/>
    <w:rsid w:val="00A12C0B"/>
    <w:rsid w:val="00A12F15"/>
    <w:rsid w:val="00A12FD3"/>
    <w:rsid w:val="00A131AD"/>
    <w:rsid w:val="00A132F2"/>
    <w:rsid w:val="00A13315"/>
    <w:rsid w:val="00A13343"/>
    <w:rsid w:val="00A13380"/>
    <w:rsid w:val="00A1341A"/>
    <w:rsid w:val="00A134AE"/>
    <w:rsid w:val="00A135E3"/>
    <w:rsid w:val="00A139C3"/>
    <w:rsid w:val="00A139CA"/>
    <w:rsid w:val="00A13BA1"/>
    <w:rsid w:val="00A13D4B"/>
    <w:rsid w:val="00A13E11"/>
    <w:rsid w:val="00A13EAC"/>
    <w:rsid w:val="00A146AD"/>
    <w:rsid w:val="00A146ED"/>
    <w:rsid w:val="00A14B07"/>
    <w:rsid w:val="00A15045"/>
    <w:rsid w:val="00A151E7"/>
    <w:rsid w:val="00A1535A"/>
    <w:rsid w:val="00A153EC"/>
    <w:rsid w:val="00A15406"/>
    <w:rsid w:val="00A154E6"/>
    <w:rsid w:val="00A15655"/>
    <w:rsid w:val="00A156DE"/>
    <w:rsid w:val="00A15866"/>
    <w:rsid w:val="00A15F8A"/>
    <w:rsid w:val="00A1614E"/>
    <w:rsid w:val="00A161E8"/>
    <w:rsid w:val="00A1625A"/>
    <w:rsid w:val="00A16595"/>
    <w:rsid w:val="00A16774"/>
    <w:rsid w:val="00A168DB"/>
    <w:rsid w:val="00A168E7"/>
    <w:rsid w:val="00A16BC4"/>
    <w:rsid w:val="00A16C9D"/>
    <w:rsid w:val="00A16DF5"/>
    <w:rsid w:val="00A17130"/>
    <w:rsid w:val="00A17659"/>
    <w:rsid w:val="00A17671"/>
    <w:rsid w:val="00A1789C"/>
    <w:rsid w:val="00A178EE"/>
    <w:rsid w:val="00A179FB"/>
    <w:rsid w:val="00A17AB1"/>
    <w:rsid w:val="00A17C3B"/>
    <w:rsid w:val="00A20150"/>
    <w:rsid w:val="00A20151"/>
    <w:rsid w:val="00A20159"/>
    <w:rsid w:val="00A203A5"/>
    <w:rsid w:val="00A20991"/>
    <w:rsid w:val="00A20BDF"/>
    <w:rsid w:val="00A20C08"/>
    <w:rsid w:val="00A20CAB"/>
    <w:rsid w:val="00A20D75"/>
    <w:rsid w:val="00A20F09"/>
    <w:rsid w:val="00A210E1"/>
    <w:rsid w:val="00A2168E"/>
    <w:rsid w:val="00A2184D"/>
    <w:rsid w:val="00A219E4"/>
    <w:rsid w:val="00A21ED4"/>
    <w:rsid w:val="00A21F34"/>
    <w:rsid w:val="00A21F3B"/>
    <w:rsid w:val="00A21F87"/>
    <w:rsid w:val="00A225A0"/>
    <w:rsid w:val="00A225C5"/>
    <w:rsid w:val="00A22A09"/>
    <w:rsid w:val="00A22A7F"/>
    <w:rsid w:val="00A22F81"/>
    <w:rsid w:val="00A23096"/>
    <w:rsid w:val="00A232BD"/>
    <w:rsid w:val="00A232CB"/>
    <w:rsid w:val="00A23330"/>
    <w:rsid w:val="00A2351F"/>
    <w:rsid w:val="00A23583"/>
    <w:rsid w:val="00A2378A"/>
    <w:rsid w:val="00A24077"/>
    <w:rsid w:val="00A2411B"/>
    <w:rsid w:val="00A243C9"/>
    <w:rsid w:val="00A243E7"/>
    <w:rsid w:val="00A24603"/>
    <w:rsid w:val="00A24716"/>
    <w:rsid w:val="00A2472D"/>
    <w:rsid w:val="00A24749"/>
    <w:rsid w:val="00A249A8"/>
    <w:rsid w:val="00A24B6B"/>
    <w:rsid w:val="00A24E93"/>
    <w:rsid w:val="00A24F9D"/>
    <w:rsid w:val="00A2592C"/>
    <w:rsid w:val="00A2597F"/>
    <w:rsid w:val="00A25A80"/>
    <w:rsid w:val="00A25B20"/>
    <w:rsid w:val="00A25CCD"/>
    <w:rsid w:val="00A25D0E"/>
    <w:rsid w:val="00A25D58"/>
    <w:rsid w:val="00A25EBC"/>
    <w:rsid w:val="00A25EF7"/>
    <w:rsid w:val="00A2606D"/>
    <w:rsid w:val="00A26214"/>
    <w:rsid w:val="00A26590"/>
    <w:rsid w:val="00A2671F"/>
    <w:rsid w:val="00A2675B"/>
    <w:rsid w:val="00A2680E"/>
    <w:rsid w:val="00A26928"/>
    <w:rsid w:val="00A26A6A"/>
    <w:rsid w:val="00A26C4A"/>
    <w:rsid w:val="00A26D49"/>
    <w:rsid w:val="00A26FB3"/>
    <w:rsid w:val="00A27867"/>
    <w:rsid w:val="00A27901"/>
    <w:rsid w:val="00A27936"/>
    <w:rsid w:val="00A27980"/>
    <w:rsid w:val="00A27CD0"/>
    <w:rsid w:val="00A27DAC"/>
    <w:rsid w:val="00A27EF1"/>
    <w:rsid w:val="00A27F1D"/>
    <w:rsid w:val="00A3023F"/>
    <w:rsid w:val="00A306B7"/>
    <w:rsid w:val="00A30833"/>
    <w:rsid w:val="00A30935"/>
    <w:rsid w:val="00A30B84"/>
    <w:rsid w:val="00A30C3B"/>
    <w:rsid w:val="00A30CD8"/>
    <w:rsid w:val="00A30CDD"/>
    <w:rsid w:val="00A30DE6"/>
    <w:rsid w:val="00A30ED4"/>
    <w:rsid w:val="00A31408"/>
    <w:rsid w:val="00A31943"/>
    <w:rsid w:val="00A3199B"/>
    <w:rsid w:val="00A31AA8"/>
    <w:rsid w:val="00A31C7F"/>
    <w:rsid w:val="00A31D45"/>
    <w:rsid w:val="00A31D57"/>
    <w:rsid w:val="00A32031"/>
    <w:rsid w:val="00A322C3"/>
    <w:rsid w:val="00A322F8"/>
    <w:rsid w:val="00A32764"/>
    <w:rsid w:val="00A32841"/>
    <w:rsid w:val="00A32A7C"/>
    <w:rsid w:val="00A32B5F"/>
    <w:rsid w:val="00A32D5B"/>
    <w:rsid w:val="00A32DD4"/>
    <w:rsid w:val="00A32DF6"/>
    <w:rsid w:val="00A33152"/>
    <w:rsid w:val="00A331F3"/>
    <w:rsid w:val="00A332B3"/>
    <w:rsid w:val="00A33773"/>
    <w:rsid w:val="00A33858"/>
    <w:rsid w:val="00A33960"/>
    <w:rsid w:val="00A33A29"/>
    <w:rsid w:val="00A33B2F"/>
    <w:rsid w:val="00A33DE0"/>
    <w:rsid w:val="00A33F1C"/>
    <w:rsid w:val="00A33FF7"/>
    <w:rsid w:val="00A34065"/>
    <w:rsid w:val="00A34075"/>
    <w:rsid w:val="00A34207"/>
    <w:rsid w:val="00A34596"/>
    <w:rsid w:val="00A34616"/>
    <w:rsid w:val="00A347EB"/>
    <w:rsid w:val="00A34937"/>
    <w:rsid w:val="00A3494F"/>
    <w:rsid w:val="00A34A31"/>
    <w:rsid w:val="00A34C2E"/>
    <w:rsid w:val="00A34C66"/>
    <w:rsid w:val="00A35049"/>
    <w:rsid w:val="00A350DB"/>
    <w:rsid w:val="00A35238"/>
    <w:rsid w:val="00A3524C"/>
    <w:rsid w:val="00A35427"/>
    <w:rsid w:val="00A354ED"/>
    <w:rsid w:val="00A357E4"/>
    <w:rsid w:val="00A359A5"/>
    <w:rsid w:val="00A35D2B"/>
    <w:rsid w:val="00A35FA7"/>
    <w:rsid w:val="00A3628E"/>
    <w:rsid w:val="00A363B6"/>
    <w:rsid w:val="00A3668B"/>
    <w:rsid w:val="00A366A1"/>
    <w:rsid w:val="00A36707"/>
    <w:rsid w:val="00A367F5"/>
    <w:rsid w:val="00A36895"/>
    <w:rsid w:val="00A3692B"/>
    <w:rsid w:val="00A36A0F"/>
    <w:rsid w:val="00A36A83"/>
    <w:rsid w:val="00A36BAE"/>
    <w:rsid w:val="00A37080"/>
    <w:rsid w:val="00A3709E"/>
    <w:rsid w:val="00A37358"/>
    <w:rsid w:val="00A37400"/>
    <w:rsid w:val="00A37454"/>
    <w:rsid w:val="00A37630"/>
    <w:rsid w:val="00A3764B"/>
    <w:rsid w:val="00A37F8C"/>
    <w:rsid w:val="00A400E9"/>
    <w:rsid w:val="00A40385"/>
    <w:rsid w:val="00A40514"/>
    <w:rsid w:val="00A40822"/>
    <w:rsid w:val="00A4083F"/>
    <w:rsid w:val="00A40ADD"/>
    <w:rsid w:val="00A40C77"/>
    <w:rsid w:val="00A4108A"/>
    <w:rsid w:val="00A412AA"/>
    <w:rsid w:val="00A41409"/>
    <w:rsid w:val="00A4157E"/>
    <w:rsid w:val="00A4174B"/>
    <w:rsid w:val="00A4191D"/>
    <w:rsid w:val="00A41BDC"/>
    <w:rsid w:val="00A41E98"/>
    <w:rsid w:val="00A41EC2"/>
    <w:rsid w:val="00A4213B"/>
    <w:rsid w:val="00A4218B"/>
    <w:rsid w:val="00A423DC"/>
    <w:rsid w:val="00A4242A"/>
    <w:rsid w:val="00A42483"/>
    <w:rsid w:val="00A428FB"/>
    <w:rsid w:val="00A42BB3"/>
    <w:rsid w:val="00A42BF9"/>
    <w:rsid w:val="00A42C5B"/>
    <w:rsid w:val="00A42E26"/>
    <w:rsid w:val="00A42E61"/>
    <w:rsid w:val="00A42E7B"/>
    <w:rsid w:val="00A42EBD"/>
    <w:rsid w:val="00A43320"/>
    <w:rsid w:val="00A43386"/>
    <w:rsid w:val="00A43475"/>
    <w:rsid w:val="00A4354A"/>
    <w:rsid w:val="00A4374D"/>
    <w:rsid w:val="00A43778"/>
    <w:rsid w:val="00A4396A"/>
    <w:rsid w:val="00A43AB7"/>
    <w:rsid w:val="00A43AE1"/>
    <w:rsid w:val="00A43B07"/>
    <w:rsid w:val="00A43D74"/>
    <w:rsid w:val="00A43D7D"/>
    <w:rsid w:val="00A43EC5"/>
    <w:rsid w:val="00A43F67"/>
    <w:rsid w:val="00A44057"/>
    <w:rsid w:val="00A4415C"/>
    <w:rsid w:val="00A442A8"/>
    <w:rsid w:val="00A443BC"/>
    <w:rsid w:val="00A4465F"/>
    <w:rsid w:val="00A44719"/>
    <w:rsid w:val="00A449FD"/>
    <w:rsid w:val="00A44AB4"/>
    <w:rsid w:val="00A44B9A"/>
    <w:rsid w:val="00A44C99"/>
    <w:rsid w:val="00A44E2F"/>
    <w:rsid w:val="00A4554C"/>
    <w:rsid w:val="00A455A8"/>
    <w:rsid w:val="00A45910"/>
    <w:rsid w:val="00A45965"/>
    <w:rsid w:val="00A459C1"/>
    <w:rsid w:val="00A45C7A"/>
    <w:rsid w:val="00A45DD3"/>
    <w:rsid w:val="00A46117"/>
    <w:rsid w:val="00A466A8"/>
    <w:rsid w:val="00A46739"/>
    <w:rsid w:val="00A46DAA"/>
    <w:rsid w:val="00A470F4"/>
    <w:rsid w:val="00A4716B"/>
    <w:rsid w:val="00A471D6"/>
    <w:rsid w:val="00A47256"/>
    <w:rsid w:val="00A47349"/>
    <w:rsid w:val="00A4760B"/>
    <w:rsid w:val="00A4781F"/>
    <w:rsid w:val="00A47B6F"/>
    <w:rsid w:val="00A47EE7"/>
    <w:rsid w:val="00A5005E"/>
    <w:rsid w:val="00A501C6"/>
    <w:rsid w:val="00A5022E"/>
    <w:rsid w:val="00A502E8"/>
    <w:rsid w:val="00A50428"/>
    <w:rsid w:val="00A5046C"/>
    <w:rsid w:val="00A504A8"/>
    <w:rsid w:val="00A50721"/>
    <w:rsid w:val="00A5098F"/>
    <w:rsid w:val="00A50A32"/>
    <w:rsid w:val="00A50F7B"/>
    <w:rsid w:val="00A50FE0"/>
    <w:rsid w:val="00A51386"/>
    <w:rsid w:val="00A51483"/>
    <w:rsid w:val="00A516A5"/>
    <w:rsid w:val="00A516E5"/>
    <w:rsid w:val="00A516F4"/>
    <w:rsid w:val="00A5185C"/>
    <w:rsid w:val="00A519D8"/>
    <w:rsid w:val="00A51C27"/>
    <w:rsid w:val="00A51CE5"/>
    <w:rsid w:val="00A51CEF"/>
    <w:rsid w:val="00A51D0E"/>
    <w:rsid w:val="00A51EB6"/>
    <w:rsid w:val="00A51FD7"/>
    <w:rsid w:val="00A51FFA"/>
    <w:rsid w:val="00A52065"/>
    <w:rsid w:val="00A525A3"/>
    <w:rsid w:val="00A525F7"/>
    <w:rsid w:val="00A529C4"/>
    <w:rsid w:val="00A52C79"/>
    <w:rsid w:val="00A52F3F"/>
    <w:rsid w:val="00A52FAC"/>
    <w:rsid w:val="00A53252"/>
    <w:rsid w:val="00A532C6"/>
    <w:rsid w:val="00A53493"/>
    <w:rsid w:val="00A534D1"/>
    <w:rsid w:val="00A5364E"/>
    <w:rsid w:val="00A53E2A"/>
    <w:rsid w:val="00A53F10"/>
    <w:rsid w:val="00A5402E"/>
    <w:rsid w:val="00A54075"/>
    <w:rsid w:val="00A544AF"/>
    <w:rsid w:val="00A54656"/>
    <w:rsid w:val="00A5466E"/>
    <w:rsid w:val="00A549DF"/>
    <w:rsid w:val="00A54CC1"/>
    <w:rsid w:val="00A54CDA"/>
    <w:rsid w:val="00A54E92"/>
    <w:rsid w:val="00A54FF6"/>
    <w:rsid w:val="00A550AB"/>
    <w:rsid w:val="00A55127"/>
    <w:rsid w:val="00A553D8"/>
    <w:rsid w:val="00A55417"/>
    <w:rsid w:val="00A55637"/>
    <w:rsid w:val="00A55840"/>
    <w:rsid w:val="00A559C5"/>
    <w:rsid w:val="00A55A8E"/>
    <w:rsid w:val="00A55BF6"/>
    <w:rsid w:val="00A55DB6"/>
    <w:rsid w:val="00A55EA2"/>
    <w:rsid w:val="00A55EAC"/>
    <w:rsid w:val="00A55FE8"/>
    <w:rsid w:val="00A561B0"/>
    <w:rsid w:val="00A561DE"/>
    <w:rsid w:val="00A564CB"/>
    <w:rsid w:val="00A56728"/>
    <w:rsid w:val="00A56734"/>
    <w:rsid w:val="00A56793"/>
    <w:rsid w:val="00A5693B"/>
    <w:rsid w:val="00A569B8"/>
    <w:rsid w:val="00A56A01"/>
    <w:rsid w:val="00A56CDB"/>
    <w:rsid w:val="00A57081"/>
    <w:rsid w:val="00A57300"/>
    <w:rsid w:val="00A5766F"/>
    <w:rsid w:val="00A57A67"/>
    <w:rsid w:val="00A57C07"/>
    <w:rsid w:val="00A57F47"/>
    <w:rsid w:val="00A600B2"/>
    <w:rsid w:val="00A60256"/>
    <w:rsid w:val="00A60328"/>
    <w:rsid w:val="00A60559"/>
    <w:rsid w:val="00A60759"/>
    <w:rsid w:val="00A60A2B"/>
    <w:rsid w:val="00A60A81"/>
    <w:rsid w:val="00A60B01"/>
    <w:rsid w:val="00A60B46"/>
    <w:rsid w:val="00A60B79"/>
    <w:rsid w:val="00A60B8A"/>
    <w:rsid w:val="00A60C13"/>
    <w:rsid w:val="00A60CAA"/>
    <w:rsid w:val="00A60E35"/>
    <w:rsid w:val="00A60F17"/>
    <w:rsid w:val="00A610A0"/>
    <w:rsid w:val="00A61110"/>
    <w:rsid w:val="00A613BF"/>
    <w:rsid w:val="00A61636"/>
    <w:rsid w:val="00A616B6"/>
    <w:rsid w:val="00A617FB"/>
    <w:rsid w:val="00A618C8"/>
    <w:rsid w:val="00A61B33"/>
    <w:rsid w:val="00A61C40"/>
    <w:rsid w:val="00A61DA0"/>
    <w:rsid w:val="00A61F2C"/>
    <w:rsid w:val="00A620FD"/>
    <w:rsid w:val="00A625E0"/>
    <w:rsid w:val="00A626DC"/>
    <w:rsid w:val="00A6277B"/>
    <w:rsid w:val="00A62809"/>
    <w:rsid w:val="00A6293C"/>
    <w:rsid w:val="00A62B04"/>
    <w:rsid w:val="00A62DF4"/>
    <w:rsid w:val="00A62FF2"/>
    <w:rsid w:val="00A63024"/>
    <w:rsid w:val="00A63117"/>
    <w:rsid w:val="00A631FE"/>
    <w:rsid w:val="00A632E5"/>
    <w:rsid w:val="00A63530"/>
    <w:rsid w:val="00A635EC"/>
    <w:rsid w:val="00A6381D"/>
    <w:rsid w:val="00A63950"/>
    <w:rsid w:val="00A63A9A"/>
    <w:rsid w:val="00A63B85"/>
    <w:rsid w:val="00A63CB2"/>
    <w:rsid w:val="00A63DEE"/>
    <w:rsid w:val="00A63F9E"/>
    <w:rsid w:val="00A63FA7"/>
    <w:rsid w:val="00A63FC1"/>
    <w:rsid w:val="00A6405A"/>
    <w:rsid w:val="00A64310"/>
    <w:rsid w:val="00A64317"/>
    <w:rsid w:val="00A64343"/>
    <w:rsid w:val="00A64353"/>
    <w:rsid w:val="00A64367"/>
    <w:rsid w:val="00A64470"/>
    <w:rsid w:val="00A645DE"/>
    <w:rsid w:val="00A649E9"/>
    <w:rsid w:val="00A64A17"/>
    <w:rsid w:val="00A64BD3"/>
    <w:rsid w:val="00A64CA0"/>
    <w:rsid w:val="00A64E64"/>
    <w:rsid w:val="00A65471"/>
    <w:rsid w:val="00A655BB"/>
    <w:rsid w:val="00A65766"/>
    <w:rsid w:val="00A65AE9"/>
    <w:rsid w:val="00A65C16"/>
    <w:rsid w:val="00A65C3B"/>
    <w:rsid w:val="00A65DB6"/>
    <w:rsid w:val="00A65E9C"/>
    <w:rsid w:val="00A66026"/>
    <w:rsid w:val="00A663FB"/>
    <w:rsid w:val="00A664CA"/>
    <w:rsid w:val="00A66525"/>
    <w:rsid w:val="00A665CA"/>
    <w:rsid w:val="00A665E0"/>
    <w:rsid w:val="00A6667D"/>
    <w:rsid w:val="00A66777"/>
    <w:rsid w:val="00A668EB"/>
    <w:rsid w:val="00A66A99"/>
    <w:rsid w:val="00A66CC8"/>
    <w:rsid w:val="00A66FF5"/>
    <w:rsid w:val="00A67009"/>
    <w:rsid w:val="00A670DD"/>
    <w:rsid w:val="00A6737C"/>
    <w:rsid w:val="00A67522"/>
    <w:rsid w:val="00A676BB"/>
    <w:rsid w:val="00A67922"/>
    <w:rsid w:val="00A67BA3"/>
    <w:rsid w:val="00A67C7B"/>
    <w:rsid w:val="00A67D3E"/>
    <w:rsid w:val="00A67D5B"/>
    <w:rsid w:val="00A67EE8"/>
    <w:rsid w:val="00A7000F"/>
    <w:rsid w:val="00A70038"/>
    <w:rsid w:val="00A709C5"/>
    <w:rsid w:val="00A70BD2"/>
    <w:rsid w:val="00A70CCB"/>
    <w:rsid w:val="00A70D6C"/>
    <w:rsid w:val="00A70D75"/>
    <w:rsid w:val="00A70D8B"/>
    <w:rsid w:val="00A70EA9"/>
    <w:rsid w:val="00A7130F"/>
    <w:rsid w:val="00A713C8"/>
    <w:rsid w:val="00A7146F"/>
    <w:rsid w:val="00A715A2"/>
    <w:rsid w:val="00A716A5"/>
    <w:rsid w:val="00A717D6"/>
    <w:rsid w:val="00A71868"/>
    <w:rsid w:val="00A71A3E"/>
    <w:rsid w:val="00A71B42"/>
    <w:rsid w:val="00A71C93"/>
    <w:rsid w:val="00A71DF1"/>
    <w:rsid w:val="00A71E8B"/>
    <w:rsid w:val="00A71FC3"/>
    <w:rsid w:val="00A72108"/>
    <w:rsid w:val="00A722BE"/>
    <w:rsid w:val="00A723E0"/>
    <w:rsid w:val="00A72499"/>
    <w:rsid w:val="00A72683"/>
    <w:rsid w:val="00A7277D"/>
    <w:rsid w:val="00A727CA"/>
    <w:rsid w:val="00A727E1"/>
    <w:rsid w:val="00A7280F"/>
    <w:rsid w:val="00A72888"/>
    <w:rsid w:val="00A72A30"/>
    <w:rsid w:val="00A72ED6"/>
    <w:rsid w:val="00A730E4"/>
    <w:rsid w:val="00A7319A"/>
    <w:rsid w:val="00A73439"/>
    <w:rsid w:val="00A735BE"/>
    <w:rsid w:val="00A73BA7"/>
    <w:rsid w:val="00A73C68"/>
    <w:rsid w:val="00A73D7E"/>
    <w:rsid w:val="00A73E25"/>
    <w:rsid w:val="00A73EFA"/>
    <w:rsid w:val="00A742C9"/>
    <w:rsid w:val="00A7441A"/>
    <w:rsid w:val="00A747E0"/>
    <w:rsid w:val="00A74AA9"/>
    <w:rsid w:val="00A74D4E"/>
    <w:rsid w:val="00A74D52"/>
    <w:rsid w:val="00A74DC6"/>
    <w:rsid w:val="00A74E92"/>
    <w:rsid w:val="00A74EE0"/>
    <w:rsid w:val="00A75047"/>
    <w:rsid w:val="00A7505C"/>
    <w:rsid w:val="00A752C6"/>
    <w:rsid w:val="00A75464"/>
    <w:rsid w:val="00A756A4"/>
    <w:rsid w:val="00A757A0"/>
    <w:rsid w:val="00A75826"/>
    <w:rsid w:val="00A758D0"/>
    <w:rsid w:val="00A7592B"/>
    <w:rsid w:val="00A759EF"/>
    <w:rsid w:val="00A75D98"/>
    <w:rsid w:val="00A7605D"/>
    <w:rsid w:val="00A76144"/>
    <w:rsid w:val="00A763AC"/>
    <w:rsid w:val="00A763B4"/>
    <w:rsid w:val="00A766DB"/>
    <w:rsid w:val="00A766E0"/>
    <w:rsid w:val="00A768A8"/>
    <w:rsid w:val="00A7697A"/>
    <w:rsid w:val="00A76AF7"/>
    <w:rsid w:val="00A76DA3"/>
    <w:rsid w:val="00A77096"/>
    <w:rsid w:val="00A77A7E"/>
    <w:rsid w:val="00A77B06"/>
    <w:rsid w:val="00A77C56"/>
    <w:rsid w:val="00A77EF8"/>
    <w:rsid w:val="00A77FF0"/>
    <w:rsid w:val="00A802B4"/>
    <w:rsid w:val="00A8048A"/>
    <w:rsid w:val="00A80492"/>
    <w:rsid w:val="00A80A26"/>
    <w:rsid w:val="00A80CCF"/>
    <w:rsid w:val="00A80CE7"/>
    <w:rsid w:val="00A80D72"/>
    <w:rsid w:val="00A80E5A"/>
    <w:rsid w:val="00A80EDF"/>
    <w:rsid w:val="00A81172"/>
    <w:rsid w:val="00A81197"/>
    <w:rsid w:val="00A811CB"/>
    <w:rsid w:val="00A81745"/>
    <w:rsid w:val="00A819AB"/>
    <w:rsid w:val="00A81B6F"/>
    <w:rsid w:val="00A81DFA"/>
    <w:rsid w:val="00A81F85"/>
    <w:rsid w:val="00A820AA"/>
    <w:rsid w:val="00A82199"/>
    <w:rsid w:val="00A822E2"/>
    <w:rsid w:val="00A824D7"/>
    <w:rsid w:val="00A825A7"/>
    <w:rsid w:val="00A82997"/>
    <w:rsid w:val="00A82AC7"/>
    <w:rsid w:val="00A82C64"/>
    <w:rsid w:val="00A82CFA"/>
    <w:rsid w:val="00A82E5C"/>
    <w:rsid w:val="00A82EC3"/>
    <w:rsid w:val="00A8306F"/>
    <w:rsid w:val="00A8321D"/>
    <w:rsid w:val="00A83365"/>
    <w:rsid w:val="00A833B6"/>
    <w:rsid w:val="00A833CE"/>
    <w:rsid w:val="00A833D4"/>
    <w:rsid w:val="00A835AA"/>
    <w:rsid w:val="00A83620"/>
    <w:rsid w:val="00A83743"/>
    <w:rsid w:val="00A837F6"/>
    <w:rsid w:val="00A83AA1"/>
    <w:rsid w:val="00A83AB0"/>
    <w:rsid w:val="00A83C41"/>
    <w:rsid w:val="00A83E02"/>
    <w:rsid w:val="00A83EAD"/>
    <w:rsid w:val="00A84291"/>
    <w:rsid w:val="00A844A1"/>
    <w:rsid w:val="00A846A0"/>
    <w:rsid w:val="00A84838"/>
    <w:rsid w:val="00A84906"/>
    <w:rsid w:val="00A849B2"/>
    <w:rsid w:val="00A84AD9"/>
    <w:rsid w:val="00A84C82"/>
    <w:rsid w:val="00A8527E"/>
    <w:rsid w:val="00A85672"/>
    <w:rsid w:val="00A8575B"/>
    <w:rsid w:val="00A857BF"/>
    <w:rsid w:val="00A85A92"/>
    <w:rsid w:val="00A85CA0"/>
    <w:rsid w:val="00A85CC9"/>
    <w:rsid w:val="00A85D59"/>
    <w:rsid w:val="00A85E36"/>
    <w:rsid w:val="00A85EA4"/>
    <w:rsid w:val="00A86000"/>
    <w:rsid w:val="00A86182"/>
    <w:rsid w:val="00A862C7"/>
    <w:rsid w:val="00A865BC"/>
    <w:rsid w:val="00A86DCC"/>
    <w:rsid w:val="00A86DFE"/>
    <w:rsid w:val="00A86E5D"/>
    <w:rsid w:val="00A87162"/>
    <w:rsid w:val="00A872A9"/>
    <w:rsid w:val="00A872F0"/>
    <w:rsid w:val="00A87903"/>
    <w:rsid w:val="00A87A0F"/>
    <w:rsid w:val="00A87A63"/>
    <w:rsid w:val="00A87D28"/>
    <w:rsid w:val="00A87E33"/>
    <w:rsid w:val="00A87EB9"/>
    <w:rsid w:val="00A902BE"/>
    <w:rsid w:val="00A90306"/>
    <w:rsid w:val="00A90429"/>
    <w:rsid w:val="00A90512"/>
    <w:rsid w:val="00A90599"/>
    <w:rsid w:val="00A905D2"/>
    <w:rsid w:val="00A90874"/>
    <w:rsid w:val="00A90939"/>
    <w:rsid w:val="00A909AE"/>
    <w:rsid w:val="00A90CED"/>
    <w:rsid w:val="00A90E51"/>
    <w:rsid w:val="00A90F1C"/>
    <w:rsid w:val="00A912D5"/>
    <w:rsid w:val="00A91571"/>
    <w:rsid w:val="00A917F9"/>
    <w:rsid w:val="00A91DC2"/>
    <w:rsid w:val="00A91EEB"/>
    <w:rsid w:val="00A91F1A"/>
    <w:rsid w:val="00A91F54"/>
    <w:rsid w:val="00A92110"/>
    <w:rsid w:val="00A92114"/>
    <w:rsid w:val="00A92321"/>
    <w:rsid w:val="00A92404"/>
    <w:rsid w:val="00A92489"/>
    <w:rsid w:val="00A92900"/>
    <w:rsid w:val="00A92F59"/>
    <w:rsid w:val="00A9314D"/>
    <w:rsid w:val="00A93269"/>
    <w:rsid w:val="00A93375"/>
    <w:rsid w:val="00A9356F"/>
    <w:rsid w:val="00A935FD"/>
    <w:rsid w:val="00A938D3"/>
    <w:rsid w:val="00A9392E"/>
    <w:rsid w:val="00A93A0D"/>
    <w:rsid w:val="00A93A8D"/>
    <w:rsid w:val="00A93BB6"/>
    <w:rsid w:val="00A93D12"/>
    <w:rsid w:val="00A93E60"/>
    <w:rsid w:val="00A93F4B"/>
    <w:rsid w:val="00A93F5A"/>
    <w:rsid w:val="00A94035"/>
    <w:rsid w:val="00A94067"/>
    <w:rsid w:val="00A940D2"/>
    <w:rsid w:val="00A9411A"/>
    <w:rsid w:val="00A941A0"/>
    <w:rsid w:val="00A94229"/>
    <w:rsid w:val="00A942DF"/>
    <w:rsid w:val="00A94370"/>
    <w:rsid w:val="00A9442A"/>
    <w:rsid w:val="00A9450A"/>
    <w:rsid w:val="00A9462E"/>
    <w:rsid w:val="00A946A1"/>
    <w:rsid w:val="00A94813"/>
    <w:rsid w:val="00A9497A"/>
    <w:rsid w:val="00A94B10"/>
    <w:rsid w:val="00A94B5C"/>
    <w:rsid w:val="00A94BAE"/>
    <w:rsid w:val="00A94E6A"/>
    <w:rsid w:val="00A94EAE"/>
    <w:rsid w:val="00A951AF"/>
    <w:rsid w:val="00A9578D"/>
    <w:rsid w:val="00A9597F"/>
    <w:rsid w:val="00A95F96"/>
    <w:rsid w:val="00A96161"/>
    <w:rsid w:val="00A9699A"/>
    <w:rsid w:val="00A96E07"/>
    <w:rsid w:val="00A97147"/>
    <w:rsid w:val="00A973A4"/>
    <w:rsid w:val="00A9741F"/>
    <w:rsid w:val="00A9748A"/>
    <w:rsid w:val="00A97514"/>
    <w:rsid w:val="00A97648"/>
    <w:rsid w:val="00A97740"/>
    <w:rsid w:val="00A977B5"/>
    <w:rsid w:val="00A97AA7"/>
    <w:rsid w:val="00A97C62"/>
    <w:rsid w:val="00A97C86"/>
    <w:rsid w:val="00A97E40"/>
    <w:rsid w:val="00AA0325"/>
    <w:rsid w:val="00AA0444"/>
    <w:rsid w:val="00AA055E"/>
    <w:rsid w:val="00AA0640"/>
    <w:rsid w:val="00AA06E4"/>
    <w:rsid w:val="00AA0722"/>
    <w:rsid w:val="00AA07AD"/>
    <w:rsid w:val="00AA0B8D"/>
    <w:rsid w:val="00AA0C8C"/>
    <w:rsid w:val="00AA0D4D"/>
    <w:rsid w:val="00AA0EFA"/>
    <w:rsid w:val="00AA0F62"/>
    <w:rsid w:val="00AA15BF"/>
    <w:rsid w:val="00AA1602"/>
    <w:rsid w:val="00AA19CE"/>
    <w:rsid w:val="00AA19EF"/>
    <w:rsid w:val="00AA1A11"/>
    <w:rsid w:val="00AA1B83"/>
    <w:rsid w:val="00AA1E27"/>
    <w:rsid w:val="00AA1E55"/>
    <w:rsid w:val="00AA1EA9"/>
    <w:rsid w:val="00AA1F66"/>
    <w:rsid w:val="00AA1FF9"/>
    <w:rsid w:val="00AA21C4"/>
    <w:rsid w:val="00AA2205"/>
    <w:rsid w:val="00AA273C"/>
    <w:rsid w:val="00AA2814"/>
    <w:rsid w:val="00AA285A"/>
    <w:rsid w:val="00AA2BF7"/>
    <w:rsid w:val="00AA2DBC"/>
    <w:rsid w:val="00AA2E09"/>
    <w:rsid w:val="00AA2F0F"/>
    <w:rsid w:val="00AA305D"/>
    <w:rsid w:val="00AA30AF"/>
    <w:rsid w:val="00AA319D"/>
    <w:rsid w:val="00AA3296"/>
    <w:rsid w:val="00AA3379"/>
    <w:rsid w:val="00AA3517"/>
    <w:rsid w:val="00AA3871"/>
    <w:rsid w:val="00AA38FA"/>
    <w:rsid w:val="00AA3990"/>
    <w:rsid w:val="00AA3D18"/>
    <w:rsid w:val="00AA3D72"/>
    <w:rsid w:val="00AA3DC0"/>
    <w:rsid w:val="00AA3DF6"/>
    <w:rsid w:val="00AA3E5D"/>
    <w:rsid w:val="00AA3F4A"/>
    <w:rsid w:val="00AA40C6"/>
    <w:rsid w:val="00AA42F8"/>
    <w:rsid w:val="00AA4577"/>
    <w:rsid w:val="00AA45F6"/>
    <w:rsid w:val="00AA4920"/>
    <w:rsid w:val="00AA4B0F"/>
    <w:rsid w:val="00AA4BEB"/>
    <w:rsid w:val="00AA4CA3"/>
    <w:rsid w:val="00AA5169"/>
    <w:rsid w:val="00AA519F"/>
    <w:rsid w:val="00AA524F"/>
    <w:rsid w:val="00AA52E3"/>
    <w:rsid w:val="00AA52EE"/>
    <w:rsid w:val="00AA53F5"/>
    <w:rsid w:val="00AA548C"/>
    <w:rsid w:val="00AA5A92"/>
    <w:rsid w:val="00AA5C32"/>
    <w:rsid w:val="00AA5E51"/>
    <w:rsid w:val="00AA6011"/>
    <w:rsid w:val="00AA6077"/>
    <w:rsid w:val="00AA6407"/>
    <w:rsid w:val="00AA6429"/>
    <w:rsid w:val="00AA657D"/>
    <w:rsid w:val="00AA667E"/>
    <w:rsid w:val="00AA66C0"/>
    <w:rsid w:val="00AA6742"/>
    <w:rsid w:val="00AA6950"/>
    <w:rsid w:val="00AA6A9D"/>
    <w:rsid w:val="00AA6AE3"/>
    <w:rsid w:val="00AA6B47"/>
    <w:rsid w:val="00AA6CC2"/>
    <w:rsid w:val="00AA6D11"/>
    <w:rsid w:val="00AA6D13"/>
    <w:rsid w:val="00AA6D43"/>
    <w:rsid w:val="00AA6D47"/>
    <w:rsid w:val="00AA6E18"/>
    <w:rsid w:val="00AA6FBA"/>
    <w:rsid w:val="00AA7123"/>
    <w:rsid w:val="00AA71E0"/>
    <w:rsid w:val="00AA73EE"/>
    <w:rsid w:val="00AA7427"/>
    <w:rsid w:val="00AA753D"/>
    <w:rsid w:val="00AA79E6"/>
    <w:rsid w:val="00AA7D21"/>
    <w:rsid w:val="00AA7F63"/>
    <w:rsid w:val="00AA7F99"/>
    <w:rsid w:val="00AB0130"/>
    <w:rsid w:val="00AB029D"/>
    <w:rsid w:val="00AB0393"/>
    <w:rsid w:val="00AB04AC"/>
    <w:rsid w:val="00AB0E76"/>
    <w:rsid w:val="00AB0EE7"/>
    <w:rsid w:val="00AB1314"/>
    <w:rsid w:val="00AB1624"/>
    <w:rsid w:val="00AB1629"/>
    <w:rsid w:val="00AB1A5E"/>
    <w:rsid w:val="00AB1BF7"/>
    <w:rsid w:val="00AB1F00"/>
    <w:rsid w:val="00AB2283"/>
    <w:rsid w:val="00AB2447"/>
    <w:rsid w:val="00AB2641"/>
    <w:rsid w:val="00AB2654"/>
    <w:rsid w:val="00AB2685"/>
    <w:rsid w:val="00AB272B"/>
    <w:rsid w:val="00AB280E"/>
    <w:rsid w:val="00AB28AA"/>
    <w:rsid w:val="00AB2D27"/>
    <w:rsid w:val="00AB30DA"/>
    <w:rsid w:val="00AB31D2"/>
    <w:rsid w:val="00AB3384"/>
    <w:rsid w:val="00AB35DE"/>
    <w:rsid w:val="00AB3714"/>
    <w:rsid w:val="00AB37BB"/>
    <w:rsid w:val="00AB38CD"/>
    <w:rsid w:val="00AB396C"/>
    <w:rsid w:val="00AB3AC2"/>
    <w:rsid w:val="00AB3AFB"/>
    <w:rsid w:val="00AB3B31"/>
    <w:rsid w:val="00AB3C0E"/>
    <w:rsid w:val="00AB3D98"/>
    <w:rsid w:val="00AB3DEA"/>
    <w:rsid w:val="00AB4247"/>
    <w:rsid w:val="00AB42E1"/>
    <w:rsid w:val="00AB435E"/>
    <w:rsid w:val="00AB45C2"/>
    <w:rsid w:val="00AB48FC"/>
    <w:rsid w:val="00AB499F"/>
    <w:rsid w:val="00AB4A74"/>
    <w:rsid w:val="00AB4AAF"/>
    <w:rsid w:val="00AB4C55"/>
    <w:rsid w:val="00AB4FD0"/>
    <w:rsid w:val="00AB50EE"/>
    <w:rsid w:val="00AB510A"/>
    <w:rsid w:val="00AB5393"/>
    <w:rsid w:val="00AB54BA"/>
    <w:rsid w:val="00AB554E"/>
    <w:rsid w:val="00AB564B"/>
    <w:rsid w:val="00AB576F"/>
    <w:rsid w:val="00AB5781"/>
    <w:rsid w:val="00AB596E"/>
    <w:rsid w:val="00AB59EA"/>
    <w:rsid w:val="00AB5A21"/>
    <w:rsid w:val="00AB5B3A"/>
    <w:rsid w:val="00AB5BEB"/>
    <w:rsid w:val="00AB5C9C"/>
    <w:rsid w:val="00AB5F86"/>
    <w:rsid w:val="00AB613D"/>
    <w:rsid w:val="00AB6881"/>
    <w:rsid w:val="00AB699A"/>
    <w:rsid w:val="00AB6A99"/>
    <w:rsid w:val="00AB6BC7"/>
    <w:rsid w:val="00AB6CE2"/>
    <w:rsid w:val="00AB6EF1"/>
    <w:rsid w:val="00AB6FDD"/>
    <w:rsid w:val="00AB76E0"/>
    <w:rsid w:val="00AB77E1"/>
    <w:rsid w:val="00AB7812"/>
    <w:rsid w:val="00AB783F"/>
    <w:rsid w:val="00AB7A9E"/>
    <w:rsid w:val="00AB7AFF"/>
    <w:rsid w:val="00AB7C0B"/>
    <w:rsid w:val="00AB7DDB"/>
    <w:rsid w:val="00AC01D2"/>
    <w:rsid w:val="00AC0314"/>
    <w:rsid w:val="00AC04F7"/>
    <w:rsid w:val="00AC062E"/>
    <w:rsid w:val="00AC0723"/>
    <w:rsid w:val="00AC07E4"/>
    <w:rsid w:val="00AC0AB5"/>
    <w:rsid w:val="00AC0D51"/>
    <w:rsid w:val="00AC0E45"/>
    <w:rsid w:val="00AC0E62"/>
    <w:rsid w:val="00AC0EFA"/>
    <w:rsid w:val="00AC0F5B"/>
    <w:rsid w:val="00AC1074"/>
    <w:rsid w:val="00AC155A"/>
    <w:rsid w:val="00AC16E0"/>
    <w:rsid w:val="00AC1BDA"/>
    <w:rsid w:val="00AC1C53"/>
    <w:rsid w:val="00AC1EA6"/>
    <w:rsid w:val="00AC1FF4"/>
    <w:rsid w:val="00AC20E4"/>
    <w:rsid w:val="00AC230D"/>
    <w:rsid w:val="00AC23A1"/>
    <w:rsid w:val="00AC24CC"/>
    <w:rsid w:val="00AC2620"/>
    <w:rsid w:val="00AC2A3B"/>
    <w:rsid w:val="00AC2E6E"/>
    <w:rsid w:val="00AC2E9E"/>
    <w:rsid w:val="00AC2F3C"/>
    <w:rsid w:val="00AC30D9"/>
    <w:rsid w:val="00AC31DA"/>
    <w:rsid w:val="00AC320B"/>
    <w:rsid w:val="00AC33E5"/>
    <w:rsid w:val="00AC3816"/>
    <w:rsid w:val="00AC3853"/>
    <w:rsid w:val="00AC3874"/>
    <w:rsid w:val="00AC38D1"/>
    <w:rsid w:val="00AC3925"/>
    <w:rsid w:val="00AC407C"/>
    <w:rsid w:val="00AC42AB"/>
    <w:rsid w:val="00AC4335"/>
    <w:rsid w:val="00AC4385"/>
    <w:rsid w:val="00AC43EE"/>
    <w:rsid w:val="00AC44B2"/>
    <w:rsid w:val="00AC45C1"/>
    <w:rsid w:val="00AC45F9"/>
    <w:rsid w:val="00AC46DC"/>
    <w:rsid w:val="00AC481A"/>
    <w:rsid w:val="00AC49EF"/>
    <w:rsid w:val="00AC4AE4"/>
    <w:rsid w:val="00AC4FF6"/>
    <w:rsid w:val="00AC5067"/>
    <w:rsid w:val="00AC5233"/>
    <w:rsid w:val="00AC5382"/>
    <w:rsid w:val="00AC540E"/>
    <w:rsid w:val="00AC5582"/>
    <w:rsid w:val="00AC5755"/>
    <w:rsid w:val="00AC58F7"/>
    <w:rsid w:val="00AC5A38"/>
    <w:rsid w:val="00AC5AF8"/>
    <w:rsid w:val="00AC5AFB"/>
    <w:rsid w:val="00AC5C69"/>
    <w:rsid w:val="00AC5CE5"/>
    <w:rsid w:val="00AC5F7B"/>
    <w:rsid w:val="00AC60D6"/>
    <w:rsid w:val="00AC6392"/>
    <w:rsid w:val="00AC63C4"/>
    <w:rsid w:val="00AC63F5"/>
    <w:rsid w:val="00AC63FE"/>
    <w:rsid w:val="00AC662D"/>
    <w:rsid w:val="00AC68CC"/>
    <w:rsid w:val="00AC69E9"/>
    <w:rsid w:val="00AC6AC0"/>
    <w:rsid w:val="00AC6B8C"/>
    <w:rsid w:val="00AC6BB6"/>
    <w:rsid w:val="00AC6E21"/>
    <w:rsid w:val="00AC6F9C"/>
    <w:rsid w:val="00AC7003"/>
    <w:rsid w:val="00AC708F"/>
    <w:rsid w:val="00AC7125"/>
    <w:rsid w:val="00AC717F"/>
    <w:rsid w:val="00AC7188"/>
    <w:rsid w:val="00AC72F5"/>
    <w:rsid w:val="00AC7397"/>
    <w:rsid w:val="00AC7492"/>
    <w:rsid w:val="00AC74AE"/>
    <w:rsid w:val="00AC7983"/>
    <w:rsid w:val="00AC79F2"/>
    <w:rsid w:val="00AC7B2C"/>
    <w:rsid w:val="00AC7C0D"/>
    <w:rsid w:val="00AC7DE2"/>
    <w:rsid w:val="00AC7DEC"/>
    <w:rsid w:val="00AD019D"/>
    <w:rsid w:val="00AD0375"/>
    <w:rsid w:val="00AD0396"/>
    <w:rsid w:val="00AD042D"/>
    <w:rsid w:val="00AD074C"/>
    <w:rsid w:val="00AD0825"/>
    <w:rsid w:val="00AD0A43"/>
    <w:rsid w:val="00AD0A5D"/>
    <w:rsid w:val="00AD0C82"/>
    <w:rsid w:val="00AD0CF0"/>
    <w:rsid w:val="00AD0DB8"/>
    <w:rsid w:val="00AD0E31"/>
    <w:rsid w:val="00AD1362"/>
    <w:rsid w:val="00AD14E8"/>
    <w:rsid w:val="00AD171E"/>
    <w:rsid w:val="00AD1AF0"/>
    <w:rsid w:val="00AD1CB4"/>
    <w:rsid w:val="00AD1E27"/>
    <w:rsid w:val="00AD1FA7"/>
    <w:rsid w:val="00AD20A6"/>
    <w:rsid w:val="00AD2290"/>
    <w:rsid w:val="00AD23E3"/>
    <w:rsid w:val="00AD24F3"/>
    <w:rsid w:val="00AD2544"/>
    <w:rsid w:val="00AD26AE"/>
    <w:rsid w:val="00AD295A"/>
    <w:rsid w:val="00AD29CE"/>
    <w:rsid w:val="00AD2B9E"/>
    <w:rsid w:val="00AD2F91"/>
    <w:rsid w:val="00AD2F96"/>
    <w:rsid w:val="00AD3004"/>
    <w:rsid w:val="00AD30A1"/>
    <w:rsid w:val="00AD3154"/>
    <w:rsid w:val="00AD33DE"/>
    <w:rsid w:val="00AD3A3F"/>
    <w:rsid w:val="00AD3A6D"/>
    <w:rsid w:val="00AD3EC4"/>
    <w:rsid w:val="00AD3FE9"/>
    <w:rsid w:val="00AD4353"/>
    <w:rsid w:val="00AD4988"/>
    <w:rsid w:val="00AD4B09"/>
    <w:rsid w:val="00AD4B36"/>
    <w:rsid w:val="00AD4B3C"/>
    <w:rsid w:val="00AD4C5C"/>
    <w:rsid w:val="00AD4DF6"/>
    <w:rsid w:val="00AD4E3C"/>
    <w:rsid w:val="00AD4E82"/>
    <w:rsid w:val="00AD4EFF"/>
    <w:rsid w:val="00AD4F9C"/>
    <w:rsid w:val="00AD4FCB"/>
    <w:rsid w:val="00AD502E"/>
    <w:rsid w:val="00AD531D"/>
    <w:rsid w:val="00AD5361"/>
    <w:rsid w:val="00AD5451"/>
    <w:rsid w:val="00AD59DD"/>
    <w:rsid w:val="00AD5A52"/>
    <w:rsid w:val="00AD5C8B"/>
    <w:rsid w:val="00AD5E5D"/>
    <w:rsid w:val="00AD61EF"/>
    <w:rsid w:val="00AD6239"/>
    <w:rsid w:val="00AD635D"/>
    <w:rsid w:val="00AD64D5"/>
    <w:rsid w:val="00AD67F1"/>
    <w:rsid w:val="00AD68F1"/>
    <w:rsid w:val="00AD69A3"/>
    <w:rsid w:val="00AD69EC"/>
    <w:rsid w:val="00AD6D42"/>
    <w:rsid w:val="00AD6ED3"/>
    <w:rsid w:val="00AD6F45"/>
    <w:rsid w:val="00AD6F4D"/>
    <w:rsid w:val="00AD7234"/>
    <w:rsid w:val="00AD7368"/>
    <w:rsid w:val="00AD75A5"/>
    <w:rsid w:val="00AD77F2"/>
    <w:rsid w:val="00AD79D2"/>
    <w:rsid w:val="00AD7A0F"/>
    <w:rsid w:val="00AD7C0F"/>
    <w:rsid w:val="00AD7C74"/>
    <w:rsid w:val="00AD7D54"/>
    <w:rsid w:val="00AE006A"/>
    <w:rsid w:val="00AE0229"/>
    <w:rsid w:val="00AE031C"/>
    <w:rsid w:val="00AE045B"/>
    <w:rsid w:val="00AE056C"/>
    <w:rsid w:val="00AE0575"/>
    <w:rsid w:val="00AE0928"/>
    <w:rsid w:val="00AE0A86"/>
    <w:rsid w:val="00AE0A92"/>
    <w:rsid w:val="00AE0B3E"/>
    <w:rsid w:val="00AE0B56"/>
    <w:rsid w:val="00AE0BB8"/>
    <w:rsid w:val="00AE0C8A"/>
    <w:rsid w:val="00AE0E4D"/>
    <w:rsid w:val="00AE0F75"/>
    <w:rsid w:val="00AE132A"/>
    <w:rsid w:val="00AE15B8"/>
    <w:rsid w:val="00AE1A85"/>
    <w:rsid w:val="00AE1ACB"/>
    <w:rsid w:val="00AE1BA3"/>
    <w:rsid w:val="00AE1BF7"/>
    <w:rsid w:val="00AE1C26"/>
    <w:rsid w:val="00AE1F20"/>
    <w:rsid w:val="00AE1FB8"/>
    <w:rsid w:val="00AE202B"/>
    <w:rsid w:val="00AE20B0"/>
    <w:rsid w:val="00AE2606"/>
    <w:rsid w:val="00AE2839"/>
    <w:rsid w:val="00AE2965"/>
    <w:rsid w:val="00AE2B03"/>
    <w:rsid w:val="00AE2C3C"/>
    <w:rsid w:val="00AE2D5B"/>
    <w:rsid w:val="00AE2D6A"/>
    <w:rsid w:val="00AE2E0F"/>
    <w:rsid w:val="00AE2ED5"/>
    <w:rsid w:val="00AE2FC8"/>
    <w:rsid w:val="00AE307D"/>
    <w:rsid w:val="00AE3169"/>
    <w:rsid w:val="00AE3253"/>
    <w:rsid w:val="00AE36AA"/>
    <w:rsid w:val="00AE371C"/>
    <w:rsid w:val="00AE38EE"/>
    <w:rsid w:val="00AE3AC7"/>
    <w:rsid w:val="00AE3AD6"/>
    <w:rsid w:val="00AE3DA8"/>
    <w:rsid w:val="00AE3E21"/>
    <w:rsid w:val="00AE3ECB"/>
    <w:rsid w:val="00AE3F01"/>
    <w:rsid w:val="00AE419A"/>
    <w:rsid w:val="00AE4320"/>
    <w:rsid w:val="00AE4D4D"/>
    <w:rsid w:val="00AE4F76"/>
    <w:rsid w:val="00AE519D"/>
    <w:rsid w:val="00AE52CC"/>
    <w:rsid w:val="00AE57D1"/>
    <w:rsid w:val="00AE592B"/>
    <w:rsid w:val="00AE5A34"/>
    <w:rsid w:val="00AE5A5A"/>
    <w:rsid w:val="00AE5A9C"/>
    <w:rsid w:val="00AE5D0A"/>
    <w:rsid w:val="00AE5D82"/>
    <w:rsid w:val="00AE5EDA"/>
    <w:rsid w:val="00AE60AE"/>
    <w:rsid w:val="00AE6212"/>
    <w:rsid w:val="00AE6351"/>
    <w:rsid w:val="00AE6566"/>
    <w:rsid w:val="00AE6654"/>
    <w:rsid w:val="00AE66C8"/>
    <w:rsid w:val="00AE672E"/>
    <w:rsid w:val="00AE67EF"/>
    <w:rsid w:val="00AE6A58"/>
    <w:rsid w:val="00AE6D9B"/>
    <w:rsid w:val="00AE7134"/>
    <w:rsid w:val="00AE728B"/>
    <w:rsid w:val="00AE74D1"/>
    <w:rsid w:val="00AE7532"/>
    <w:rsid w:val="00AE754E"/>
    <w:rsid w:val="00AE768E"/>
    <w:rsid w:val="00AE78F7"/>
    <w:rsid w:val="00AE7A26"/>
    <w:rsid w:val="00AE7BC0"/>
    <w:rsid w:val="00AE7C48"/>
    <w:rsid w:val="00AF04EE"/>
    <w:rsid w:val="00AF062B"/>
    <w:rsid w:val="00AF0678"/>
    <w:rsid w:val="00AF0762"/>
    <w:rsid w:val="00AF08A7"/>
    <w:rsid w:val="00AF090C"/>
    <w:rsid w:val="00AF09F8"/>
    <w:rsid w:val="00AF0BE3"/>
    <w:rsid w:val="00AF0E47"/>
    <w:rsid w:val="00AF0FA9"/>
    <w:rsid w:val="00AF0FC6"/>
    <w:rsid w:val="00AF10FE"/>
    <w:rsid w:val="00AF12EE"/>
    <w:rsid w:val="00AF1A3F"/>
    <w:rsid w:val="00AF1BA8"/>
    <w:rsid w:val="00AF1C34"/>
    <w:rsid w:val="00AF1D97"/>
    <w:rsid w:val="00AF1FF4"/>
    <w:rsid w:val="00AF2296"/>
    <w:rsid w:val="00AF22D2"/>
    <w:rsid w:val="00AF22FC"/>
    <w:rsid w:val="00AF2313"/>
    <w:rsid w:val="00AF2547"/>
    <w:rsid w:val="00AF256F"/>
    <w:rsid w:val="00AF2727"/>
    <w:rsid w:val="00AF28F7"/>
    <w:rsid w:val="00AF294D"/>
    <w:rsid w:val="00AF2B8A"/>
    <w:rsid w:val="00AF2D36"/>
    <w:rsid w:val="00AF2D67"/>
    <w:rsid w:val="00AF2DDA"/>
    <w:rsid w:val="00AF2EF0"/>
    <w:rsid w:val="00AF3038"/>
    <w:rsid w:val="00AF305E"/>
    <w:rsid w:val="00AF30A6"/>
    <w:rsid w:val="00AF30C1"/>
    <w:rsid w:val="00AF314A"/>
    <w:rsid w:val="00AF338C"/>
    <w:rsid w:val="00AF3427"/>
    <w:rsid w:val="00AF390C"/>
    <w:rsid w:val="00AF39A8"/>
    <w:rsid w:val="00AF3A9D"/>
    <w:rsid w:val="00AF3C97"/>
    <w:rsid w:val="00AF3D0A"/>
    <w:rsid w:val="00AF3D63"/>
    <w:rsid w:val="00AF3DB8"/>
    <w:rsid w:val="00AF3DFF"/>
    <w:rsid w:val="00AF41B7"/>
    <w:rsid w:val="00AF41DD"/>
    <w:rsid w:val="00AF4349"/>
    <w:rsid w:val="00AF4384"/>
    <w:rsid w:val="00AF47AA"/>
    <w:rsid w:val="00AF482F"/>
    <w:rsid w:val="00AF48D1"/>
    <w:rsid w:val="00AF4924"/>
    <w:rsid w:val="00AF4951"/>
    <w:rsid w:val="00AF4A91"/>
    <w:rsid w:val="00AF4BC1"/>
    <w:rsid w:val="00AF4C14"/>
    <w:rsid w:val="00AF4D03"/>
    <w:rsid w:val="00AF4D9F"/>
    <w:rsid w:val="00AF4E84"/>
    <w:rsid w:val="00AF50EF"/>
    <w:rsid w:val="00AF52B3"/>
    <w:rsid w:val="00AF52DA"/>
    <w:rsid w:val="00AF52FE"/>
    <w:rsid w:val="00AF54EA"/>
    <w:rsid w:val="00AF5A67"/>
    <w:rsid w:val="00AF5B75"/>
    <w:rsid w:val="00AF5C2A"/>
    <w:rsid w:val="00AF5C2B"/>
    <w:rsid w:val="00AF5F08"/>
    <w:rsid w:val="00AF62B7"/>
    <w:rsid w:val="00AF632E"/>
    <w:rsid w:val="00AF6333"/>
    <w:rsid w:val="00AF64C6"/>
    <w:rsid w:val="00AF654D"/>
    <w:rsid w:val="00AF65FD"/>
    <w:rsid w:val="00AF673D"/>
    <w:rsid w:val="00AF688F"/>
    <w:rsid w:val="00AF6920"/>
    <w:rsid w:val="00AF6C95"/>
    <w:rsid w:val="00AF6E02"/>
    <w:rsid w:val="00AF700F"/>
    <w:rsid w:val="00AF704C"/>
    <w:rsid w:val="00AF72B6"/>
    <w:rsid w:val="00AF73CB"/>
    <w:rsid w:val="00AF79E2"/>
    <w:rsid w:val="00AF7E0C"/>
    <w:rsid w:val="00B0000A"/>
    <w:rsid w:val="00B00054"/>
    <w:rsid w:val="00B0006D"/>
    <w:rsid w:val="00B004C5"/>
    <w:rsid w:val="00B0052D"/>
    <w:rsid w:val="00B00774"/>
    <w:rsid w:val="00B00AFB"/>
    <w:rsid w:val="00B00BF5"/>
    <w:rsid w:val="00B00CE4"/>
    <w:rsid w:val="00B00E96"/>
    <w:rsid w:val="00B0111D"/>
    <w:rsid w:val="00B013F7"/>
    <w:rsid w:val="00B015AB"/>
    <w:rsid w:val="00B015B5"/>
    <w:rsid w:val="00B01653"/>
    <w:rsid w:val="00B01920"/>
    <w:rsid w:val="00B01986"/>
    <w:rsid w:val="00B0199C"/>
    <w:rsid w:val="00B019A4"/>
    <w:rsid w:val="00B01ADC"/>
    <w:rsid w:val="00B01B3F"/>
    <w:rsid w:val="00B01C24"/>
    <w:rsid w:val="00B01C47"/>
    <w:rsid w:val="00B01D8A"/>
    <w:rsid w:val="00B01E63"/>
    <w:rsid w:val="00B01EF4"/>
    <w:rsid w:val="00B01FD5"/>
    <w:rsid w:val="00B0208A"/>
    <w:rsid w:val="00B02151"/>
    <w:rsid w:val="00B0224C"/>
    <w:rsid w:val="00B0263A"/>
    <w:rsid w:val="00B0296B"/>
    <w:rsid w:val="00B02A20"/>
    <w:rsid w:val="00B02DC7"/>
    <w:rsid w:val="00B02E62"/>
    <w:rsid w:val="00B0311B"/>
    <w:rsid w:val="00B032D6"/>
    <w:rsid w:val="00B032DC"/>
    <w:rsid w:val="00B0345B"/>
    <w:rsid w:val="00B034D4"/>
    <w:rsid w:val="00B03576"/>
    <w:rsid w:val="00B0370C"/>
    <w:rsid w:val="00B03721"/>
    <w:rsid w:val="00B039E9"/>
    <w:rsid w:val="00B03D23"/>
    <w:rsid w:val="00B03E13"/>
    <w:rsid w:val="00B03F72"/>
    <w:rsid w:val="00B04058"/>
    <w:rsid w:val="00B04468"/>
    <w:rsid w:val="00B0467A"/>
    <w:rsid w:val="00B04927"/>
    <w:rsid w:val="00B04AB2"/>
    <w:rsid w:val="00B04AC7"/>
    <w:rsid w:val="00B04ADC"/>
    <w:rsid w:val="00B04B02"/>
    <w:rsid w:val="00B04C58"/>
    <w:rsid w:val="00B04D94"/>
    <w:rsid w:val="00B04DC1"/>
    <w:rsid w:val="00B04F35"/>
    <w:rsid w:val="00B052AD"/>
    <w:rsid w:val="00B05337"/>
    <w:rsid w:val="00B05475"/>
    <w:rsid w:val="00B055DA"/>
    <w:rsid w:val="00B05A17"/>
    <w:rsid w:val="00B05B49"/>
    <w:rsid w:val="00B05B9F"/>
    <w:rsid w:val="00B05BB6"/>
    <w:rsid w:val="00B063C7"/>
    <w:rsid w:val="00B0667B"/>
    <w:rsid w:val="00B0670A"/>
    <w:rsid w:val="00B0692B"/>
    <w:rsid w:val="00B06E92"/>
    <w:rsid w:val="00B06E9C"/>
    <w:rsid w:val="00B07198"/>
    <w:rsid w:val="00B07239"/>
    <w:rsid w:val="00B07524"/>
    <w:rsid w:val="00B0757B"/>
    <w:rsid w:val="00B0762D"/>
    <w:rsid w:val="00B07BAF"/>
    <w:rsid w:val="00B07C24"/>
    <w:rsid w:val="00B100B7"/>
    <w:rsid w:val="00B10164"/>
    <w:rsid w:val="00B101B4"/>
    <w:rsid w:val="00B103AF"/>
    <w:rsid w:val="00B10477"/>
    <w:rsid w:val="00B104C8"/>
    <w:rsid w:val="00B104CB"/>
    <w:rsid w:val="00B10522"/>
    <w:rsid w:val="00B10642"/>
    <w:rsid w:val="00B106B7"/>
    <w:rsid w:val="00B1074A"/>
    <w:rsid w:val="00B10877"/>
    <w:rsid w:val="00B10A52"/>
    <w:rsid w:val="00B10A87"/>
    <w:rsid w:val="00B10BAB"/>
    <w:rsid w:val="00B10C78"/>
    <w:rsid w:val="00B10F58"/>
    <w:rsid w:val="00B10FBF"/>
    <w:rsid w:val="00B11055"/>
    <w:rsid w:val="00B111F8"/>
    <w:rsid w:val="00B11229"/>
    <w:rsid w:val="00B11355"/>
    <w:rsid w:val="00B11404"/>
    <w:rsid w:val="00B1155B"/>
    <w:rsid w:val="00B1159A"/>
    <w:rsid w:val="00B11622"/>
    <w:rsid w:val="00B11625"/>
    <w:rsid w:val="00B11CB9"/>
    <w:rsid w:val="00B11D3B"/>
    <w:rsid w:val="00B11E30"/>
    <w:rsid w:val="00B11F4A"/>
    <w:rsid w:val="00B121DF"/>
    <w:rsid w:val="00B12256"/>
    <w:rsid w:val="00B122DE"/>
    <w:rsid w:val="00B122E2"/>
    <w:rsid w:val="00B124AF"/>
    <w:rsid w:val="00B12641"/>
    <w:rsid w:val="00B1275C"/>
    <w:rsid w:val="00B12A88"/>
    <w:rsid w:val="00B12C5A"/>
    <w:rsid w:val="00B12E03"/>
    <w:rsid w:val="00B1308F"/>
    <w:rsid w:val="00B13153"/>
    <w:rsid w:val="00B1324A"/>
    <w:rsid w:val="00B13288"/>
    <w:rsid w:val="00B136A6"/>
    <w:rsid w:val="00B136C2"/>
    <w:rsid w:val="00B138BC"/>
    <w:rsid w:val="00B1394D"/>
    <w:rsid w:val="00B13987"/>
    <w:rsid w:val="00B13C26"/>
    <w:rsid w:val="00B13EFC"/>
    <w:rsid w:val="00B1445E"/>
    <w:rsid w:val="00B1476E"/>
    <w:rsid w:val="00B147E6"/>
    <w:rsid w:val="00B148D3"/>
    <w:rsid w:val="00B14AD6"/>
    <w:rsid w:val="00B14B96"/>
    <w:rsid w:val="00B14DF6"/>
    <w:rsid w:val="00B14EE9"/>
    <w:rsid w:val="00B1511E"/>
    <w:rsid w:val="00B152DC"/>
    <w:rsid w:val="00B153C7"/>
    <w:rsid w:val="00B15441"/>
    <w:rsid w:val="00B1559E"/>
    <w:rsid w:val="00B15635"/>
    <w:rsid w:val="00B156B3"/>
    <w:rsid w:val="00B15964"/>
    <w:rsid w:val="00B15A08"/>
    <w:rsid w:val="00B15B14"/>
    <w:rsid w:val="00B15E7A"/>
    <w:rsid w:val="00B15F04"/>
    <w:rsid w:val="00B15F19"/>
    <w:rsid w:val="00B160A1"/>
    <w:rsid w:val="00B16280"/>
    <w:rsid w:val="00B16626"/>
    <w:rsid w:val="00B16933"/>
    <w:rsid w:val="00B16AB7"/>
    <w:rsid w:val="00B16D7B"/>
    <w:rsid w:val="00B17039"/>
    <w:rsid w:val="00B1719C"/>
    <w:rsid w:val="00B171DE"/>
    <w:rsid w:val="00B173A6"/>
    <w:rsid w:val="00B174B6"/>
    <w:rsid w:val="00B174FB"/>
    <w:rsid w:val="00B17576"/>
    <w:rsid w:val="00B175AA"/>
    <w:rsid w:val="00B17702"/>
    <w:rsid w:val="00B1780D"/>
    <w:rsid w:val="00B179B3"/>
    <w:rsid w:val="00B17A8C"/>
    <w:rsid w:val="00B17CEE"/>
    <w:rsid w:val="00B17E80"/>
    <w:rsid w:val="00B200B5"/>
    <w:rsid w:val="00B205EB"/>
    <w:rsid w:val="00B2081D"/>
    <w:rsid w:val="00B20893"/>
    <w:rsid w:val="00B20CAD"/>
    <w:rsid w:val="00B20E84"/>
    <w:rsid w:val="00B210A4"/>
    <w:rsid w:val="00B210A8"/>
    <w:rsid w:val="00B21217"/>
    <w:rsid w:val="00B212CE"/>
    <w:rsid w:val="00B21310"/>
    <w:rsid w:val="00B213B7"/>
    <w:rsid w:val="00B215B6"/>
    <w:rsid w:val="00B215F4"/>
    <w:rsid w:val="00B21693"/>
    <w:rsid w:val="00B2178D"/>
    <w:rsid w:val="00B2187F"/>
    <w:rsid w:val="00B21A54"/>
    <w:rsid w:val="00B21CFA"/>
    <w:rsid w:val="00B21D0A"/>
    <w:rsid w:val="00B21D58"/>
    <w:rsid w:val="00B21EA5"/>
    <w:rsid w:val="00B21EBA"/>
    <w:rsid w:val="00B21ED2"/>
    <w:rsid w:val="00B22110"/>
    <w:rsid w:val="00B22351"/>
    <w:rsid w:val="00B224FA"/>
    <w:rsid w:val="00B22848"/>
    <w:rsid w:val="00B22855"/>
    <w:rsid w:val="00B2292C"/>
    <w:rsid w:val="00B22A30"/>
    <w:rsid w:val="00B22EF5"/>
    <w:rsid w:val="00B22F3E"/>
    <w:rsid w:val="00B22F93"/>
    <w:rsid w:val="00B232EB"/>
    <w:rsid w:val="00B2347B"/>
    <w:rsid w:val="00B234CC"/>
    <w:rsid w:val="00B23750"/>
    <w:rsid w:val="00B23896"/>
    <w:rsid w:val="00B23A23"/>
    <w:rsid w:val="00B23E48"/>
    <w:rsid w:val="00B23FFA"/>
    <w:rsid w:val="00B240C9"/>
    <w:rsid w:val="00B240EE"/>
    <w:rsid w:val="00B241A1"/>
    <w:rsid w:val="00B24716"/>
    <w:rsid w:val="00B248E2"/>
    <w:rsid w:val="00B24A17"/>
    <w:rsid w:val="00B24CE6"/>
    <w:rsid w:val="00B24DE8"/>
    <w:rsid w:val="00B250B4"/>
    <w:rsid w:val="00B251A6"/>
    <w:rsid w:val="00B252CF"/>
    <w:rsid w:val="00B254F4"/>
    <w:rsid w:val="00B25605"/>
    <w:rsid w:val="00B25CB9"/>
    <w:rsid w:val="00B25CE5"/>
    <w:rsid w:val="00B25D1B"/>
    <w:rsid w:val="00B25E69"/>
    <w:rsid w:val="00B26150"/>
    <w:rsid w:val="00B2626B"/>
    <w:rsid w:val="00B262B0"/>
    <w:rsid w:val="00B2637B"/>
    <w:rsid w:val="00B2640E"/>
    <w:rsid w:val="00B26474"/>
    <w:rsid w:val="00B267EE"/>
    <w:rsid w:val="00B2687F"/>
    <w:rsid w:val="00B26B42"/>
    <w:rsid w:val="00B26D24"/>
    <w:rsid w:val="00B26E19"/>
    <w:rsid w:val="00B270AD"/>
    <w:rsid w:val="00B2719E"/>
    <w:rsid w:val="00B272E3"/>
    <w:rsid w:val="00B277AA"/>
    <w:rsid w:val="00B27891"/>
    <w:rsid w:val="00B27927"/>
    <w:rsid w:val="00B27CCB"/>
    <w:rsid w:val="00B27E10"/>
    <w:rsid w:val="00B27F92"/>
    <w:rsid w:val="00B30468"/>
    <w:rsid w:val="00B305A2"/>
    <w:rsid w:val="00B305B0"/>
    <w:rsid w:val="00B305E2"/>
    <w:rsid w:val="00B306D3"/>
    <w:rsid w:val="00B30822"/>
    <w:rsid w:val="00B309DE"/>
    <w:rsid w:val="00B30C0D"/>
    <w:rsid w:val="00B30CFE"/>
    <w:rsid w:val="00B30F68"/>
    <w:rsid w:val="00B3101F"/>
    <w:rsid w:val="00B31E2E"/>
    <w:rsid w:val="00B320D8"/>
    <w:rsid w:val="00B321B1"/>
    <w:rsid w:val="00B3256B"/>
    <w:rsid w:val="00B325F7"/>
    <w:rsid w:val="00B3294E"/>
    <w:rsid w:val="00B32B3B"/>
    <w:rsid w:val="00B32B7F"/>
    <w:rsid w:val="00B3312B"/>
    <w:rsid w:val="00B3333A"/>
    <w:rsid w:val="00B333C3"/>
    <w:rsid w:val="00B334E0"/>
    <w:rsid w:val="00B339E6"/>
    <w:rsid w:val="00B33BF4"/>
    <w:rsid w:val="00B33E56"/>
    <w:rsid w:val="00B33F5A"/>
    <w:rsid w:val="00B34039"/>
    <w:rsid w:val="00B34088"/>
    <w:rsid w:val="00B34275"/>
    <w:rsid w:val="00B342F5"/>
    <w:rsid w:val="00B345CB"/>
    <w:rsid w:val="00B347DB"/>
    <w:rsid w:val="00B349E7"/>
    <w:rsid w:val="00B34BB4"/>
    <w:rsid w:val="00B34E57"/>
    <w:rsid w:val="00B34E6D"/>
    <w:rsid w:val="00B34F95"/>
    <w:rsid w:val="00B350F3"/>
    <w:rsid w:val="00B35244"/>
    <w:rsid w:val="00B354D3"/>
    <w:rsid w:val="00B357DB"/>
    <w:rsid w:val="00B35945"/>
    <w:rsid w:val="00B3595B"/>
    <w:rsid w:val="00B359C6"/>
    <w:rsid w:val="00B35A9B"/>
    <w:rsid w:val="00B35AC3"/>
    <w:rsid w:val="00B35C24"/>
    <w:rsid w:val="00B35DAE"/>
    <w:rsid w:val="00B35F3A"/>
    <w:rsid w:val="00B360A8"/>
    <w:rsid w:val="00B3616E"/>
    <w:rsid w:val="00B36182"/>
    <w:rsid w:val="00B36336"/>
    <w:rsid w:val="00B36364"/>
    <w:rsid w:val="00B3639F"/>
    <w:rsid w:val="00B364D0"/>
    <w:rsid w:val="00B365CF"/>
    <w:rsid w:val="00B365EE"/>
    <w:rsid w:val="00B3667C"/>
    <w:rsid w:val="00B36B7D"/>
    <w:rsid w:val="00B36C5F"/>
    <w:rsid w:val="00B36C77"/>
    <w:rsid w:val="00B36C86"/>
    <w:rsid w:val="00B36FB9"/>
    <w:rsid w:val="00B370E9"/>
    <w:rsid w:val="00B370F3"/>
    <w:rsid w:val="00B371ED"/>
    <w:rsid w:val="00B37574"/>
    <w:rsid w:val="00B379B5"/>
    <w:rsid w:val="00B37A9A"/>
    <w:rsid w:val="00B37AD7"/>
    <w:rsid w:val="00B37FDE"/>
    <w:rsid w:val="00B40111"/>
    <w:rsid w:val="00B4026B"/>
    <w:rsid w:val="00B403AE"/>
    <w:rsid w:val="00B404C8"/>
    <w:rsid w:val="00B4065B"/>
    <w:rsid w:val="00B40684"/>
    <w:rsid w:val="00B40791"/>
    <w:rsid w:val="00B407C0"/>
    <w:rsid w:val="00B40828"/>
    <w:rsid w:val="00B40B6A"/>
    <w:rsid w:val="00B40C7D"/>
    <w:rsid w:val="00B40EA1"/>
    <w:rsid w:val="00B41201"/>
    <w:rsid w:val="00B412DE"/>
    <w:rsid w:val="00B4137F"/>
    <w:rsid w:val="00B4188C"/>
    <w:rsid w:val="00B418E1"/>
    <w:rsid w:val="00B41A33"/>
    <w:rsid w:val="00B41E53"/>
    <w:rsid w:val="00B41F01"/>
    <w:rsid w:val="00B41FD4"/>
    <w:rsid w:val="00B421AA"/>
    <w:rsid w:val="00B423A5"/>
    <w:rsid w:val="00B42441"/>
    <w:rsid w:val="00B424C4"/>
    <w:rsid w:val="00B425AE"/>
    <w:rsid w:val="00B42886"/>
    <w:rsid w:val="00B4293E"/>
    <w:rsid w:val="00B42B13"/>
    <w:rsid w:val="00B42C39"/>
    <w:rsid w:val="00B4308A"/>
    <w:rsid w:val="00B43551"/>
    <w:rsid w:val="00B435EB"/>
    <w:rsid w:val="00B43664"/>
    <w:rsid w:val="00B43668"/>
    <w:rsid w:val="00B43BEB"/>
    <w:rsid w:val="00B440C0"/>
    <w:rsid w:val="00B4410E"/>
    <w:rsid w:val="00B443B2"/>
    <w:rsid w:val="00B4467E"/>
    <w:rsid w:val="00B44734"/>
    <w:rsid w:val="00B44980"/>
    <w:rsid w:val="00B44D05"/>
    <w:rsid w:val="00B44D11"/>
    <w:rsid w:val="00B44D72"/>
    <w:rsid w:val="00B44EE4"/>
    <w:rsid w:val="00B44FBA"/>
    <w:rsid w:val="00B4508A"/>
    <w:rsid w:val="00B45233"/>
    <w:rsid w:val="00B452E6"/>
    <w:rsid w:val="00B4543B"/>
    <w:rsid w:val="00B45468"/>
    <w:rsid w:val="00B45483"/>
    <w:rsid w:val="00B4549E"/>
    <w:rsid w:val="00B454F6"/>
    <w:rsid w:val="00B4595D"/>
    <w:rsid w:val="00B4598C"/>
    <w:rsid w:val="00B45AD7"/>
    <w:rsid w:val="00B45B17"/>
    <w:rsid w:val="00B45C4A"/>
    <w:rsid w:val="00B45CAE"/>
    <w:rsid w:val="00B45E4D"/>
    <w:rsid w:val="00B45FBD"/>
    <w:rsid w:val="00B4604E"/>
    <w:rsid w:val="00B461C5"/>
    <w:rsid w:val="00B464E0"/>
    <w:rsid w:val="00B46658"/>
    <w:rsid w:val="00B4694F"/>
    <w:rsid w:val="00B469DC"/>
    <w:rsid w:val="00B46D43"/>
    <w:rsid w:val="00B46F0E"/>
    <w:rsid w:val="00B4701D"/>
    <w:rsid w:val="00B47050"/>
    <w:rsid w:val="00B47442"/>
    <w:rsid w:val="00B47526"/>
    <w:rsid w:val="00B47932"/>
    <w:rsid w:val="00B47979"/>
    <w:rsid w:val="00B47E10"/>
    <w:rsid w:val="00B47EB2"/>
    <w:rsid w:val="00B50050"/>
    <w:rsid w:val="00B50270"/>
    <w:rsid w:val="00B5031D"/>
    <w:rsid w:val="00B505C9"/>
    <w:rsid w:val="00B505DC"/>
    <w:rsid w:val="00B508A9"/>
    <w:rsid w:val="00B509F5"/>
    <w:rsid w:val="00B50A9C"/>
    <w:rsid w:val="00B50BA5"/>
    <w:rsid w:val="00B50D0B"/>
    <w:rsid w:val="00B51087"/>
    <w:rsid w:val="00B510AB"/>
    <w:rsid w:val="00B51155"/>
    <w:rsid w:val="00B51239"/>
    <w:rsid w:val="00B515ED"/>
    <w:rsid w:val="00B51773"/>
    <w:rsid w:val="00B51863"/>
    <w:rsid w:val="00B51D7E"/>
    <w:rsid w:val="00B51E5D"/>
    <w:rsid w:val="00B5246B"/>
    <w:rsid w:val="00B52511"/>
    <w:rsid w:val="00B525D3"/>
    <w:rsid w:val="00B528DE"/>
    <w:rsid w:val="00B529D2"/>
    <w:rsid w:val="00B52A51"/>
    <w:rsid w:val="00B52B86"/>
    <w:rsid w:val="00B52B89"/>
    <w:rsid w:val="00B52C69"/>
    <w:rsid w:val="00B52FA8"/>
    <w:rsid w:val="00B52FF3"/>
    <w:rsid w:val="00B531B3"/>
    <w:rsid w:val="00B531FD"/>
    <w:rsid w:val="00B53350"/>
    <w:rsid w:val="00B533E0"/>
    <w:rsid w:val="00B534FB"/>
    <w:rsid w:val="00B536EE"/>
    <w:rsid w:val="00B537EE"/>
    <w:rsid w:val="00B53832"/>
    <w:rsid w:val="00B538C3"/>
    <w:rsid w:val="00B53A23"/>
    <w:rsid w:val="00B53AAE"/>
    <w:rsid w:val="00B53C69"/>
    <w:rsid w:val="00B53CDB"/>
    <w:rsid w:val="00B53D91"/>
    <w:rsid w:val="00B5425D"/>
    <w:rsid w:val="00B54372"/>
    <w:rsid w:val="00B545F8"/>
    <w:rsid w:val="00B54986"/>
    <w:rsid w:val="00B54B17"/>
    <w:rsid w:val="00B54C18"/>
    <w:rsid w:val="00B54C55"/>
    <w:rsid w:val="00B54F14"/>
    <w:rsid w:val="00B54FB3"/>
    <w:rsid w:val="00B553A9"/>
    <w:rsid w:val="00B553C3"/>
    <w:rsid w:val="00B55744"/>
    <w:rsid w:val="00B559A6"/>
    <w:rsid w:val="00B55B00"/>
    <w:rsid w:val="00B55C2B"/>
    <w:rsid w:val="00B55C77"/>
    <w:rsid w:val="00B55D48"/>
    <w:rsid w:val="00B55EC7"/>
    <w:rsid w:val="00B55EF2"/>
    <w:rsid w:val="00B55F4E"/>
    <w:rsid w:val="00B56096"/>
    <w:rsid w:val="00B5643B"/>
    <w:rsid w:val="00B5645D"/>
    <w:rsid w:val="00B56682"/>
    <w:rsid w:val="00B569D2"/>
    <w:rsid w:val="00B56AF7"/>
    <w:rsid w:val="00B56CB6"/>
    <w:rsid w:val="00B56EDF"/>
    <w:rsid w:val="00B56EED"/>
    <w:rsid w:val="00B5715B"/>
    <w:rsid w:val="00B57234"/>
    <w:rsid w:val="00B57562"/>
    <w:rsid w:val="00B57853"/>
    <w:rsid w:val="00B579C5"/>
    <w:rsid w:val="00B57A61"/>
    <w:rsid w:val="00B57B43"/>
    <w:rsid w:val="00B57B88"/>
    <w:rsid w:val="00B57C89"/>
    <w:rsid w:val="00B57EDD"/>
    <w:rsid w:val="00B57FC5"/>
    <w:rsid w:val="00B60502"/>
    <w:rsid w:val="00B605C2"/>
    <w:rsid w:val="00B60628"/>
    <w:rsid w:val="00B60737"/>
    <w:rsid w:val="00B60840"/>
    <w:rsid w:val="00B6088B"/>
    <w:rsid w:val="00B60A8D"/>
    <w:rsid w:val="00B60E78"/>
    <w:rsid w:val="00B61154"/>
    <w:rsid w:val="00B61382"/>
    <w:rsid w:val="00B616ED"/>
    <w:rsid w:val="00B61717"/>
    <w:rsid w:val="00B61723"/>
    <w:rsid w:val="00B6172A"/>
    <w:rsid w:val="00B6180A"/>
    <w:rsid w:val="00B61875"/>
    <w:rsid w:val="00B6191D"/>
    <w:rsid w:val="00B61AE8"/>
    <w:rsid w:val="00B61BB9"/>
    <w:rsid w:val="00B61C1D"/>
    <w:rsid w:val="00B62016"/>
    <w:rsid w:val="00B62213"/>
    <w:rsid w:val="00B623E0"/>
    <w:rsid w:val="00B62434"/>
    <w:rsid w:val="00B6263D"/>
    <w:rsid w:val="00B62804"/>
    <w:rsid w:val="00B6283D"/>
    <w:rsid w:val="00B6298B"/>
    <w:rsid w:val="00B629A7"/>
    <w:rsid w:val="00B629E6"/>
    <w:rsid w:val="00B62ABE"/>
    <w:rsid w:val="00B62C92"/>
    <w:rsid w:val="00B62DC0"/>
    <w:rsid w:val="00B63244"/>
    <w:rsid w:val="00B6331E"/>
    <w:rsid w:val="00B634BC"/>
    <w:rsid w:val="00B634FA"/>
    <w:rsid w:val="00B63665"/>
    <w:rsid w:val="00B638C8"/>
    <w:rsid w:val="00B63A7A"/>
    <w:rsid w:val="00B63A7E"/>
    <w:rsid w:val="00B63D0D"/>
    <w:rsid w:val="00B6415A"/>
    <w:rsid w:val="00B64439"/>
    <w:rsid w:val="00B64488"/>
    <w:rsid w:val="00B64601"/>
    <w:rsid w:val="00B647EC"/>
    <w:rsid w:val="00B649BD"/>
    <w:rsid w:val="00B64A17"/>
    <w:rsid w:val="00B64AAF"/>
    <w:rsid w:val="00B64B72"/>
    <w:rsid w:val="00B64B85"/>
    <w:rsid w:val="00B64BF4"/>
    <w:rsid w:val="00B64D29"/>
    <w:rsid w:val="00B64DF6"/>
    <w:rsid w:val="00B64E4F"/>
    <w:rsid w:val="00B64E8F"/>
    <w:rsid w:val="00B64E96"/>
    <w:rsid w:val="00B65179"/>
    <w:rsid w:val="00B6519F"/>
    <w:rsid w:val="00B651C7"/>
    <w:rsid w:val="00B6574F"/>
    <w:rsid w:val="00B657A8"/>
    <w:rsid w:val="00B65D25"/>
    <w:rsid w:val="00B65F6E"/>
    <w:rsid w:val="00B66017"/>
    <w:rsid w:val="00B660BF"/>
    <w:rsid w:val="00B662A4"/>
    <w:rsid w:val="00B66324"/>
    <w:rsid w:val="00B6636C"/>
    <w:rsid w:val="00B664F9"/>
    <w:rsid w:val="00B66519"/>
    <w:rsid w:val="00B66552"/>
    <w:rsid w:val="00B666C0"/>
    <w:rsid w:val="00B66713"/>
    <w:rsid w:val="00B66722"/>
    <w:rsid w:val="00B667B3"/>
    <w:rsid w:val="00B66A39"/>
    <w:rsid w:val="00B66A3A"/>
    <w:rsid w:val="00B66B73"/>
    <w:rsid w:val="00B66ECC"/>
    <w:rsid w:val="00B6730D"/>
    <w:rsid w:val="00B67323"/>
    <w:rsid w:val="00B6789A"/>
    <w:rsid w:val="00B67A13"/>
    <w:rsid w:val="00B67D49"/>
    <w:rsid w:val="00B7061B"/>
    <w:rsid w:val="00B70645"/>
    <w:rsid w:val="00B706A2"/>
    <w:rsid w:val="00B7080A"/>
    <w:rsid w:val="00B709A7"/>
    <w:rsid w:val="00B70C3F"/>
    <w:rsid w:val="00B70CB2"/>
    <w:rsid w:val="00B70F10"/>
    <w:rsid w:val="00B70F44"/>
    <w:rsid w:val="00B71149"/>
    <w:rsid w:val="00B71262"/>
    <w:rsid w:val="00B7131C"/>
    <w:rsid w:val="00B7144B"/>
    <w:rsid w:val="00B719CF"/>
    <w:rsid w:val="00B71A51"/>
    <w:rsid w:val="00B71A75"/>
    <w:rsid w:val="00B71AB1"/>
    <w:rsid w:val="00B71E49"/>
    <w:rsid w:val="00B72244"/>
    <w:rsid w:val="00B72499"/>
    <w:rsid w:val="00B725D3"/>
    <w:rsid w:val="00B725DC"/>
    <w:rsid w:val="00B7262E"/>
    <w:rsid w:val="00B72816"/>
    <w:rsid w:val="00B728FF"/>
    <w:rsid w:val="00B7291F"/>
    <w:rsid w:val="00B72B03"/>
    <w:rsid w:val="00B72BDD"/>
    <w:rsid w:val="00B72C76"/>
    <w:rsid w:val="00B72DD6"/>
    <w:rsid w:val="00B72DF3"/>
    <w:rsid w:val="00B72DF4"/>
    <w:rsid w:val="00B72E82"/>
    <w:rsid w:val="00B72F2D"/>
    <w:rsid w:val="00B72F5F"/>
    <w:rsid w:val="00B72F96"/>
    <w:rsid w:val="00B73397"/>
    <w:rsid w:val="00B7342B"/>
    <w:rsid w:val="00B73BA0"/>
    <w:rsid w:val="00B73D3B"/>
    <w:rsid w:val="00B73DD5"/>
    <w:rsid w:val="00B73F94"/>
    <w:rsid w:val="00B740C7"/>
    <w:rsid w:val="00B74280"/>
    <w:rsid w:val="00B746B8"/>
    <w:rsid w:val="00B74733"/>
    <w:rsid w:val="00B7473A"/>
    <w:rsid w:val="00B74766"/>
    <w:rsid w:val="00B748BD"/>
    <w:rsid w:val="00B74941"/>
    <w:rsid w:val="00B74A30"/>
    <w:rsid w:val="00B74C78"/>
    <w:rsid w:val="00B74CBE"/>
    <w:rsid w:val="00B7545B"/>
    <w:rsid w:val="00B754FF"/>
    <w:rsid w:val="00B75504"/>
    <w:rsid w:val="00B755E3"/>
    <w:rsid w:val="00B75706"/>
    <w:rsid w:val="00B7573C"/>
    <w:rsid w:val="00B75805"/>
    <w:rsid w:val="00B7597A"/>
    <w:rsid w:val="00B75AB7"/>
    <w:rsid w:val="00B75BA9"/>
    <w:rsid w:val="00B75D65"/>
    <w:rsid w:val="00B75DA6"/>
    <w:rsid w:val="00B76009"/>
    <w:rsid w:val="00B760AF"/>
    <w:rsid w:val="00B76169"/>
    <w:rsid w:val="00B76524"/>
    <w:rsid w:val="00B765C4"/>
    <w:rsid w:val="00B7672B"/>
    <w:rsid w:val="00B7679B"/>
    <w:rsid w:val="00B768E5"/>
    <w:rsid w:val="00B7696B"/>
    <w:rsid w:val="00B76A41"/>
    <w:rsid w:val="00B76CE1"/>
    <w:rsid w:val="00B76CF3"/>
    <w:rsid w:val="00B76CFB"/>
    <w:rsid w:val="00B76DDF"/>
    <w:rsid w:val="00B76EE7"/>
    <w:rsid w:val="00B76FBE"/>
    <w:rsid w:val="00B7708F"/>
    <w:rsid w:val="00B77213"/>
    <w:rsid w:val="00B7729E"/>
    <w:rsid w:val="00B772AA"/>
    <w:rsid w:val="00B77586"/>
    <w:rsid w:val="00B776AC"/>
    <w:rsid w:val="00B77702"/>
    <w:rsid w:val="00B77B5B"/>
    <w:rsid w:val="00B77D23"/>
    <w:rsid w:val="00B77F8D"/>
    <w:rsid w:val="00B80506"/>
    <w:rsid w:val="00B80594"/>
    <w:rsid w:val="00B80715"/>
    <w:rsid w:val="00B8074F"/>
    <w:rsid w:val="00B807B7"/>
    <w:rsid w:val="00B80D13"/>
    <w:rsid w:val="00B81397"/>
    <w:rsid w:val="00B8139D"/>
    <w:rsid w:val="00B814EC"/>
    <w:rsid w:val="00B81586"/>
    <w:rsid w:val="00B816A7"/>
    <w:rsid w:val="00B817B7"/>
    <w:rsid w:val="00B81B81"/>
    <w:rsid w:val="00B81BFB"/>
    <w:rsid w:val="00B81C2C"/>
    <w:rsid w:val="00B81EC8"/>
    <w:rsid w:val="00B8215A"/>
    <w:rsid w:val="00B8223C"/>
    <w:rsid w:val="00B82531"/>
    <w:rsid w:val="00B8255B"/>
    <w:rsid w:val="00B8259B"/>
    <w:rsid w:val="00B825C6"/>
    <w:rsid w:val="00B828C0"/>
    <w:rsid w:val="00B82A29"/>
    <w:rsid w:val="00B82AA8"/>
    <w:rsid w:val="00B82AD4"/>
    <w:rsid w:val="00B82BC5"/>
    <w:rsid w:val="00B82CD7"/>
    <w:rsid w:val="00B82D0C"/>
    <w:rsid w:val="00B82E65"/>
    <w:rsid w:val="00B8309E"/>
    <w:rsid w:val="00B83114"/>
    <w:rsid w:val="00B8322B"/>
    <w:rsid w:val="00B83343"/>
    <w:rsid w:val="00B8336D"/>
    <w:rsid w:val="00B833DB"/>
    <w:rsid w:val="00B8347C"/>
    <w:rsid w:val="00B8359B"/>
    <w:rsid w:val="00B83620"/>
    <w:rsid w:val="00B836F5"/>
    <w:rsid w:val="00B83937"/>
    <w:rsid w:val="00B83A3E"/>
    <w:rsid w:val="00B83AB5"/>
    <w:rsid w:val="00B83B65"/>
    <w:rsid w:val="00B83BE0"/>
    <w:rsid w:val="00B83C5B"/>
    <w:rsid w:val="00B83CCF"/>
    <w:rsid w:val="00B83EDF"/>
    <w:rsid w:val="00B83F00"/>
    <w:rsid w:val="00B84138"/>
    <w:rsid w:val="00B84186"/>
    <w:rsid w:val="00B841CE"/>
    <w:rsid w:val="00B841ED"/>
    <w:rsid w:val="00B84500"/>
    <w:rsid w:val="00B84697"/>
    <w:rsid w:val="00B84708"/>
    <w:rsid w:val="00B84733"/>
    <w:rsid w:val="00B848F5"/>
    <w:rsid w:val="00B84941"/>
    <w:rsid w:val="00B84ECE"/>
    <w:rsid w:val="00B84F4A"/>
    <w:rsid w:val="00B8521F"/>
    <w:rsid w:val="00B856F4"/>
    <w:rsid w:val="00B858B1"/>
    <w:rsid w:val="00B85A57"/>
    <w:rsid w:val="00B85A79"/>
    <w:rsid w:val="00B85A98"/>
    <w:rsid w:val="00B85AE7"/>
    <w:rsid w:val="00B85DAE"/>
    <w:rsid w:val="00B85E31"/>
    <w:rsid w:val="00B85EA4"/>
    <w:rsid w:val="00B85F6B"/>
    <w:rsid w:val="00B8602C"/>
    <w:rsid w:val="00B8639C"/>
    <w:rsid w:val="00B86479"/>
    <w:rsid w:val="00B864BB"/>
    <w:rsid w:val="00B86AD1"/>
    <w:rsid w:val="00B86B79"/>
    <w:rsid w:val="00B86BC2"/>
    <w:rsid w:val="00B86C63"/>
    <w:rsid w:val="00B86E40"/>
    <w:rsid w:val="00B872AF"/>
    <w:rsid w:val="00B873F3"/>
    <w:rsid w:val="00B87448"/>
    <w:rsid w:val="00B87800"/>
    <w:rsid w:val="00B87808"/>
    <w:rsid w:val="00B87AB7"/>
    <w:rsid w:val="00B87EE8"/>
    <w:rsid w:val="00B87FD9"/>
    <w:rsid w:val="00B9016B"/>
    <w:rsid w:val="00B902BE"/>
    <w:rsid w:val="00B902D5"/>
    <w:rsid w:val="00B9046D"/>
    <w:rsid w:val="00B90AF2"/>
    <w:rsid w:val="00B90D06"/>
    <w:rsid w:val="00B90E09"/>
    <w:rsid w:val="00B90FF1"/>
    <w:rsid w:val="00B911EA"/>
    <w:rsid w:val="00B91297"/>
    <w:rsid w:val="00B915F1"/>
    <w:rsid w:val="00B91A42"/>
    <w:rsid w:val="00B91BAA"/>
    <w:rsid w:val="00B92070"/>
    <w:rsid w:val="00B92093"/>
    <w:rsid w:val="00B9244D"/>
    <w:rsid w:val="00B92460"/>
    <w:rsid w:val="00B926D6"/>
    <w:rsid w:val="00B926E1"/>
    <w:rsid w:val="00B92AEC"/>
    <w:rsid w:val="00B92C7A"/>
    <w:rsid w:val="00B92C92"/>
    <w:rsid w:val="00B92D12"/>
    <w:rsid w:val="00B9308A"/>
    <w:rsid w:val="00B930E7"/>
    <w:rsid w:val="00B9352A"/>
    <w:rsid w:val="00B93537"/>
    <w:rsid w:val="00B9358F"/>
    <w:rsid w:val="00B93A4F"/>
    <w:rsid w:val="00B93D2C"/>
    <w:rsid w:val="00B93F1E"/>
    <w:rsid w:val="00B93FEE"/>
    <w:rsid w:val="00B941D2"/>
    <w:rsid w:val="00B94346"/>
    <w:rsid w:val="00B94410"/>
    <w:rsid w:val="00B944D8"/>
    <w:rsid w:val="00B94663"/>
    <w:rsid w:val="00B9479E"/>
    <w:rsid w:val="00B94B8B"/>
    <w:rsid w:val="00B94CB8"/>
    <w:rsid w:val="00B94E5D"/>
    <w:rsid w:val="00B950DA"/>
    <w:rsid w:val="00B95121"/>
    <w:rsid w:val="00B951FE"/>
    <w:rsid w:val="00B9530D"/>
    <w:rsid w:val="00B953C1"/>
    <w:rsid w:val="00B953EA"/>
    <w:rsid w:val="00B954D8"/>
    <w:rsid w:val="00B957D6"/>
    <w:rsid w:val="00B958AD"/>
    <w:rsid w:val="00B95C44"/>
    <w:rsid w:val="00B95C66"/>
    <w:rsid w:val="00B95D55"/>
    <w:rsid w:val="00B95E7C"/>
    <w:rsid w:val="00B95F20"/>
    <w:rsid w:val="00B96058"/>
    <w:rsid w:val="00B9614E"/>
    <w:rsid w:val="00B96201"/>
    <w:rsid w:val="00B96502"/>
    <w:rsid w:val="00B9656D"/>
    <w:rsid w:val="00B9679B"/>
    <w:rsid w:val="00B9688F"/>
    <w:rsid w:val="00B96896"/>
    <w:rsid w:val="00B96950"/>
    <w:rsid w:val="00B96AD9"/>
    <w:rsid w:val="00B96D24"/>
    <w:rsid w:val="00B96F79"/>
    <w:rsid w:val="00B97001"/>
    <w:rsid w:val="00B972CA"/>
    <w:rsid w:val="00B97356"/>
    <w:rsid w:val="00B9780E"/>
    <w:rsid w:val="00B978EF"/>
    <w:rsid w:val="00B97B5D"/>
    <w:rsid w:val="00BA006F"/>
    <w:rsid w:val="00BA014D"/>
    <w:rsid w:val="00BA050E"/>
    <w:rsid w:val="00BA0534"/>
    <w:rsid w:val="00BA0B82"/>
    <w:rsid w:val="00BA0EA5"/>
    <w:rsid w:val="00BA0FAE"/>
    <w:rsid w:val="00BA1240"/>
    <w:rsid w:val="00BA1349"/>
    <w:rsid w:val="00BA13A0"/>
    <w:rsid w:val="00BA16E5"/>
    <w:rsid w:val="00BA1910"/>
    <w:rsid w:val="00BA195D"/>
    <w:rsid w:val="00BA1AD5"/>
    <w:rsid w:val="00BA1B13"/>
    <w:rsid w:val="00BA1F11"/>
    <w:rsid w:val="00BA22D5"/>
    <w:rsid w:val="00BA2496"/>
    <w:rsid w:val="00BA24CC"/>
    <w:rsid w:val="00BA263B"/>
    <w:rsid w:val="00BA2773"/>
    <w:rsid w:val="00BA2B30"/>
    <w:rsid w:val="00BA2D92"/>
    <w:rsid w:val="00BA2E32"/>
    <w:rsid w:val="00BA2E48"/>
    <w:rsid w:val="00BA3355"/>
    <w:rsid w:val="00BA3407"/>
    <w:rsid w:val="00BA3410"/>
    <w:rsid w:val="00BA3452"/>
    <w:rsid w:val="00BA34A2"/>
    <w:rsid w:val="00BA3541"/>
    <w:rsid w:val="00BA37FE"/>
    <w:rsid w:val="00BA38B1"/>
    <w:rsid w:val="00BA3A14"/>
    <w:rsid w:val="00BA3B37"/>
    <w:rsid w:val="00BA3B60"/>
    <w:rsid w:val="00BA3C00"/>
    <w:rsid w:val="00BA3CB3"/>
    <w:rsid w:val="00BA3D3C"/>
    <w:rsid w:val="00BA3D46"/>
    <w:rsid w:val="00BA4038"/>
    <w:rsid w:val="00BA40A1"/>
    <w:rsid w:val="00BA40F3"/>
    <w:rsid w:val="00BA4ABA"/>
    <w:rsid w:val="00BA4AD8"/>
    <w:rsid w:val="00BA4DEE"/>
    <w:rsid w:val="00BA4F94"/>
    <w:rsid w:val="00BA51B1"/>
    <w:rsid w:val="00BA51E6"/>
    <w:rsid w:val="00BA5315"/>
    <w:rsid w:val="00BA536A"/>
    <w:rsid w:val="00BA5517"/>
    <w:rsid w:val="00BA57B2"/>
    <w:rsid w:val="00BA5859"/>
    <w:rsid w:val="00BA5D13"/>
    <w:rsid w:val="00BA5E24"/>
    <w:rsid w:val="00BA5E5D"/>
    <w:rsid w:val="00BA60BB"/>
    <w:rsid w:val="00BA6154"/>
    <w:rsid w:val="00BA623F"/>
    <w:rsid w:val="00BA6546"/>
    <w:rsid w:val="00BA675B"/>
    <w:rsid w:val="00BA6969"/>
    <w:rsid w:val="00BA6B96"/>
    <w:rsid w:val="00BA6B9C"/>
    <w:rsid w:val="00BA6BE6"/>
    <w:rsid w:val="00BA6D10"/>
    <w:rsid w:val="00BA6D29"/>
    <w:rsid w:val="00BA6F6F"/>
    <w:rsid w:val="00BA726D"/>
    <w:rsid w:val="00BA74AF"/>
    <w:rsid w:val="00BA753B"/>
    <w:rsid w:val="00BA7575"/>
    <w:rsid w:val="00BA76F8"/>
    <w:rsid w:val="00BA7910"/>
    <w:rsid w:val="00BA7B0E"/>
    <w:rsid w:val="00BA7C76"/>
    <w:rsid w:val="00BA7EEB"/>
    <w:rsid w:val="00BB008F"/>
    <w:rsid w:val="00BB0223"/>
    <w:rsid w:val="00BB0256"/>
    <w:rsid w:val="00BB0270"/>
    <w:rsid w:val="00BB0307"/>
    <w:rsid w:val="00BB037C"/>
    <w:rsid w:val="00BB069C"/>
    <w:rsid w:val="00BB06EE"/>
    <w:rsid w:val="00BB089A"/>
    <w:rsid w:val="00BB0A00"/>
    <w:rsid w:val="00BB0A2C"/>
    <w:rsid w:val="00BB0A92"/>
    <w:rsid w:val="00BB0B0E"/>
    <w:rsid w:val="00BB0B16"/>
    <w:rsid w:val="00BB0B1E"/>
    <w:rsid w:val="00BB0BC7"/>
    <w:rsid w:val="00BB0C53"/>
    <w:rsid w:val="00BB0CDC"/>
    <w:rsid w:val="00BB0F57"/>
    <w:rsid w:val="00BB0F5A"/>
    <w:rsid w:val="00BB1031"/>
    <w:rsid w:val="00BB1052"/>
    <w:rsid w:val="00BB13D5"/>
    <w:rsid w:val="00BB171C"/>
    <w:rsid w:val="00BB1855"/>
    <w:rsid w:val="00BB1866"/>
    <w:rsid w:val="00BB1B3E"/>
    <w:rsid w:val="00BB1D16"/>
    <w:rsid w:val="00BB2090"/>
    <w:rsid w:val="00BB248E"/>
    <w:rsid w:val="00BB2532"/>
    <w:rsid w:val="00BB26A7"/>
    <w:rsid w:val="00BB2F68"/>
    <w:rsid w:val="00BB2F9D"/>
    <w:rsid w:val="00BB311C"/>
    <w:rsid w:val="00BB313A"/>
    <w:rsid w:val="00BB3185"/>
    <w:rsid w:val="00BB328D"/>
    <w:rsid w:val="00BB34CF"/>
    <w:rsid w:val="00BB3550"/>
    <w:rsid w:val="00BB35AC"/>
    <w:rsid w:val="00BB3E42"/>
    <w:rsid w:val="00BB406B"/>
    <w:rsid w:val="00BB4174"/>
    <w:rsid w:val="00BB448A"/>
    <w:rsid w:val="00BB4786"/>
    <w:rsid w:val="00BB49E3"/>
    <w:rsid w:val="00BB4B2C"/>
    <w:rsid w:val="00BB4C30"/>
    <w:rsid w:val="00BB4D14"/>
    <w:rsid w:val="00BB507D"/>
    <w:rsid w:val="00BB5093"/>
    <w:rsid w:val="00BB51D3"/>
    <w:rsid w:val="00BB52EA"/>
    <w:rsid w:val="00BB53CA"/>
    <w:rsid w:val="00BB57FB"/>
    <w:rsid w:val="00BB58F1"/>
    <w:rsid w:val="00BB5930"/>
    <w:rsid w:val="00BB5B01"/>
    <w:rsid w:val="00BB5B5D"/>
    <w:rsid w:val="00BB5C25"/>
    <w:rsid w:val="00BB5F17"/>
    <w:rsid w:val="00BB60C1"/>
    <w:rsid w:val="00BB612B"/>
    <w:rsid w:val="00BB6540"/>
    <w:rsid w:val="00BB6658"/>
    <w:rsid w:val="00BB66B8"/>
    <w:rsid w:val="00BB6778"/>
    <w:rsid w:val="00BB6872"/>
    <w:rsid w:val="00BB6953"/>
    <w:rsid w:val="00BB6BAC"/>
    <w:rsid w:val="00BB6F0D"/>
    <w:rsid w:val="00BB7015"/>
    <w:rsid w:val="00BB72A5"/>
    <w:rsid w:val="00BB7453"/>
    <w:rsid w:val="00BB7604"/>
    <w:rsid w:val="00BB770F"/>
    <w:rsid w:val="00BB771B"/>
    <w:rsid w:val="00BB7733"/>
    <w:rsid w:val="00BB77BB"/>
    <w:rsid w:val="00BB7C94"/>
    <w:rsid w:val="00BB7E96"/>
    <w:rsid w:val="00BB7F77"/>
    <w:rsid w:val="00BB7FB0"/>
    <w:rsid w:val="00BC0105"/>
    <w:rsid w:val="00BC06AE"/>
    <w:rsid w:val="00BC07AD"/>
    <w:rsid w:val="00BC083C"/>
    <w:rsid w:val="00BC0990"/>
    <w:rsid w:val="00BC09A5"/>
    <w:rsid w:val="00BC0A95"/>
    <w:rsid w:val="00BC0C2E"/>
    <w:rsid w:val="00BC0D6F"/>
    <w:rsid w:val="00BC0EF2"/>
    <w:rsid w:val="00BC0F20"/>
    <w:rsid w:val="00BC1103"/>
    <w:rsid w:val="00BC11D3"/>
    <w:rsid w:val="00BC1442"/>
    <w:rsid w:val="00BC15F2"/>
    <w:rsid w:val="00BC16EA"/>
    <w:rsid w:val="00BC1A6D"/>
    <w:rsid w:val="00BC1ABE"/>
    <w:rsid w:val="00BC1F0E"/>
    <w:rsid w:val="00BC2090"/>
    <w:rsid w:val="00BC2493"/>
    <w:rsid w:val="00BC2494"/>
    <w:rsid w:val="00BC290A"/>
    <w:rsid w:val="00BC3025"/>
    <w:rsid w:val="00BC309D"/>
    <w:rsid w:val="00BC3279"/>
    <w:rsid w:val="00BC333D"/>
    <w:rsid w:val="00BC3462"/>
    <w:rsid w:val="00BC3793"/>
    <w:rsid w:val="00BC3C25"/>
    <w:rsid w:val="00BC3C50"/>
    <w:rsid w:val="00BC3D58"/>
    <w:rsid w:val="00BC43C0"/>
    <w:rsid w:val="00BC43D8"/>
    <w:rsid w:val="00BC4484"/>
    <w:rsid w:val="00BC4A32"/>
    <w:rsid w:val="00BC4A56"/>
    <w:rsid w:val="00BC4DD2"/>
    <w:rsid w:val="00BC50BD"/>
    <w:rsid w:val="00BC51FE"/>
    <w:rsid w:val="00BC52DC"/>
    <w:rsid w:val="00BC5372"/>
    <w:rsid w:val="00BC5374"/>
    <w:rsid w:val="00BC538B"/>
    <w:rsid w:val="00BC5661"/>
    <w:rsid w:val="00BC5757"/>
    <w:rsid w:val="00BC5990"/>
    <w:rsid w:val="00BC5A6A"/>
    <w:rsid w:val="00BC5C7D"/>
    <w:rsid w:val="00BC5D21"/>
    <w:rsid w:val="00BC5D2C"/>
    <w:rsid w:val="00BC6326"/>
    <w:rsid w:val="00BC6403"/>
    <w:rsid w:val="00BC6438"/>
    <w:rsid w:val="00BC652F"/>
    <w:rsid w:val="00BC656A"/>
    <w:rsid w:val="00BC65D1"/>
    <w:rsid w:val="00BC6993"/>
    <w:rsid w:val="00BC69D1"/>
    <w:rsid w:val="00BC6A1C"/>
    <w:rsid w:val="00BC6C1D"/>
    <w:rsid w:val="00BC6E76"/>
    <w:rsid w:val="00BC7026"/>
    <w:rsid w:val="00BC7160"/>
    <w:rsid w:val="00BC726B"/>
    <w:rsid w:val="00BC726E"/>
    <w:rsid w:val="00BC7274"/>
    <w:rsid w:val="00BC7338"/>
    <w:rsid w:val="00BC756C"/>
    <w:rsid w:val="00BC759D"/>
    <w:rsid w:val="00BC75C7"/>
    <w:rsid w:val="00BC78D4"/>
    <w:rsid w:val="00BC7ADA"/>
    <w:rsid w:val="00BC7B0A"/>
    <w:rsid w:val="00BC7C7B"/>
    <w:rsid w:val="00BC7E26"/>
    <w:rsid w:val="00BC7EEB"/>
    <w:rsid w:val="00BD0090"/>
    <w:rsid w:val="00BD0248"/>
    <w:rsid w:val="00BD02CA"/>
    <w:rsid w:val="00BD02F7"/>
    <w:rsid w:val="00BD0378"/>
    <w:rsid w:val="00BD03C1"/>
    <w:rsid w:val="00BD04E3"/>
    <w:rsid w:val="00BD05E5"/>
    <w:rsid w:val="00BD0662"/>
    <w:rsid w:val="00BD06CD"/>
    <w:rsid w:val="00BD0819"/>
    <w:rsid w:val="00BD1167"/>
    <w:rsid w:val="00BD1522"/>
    <w:rsid w:val="00BD15AE"/>
    <w:rsid w:val="00BD1690"/>
    <w:rsid w:val="00BD179F"/>
    <w:rsid w:val="00BD182C"/>
    <w:rsid w:val="00BD196F"/>
    <w:rsid w:val="00BD1B50"/>
    <w:rsid w:val="00BD1C21"/>
    <w:rsid w:val="00BD1C2F"/>
    <w:rsid w:val="00BD1F68"/>
    <w:rsid w:val="00BD21B7"/>
    <w:rsid w:val="00BD21D9"/>
    <w:rsid w:val="00BD222C"/>
    <w:rsid w:val="00BD22DA"/>
    <w:rsid w:val="00BD23CE"/>
    <w:rsid w:val="00BD2516"/>
    <w:rsid w:val="00BD29F9"/>
    <w:rsid w:val="00BD2B0D"/>
    <w:rsid w:val="00BD2B89"/>
    <w:rsid w:val="00BD2D15"/>
    <w:rsid w:val="00BD2DA7"/>
    <w:rsid w:val="00BD2E1E"/>
    <w:rsid w:val="00BD2F7B"/>
    <w:rsid w:val="00BD305D"/>
    <w:rsid w:val="00BD32AC"/>
    <w:rsid w:val="00BD33E1"/>
    <w:rsid w:val="00BD36F8"/>
    <w:rsid w:val="00BD37EC"/>
    <w:rsid w:val="00BD384E"/>
    <w:rsid w:val="00BD391C"/>
    <w:rsid w:val="00BD39C5"/>
    <w:rsid w:val="00BD3E95"/>
    <w:rsid w:val="00BD3FB8"/>
    <w:rsid w:val="00BD4060"/>
    <w:rsid w:val="00BD407F"/>
    <w:rsid w:val="00BD42BA"/>
    <w:rsid w:val="00BD4305"/>
    <w:rsid w:val="00BD4464"/>
    <w:rsid w:val="00BD46F6"/>
    <w:rsid w:val="00BD481F"/>
    <w:rsid w:val="00BD4964"/>
    <w:rsid w:val="00BD49C9"/>
    <w:rsid w:val="00BD4B09"/>
    <w:rsid w:val="00BD5021"/>
    <w:rsid w:val="00BD506E"/>
    <w:rsid w:val="00BD5411"/>
    <w:rsid w:val="00BD56CB"/>
    <w:rsid w:val="00BD5AA6"/>
    <w:rsid w:val="00BD5AFE"/>
    <w:rsid w:val="00BD6164"/>
    <w:rsid w:val="00BD6456"/>
    <w:rsid w:val="00BD65DC"/>
    <w:rsid w:val="00BD681B"/>
    <w:rsid w:val="00BD68CE"/>
    <w:rsid w:val="00BD6969"/>
    <w:rsid w:val="00BD6CA1"/>
    <w:rsid w:val="00BD6D7A"/>
    <w:rsid w:val="00BD6DE7"/>
    <w:rsid w:val="00BD6E56"/>
    <w:rsid w:val="00BD7015"/>
    <w:rsid w:val="00BD70BC"/>
    <w:rsid w:val="00BD70F0"/>
    <w:rsid w:val="00BD71BD"/>
    <w:rsid w:val="00BD72E7"/>
    <w:rsid w:val="00BD735F"/>
    <w:rsid w:val="00BD743C"/>
    <w:rsid w:val="00BD7505"/>
    <w:rsid w:val="00BD7560"/>
    <w:rsid w:val="00BD76F2"/>
    <w:rsid w:val="00BD76F6"/>
    <w:rsid w:val="00BD7877"/>
    <w:rsid w:val="00BD7925"/>
    <w:rsid w:val="00BD7B8D"/>
    <w:rsid w:val="00BD7BEE"/>
    <w:rsid w:val="00BD7CC2"/>
    <w:rsid w:val="00BD7D5D"/>
    <w:rsid w:val="00BD7D72"/>
    <w:rsid w:val="00BD7E55"/>
    <w:rsid w:val="00BE0006"/>
    <w:rsid w:val="00BE00F7"/>
    <w:rsid w:val="00BE0135"/>
    <w:rsid w:val="00BE01A7"/>
    <w:rsid w:val="00BE0530"/>
    <w:rsid w:val="00BE06EF"/>
    <w:rsid w:val="00BE07E5"/>
    <w:rsid w:val="00BE09A9"/>
    <w:rsid w:val="00BE0B97"/>
    <w:rsid w:val="00BE0BFE"/>
    <w:rsid w:val="00BE0D46"/>
    <w:rsid w:val="00BE0E1E"/>
    <w:rsid w:val="00BE15BD"/>
    <w:rsid w:val="00BE1A2E"/>
    <w:rsid w:val="00BE1A87"/>
    <w:rsid w:val="00BE1ADB"/>
    <w:rsid w:val="00BE1BF1"/>
    <w:rsid w:val="00BE1DEC"/>
    <w:rsid w:val="00BE2045"/>
    <w:rsid w:val="00BE23E1"/>
    <w:rsid w:val="00BE2879"/>
    <w:rsid w:val="00BE2989"/>
    <w:rsid w:val="00BE2BA0"/>
    <w:rsid w:val="00BE2CF0"/>
    <w:rsid w:val="00BE2F94"/>
    <w:rsid w:val="00BE3293"/>
    <w:rsid w:val="00BE34BF"/>
    <w:rsid w:val="00BE35BF"/>
    <w:rsid w:val="00BE36F5"/>
    <w:rsid w:val="00BE3D38"/>
    <w:rsid w:val="00BE3D91"/>
    <w:rsid w:val="00BE3E8F"/>
    <w:rsid w:val="00BE3F89"/>
    <w:rsid w:val="00BE407B"/>
    <w:rsid w:val="00BE4B72"/>
    <w:rsid w:val="00BE4BD8"/>
    <w:rsid w:val="00BE4D4C"/>
    <w:rsid w:val="00BE4D57"/>
    <w:rsid w:val="00BE51F4"/>
    <w:rsid w:val="00BE5339"/>
    <w:rsid w:val="00BE5418"/>
    <w:rsid w:val="00BE546E"/>
    <w:rsid w:val="00BE548E"/>
    <w:rsid w:val="00BE555D"/>
    <w:rsid w:val="00BE5756"/>
    <w:rsid w:val="00BE5776"/>
    <w:rsid w:val="00BE5C40"/>
    <w:rsid w:val="00BE5F50"/>
    <w:rsid w:val="00BE65E5"/>
    <w:rsid w:val="00BE68B1"/>
    <w:rsid w:val="00BE6B5E"/>
    <w:rsid w:val="00BE6BB8"/>
    <w:rsid w:val="00BE6C2C"/>
    <w:rsid w:val="00BE6DD0"/>
    <w:rsid w:val="00BE6F8E"/>
    <w:rsid w:val="00BE705D"/>
    <w:rsid w:val="00BE7254"/>
    <w:rsid w:val="00BE738A"/>
    <w:rsid w:val="00BE749B"/>
    <w:rsid w:val="00BE74DB"/>
    <w:rsid w:val="00BE773E"/>
    <w:rsid w:val="00BE77F7"/>
    <w:rsid w:val="00BE7B07"/>
    <w:rsid w:val="00BE7B8E"/>
    <w:rsid w:val="00BE7DEF"/>
    <w:rsid w:val="00BF01C9"/>
    <w:rsid w:val="00BF02F7"/>
    <w:rsid w:val="00BF0775"/>
    <w:rsid w:val="00BF078D"/>
    <w:rsid w:val="00BF0905"/>
    <w:rsid w:val="00BF0B80"/>
    <w:rsid w:val="00BF0C65"/>
    <w:rsid w:val="00BF0E9C"/>
    <w:rsid w:val="00BF0F42"/>
    <w:rsid w:val="00BF0FF8"/>
    <w:rsid w:val="00BF1327"/>
    <w:rsid w:val="00BF17E7"/>
    <w:rsid w:val="00BF1900"/>
    <w:rsid w:val="00BF1936"/>
    <w:rsid w:val="00BF1A94"/>
    <w:rsid w:val="00BF1B7D"/>
    <w:rsid w:val="00BF1BB0"/>
    <w:rsid w:val="00BF1C27"/>
    <w:rsid w:val="00BF1CEF"/>
    <w:rsid w:val="00BF1DC3"/>
    <w:rsid w:val="00BF1E24"/>
    <w:rsid w:val="00BF1E94"/>
    <w:rsid w:val="00BF1F78"/>
    <w:rsid w:val="00BF2031"/>
    <w:rsid w:val="00BF209E"/>
    <w:rsid w:val="00BF217D"/>
    <w:rsid w:val="00BF2204"/>
    <w:rsid w:val="00BF23D2"/>
    <w:rsid w:val="00BF2690"/>
    <w:rsid w:val="00BF288A"/>
    <w:rsid w:val="00BF28D9"/>
    <w:rsid w:val="00BF2D04"/>
    <w:rsid w:val="00BF2D49"/>
    <w:rsid w:val="00BF3150"/>
    <w:rsid w:val="00BF323A"/>
    <w:rsid w:val="00BF3581"/>
    <w:rsid w:val="00BF37A3"/>
    <w:rsid w:val="00BF3813"/>
    <w:rsid w:val="00BF3B58"/>
    <w:rsid w:val="00BF3BC6"/>
    <w:rsid w:val="00BF3EE9"/>
    <w:rsid w:val="00BF3F8E"/>
    <w:rsid w:val="00BF4587"/>
    <w:rsid w:val="00BF4683"/>
    <w:rsid w:val="00BF46E7"/>
    <w:rsid w:val="00BF47ED"/>
    <w:rsid w:val="00BF4B73"/>
    <w:rsid w:val="00BF4C6B"/>
    <w:rsid w:val="00BF52DF"/>
    <w:rsid w:val="00BF55DC"/>
    <w:rsid w:val="00BF5652"/>
    <w:rsid w:val="00BF5738"/>
    <w:rsid w:val="00BF576B"/>
    <w:rsid w:val="00BF59EE"/>
    <w:rsid w:val="00BF5A3C"/>
    <w:rsid w:val="00BF5C7A"/>
    <w:rsid w:val="00BF5D00"/>
    <w:rsid w:val="00BF5D5C"/>
    <w:rsid w:val="00BF5E3A"/>
    <w:rsid w:val="00BF5FD7"/>
    <w:rsid w:val="00BF6100"/>
    <w:rsid w:val="00BF6355"/>
    <w:rsid w:val="00BF63B3"/>
    <w:rsid w:val="00BF6465"/>
    <w:rsid w:val="00BF66B6"/>
    <w:rsid w:val="00BF66FF"/>
    <w:rsid w:val="00BF68D9"/>
    <w:rsid w:val="00BF6E01"/>
    <w:rsid w:val="00BF72EE"/>
    <w:rsid w:val="00BF7337"/>
    <w:rsid w:val="00BF73D1"/>
    <w:rsid w:val="00BF744A"/>
    <w:rsid w:val="00BF76DB"/>
    <w:rsid w:val="00BF7ACF"/>
    <w:rsid w:val="00BF7AF4"/>
    <w:rsid w:val="00BF7D6A"/>
    <w:rsid w:val="00BF7F33"/>
    <w:rsid w:val="00BF7F6D"/>
    <w:rsid w:val="00C0021D"/>
    <w:rsid w:val="00C002E7"/>
    <w:rsid w:val="00C004B3"/>
    <w:rsid w:val="00C004BE"/>
    <w:rsid w:val="00C004E1"/>
    <w:rsid w:val="00C00B25"/>
    <w:rsid w:val="00C00B73"/>
    <w:rsid w:val="00C00BCE"/>
    <w:rsid w:val="00C00C5D"/>
    <w:rsid w:val="00C00C68"/>
    <w:rsid w:val="00C00CC3"/>
    <w:rsid w:val="00C00CE7"/>
    <w:rsid w:val="00C00DAB"/>
    <w:rsid w:val="00C00FE6"/>
    <w:rsid w:val="00C010F8"/>
    <w:rsid w:val="00C010FE"/>
    <w:rsid w:val="00C01115"/>
    <w:rsid w:val="00C01273"/>
    <w:rsid w:val="00C01358"/>
    <w:rsid w:val="00C0160F"/>
    <w:rsid w:val="00C018A0"/>
    <w:rsid w:val="00C01B6A"/>
    <w:rsid w:val="00C01C1C"/>
    <w:rsid w:val="00C01C8A"/>
    <w:rsid w:val="00C01DE1"/>
    <w:rsid w:val="00C01E7E"/>
    <w:rsid w:val="00C020E5"/>
    <w:rsid w:val="00C02194"/>
    <w:rsid w:val="00C021AA"/>
    <w:rsid w:val="00C021BD"/>
    <w:rsid w:val="00C02273"/>
    <w:rsid w:val="00C023C0"/>
    <w:rsid w:val="00C024E8"/>
    <w:rsid w:val="00C02604"/>
    <w:rsid w:val="00C02685"/>
    <w:rsid w:val="00C02B37"/>
    <w:rsid w:val="00C02C7D"/>
    <w:rsid w:val="00C02DFA"/>
    <w:rsid w:val="00C0304F"/>
    <w:rsid w:val="00C032A0"/>
    <w:rsid w:val="00C03398"/>
    <w:rsid w:val="00C03432"/>
    <w:rsid w:val="00C0344A"/>
    <w:rsid w:val="00C03616"/>
    <w:rsid w:val="00C036B8"/>
    <w:rsid w:val="00C0382F"/>
    <w:rsid w:val="00C03898"/>
    <w:rsid w:val="00C038EF"/>
    <w:rsid w:val="00C03B3C"/>
    <w:rsid w:val="00C03BF0"/>
    <w:rsid w:val="00C03C52"/>
    <w:rsid w:val="00C03ED7"/>
    <w:rsid w:val="00C03F0E"/>
    <w:rsid w:val="00C041D1"/>
    <w:rsid w:val="00C041D9"/>
    <w:rsid w:val="00C04243"/>
    <w:rsid w:val="00C042C3"/>
    <w:rsid w:val="00C04529"/>
    <w:rsid w:val="00C0493C"/>
    <w:rsid w:val="00C04EC2"/>
    <w:rsid w:val="00C04F3A"/>
    <w:rsid w:val="00C04FA6"/>
    <w:rsid w:val="00C05040"/>
    <w:rsid w:val="00C0523B"/>
    <w:rsid w:val="00C05419"/>
    <w:rsid w:val="00C057AE"/>
    <w:rsid w:val="00C0586E"/>
    <w:rsid w:val="00C058AB"/>
    <w:rsid w:val="00C058F3"/>
    <w:rsid w:val="00C06741"/>
    <w:rsid w:val="00C06754"/>
    <w:rsid w:val="00C06908"/>
    <w:rsid w:val="00C06C05"/>
    <w:rsid w:val="00C06F44"/>
    <w:rsid w:val="00C06F4F"/>
    <w:rsid w:val="00C07091"/>
    <w:rsid w:val="00C070CC"/>
    <w:rsid w:val="00C07174"/>
    <w:rsid w:val="00C072B5"/>
    <w:rsid w:val="00C072BA"/>
    <w:rsid w:val="00C072E6"/>
    <w:rsid w:val="00C07767"/>
    <w:rsid w:val="00C07B65"/>
    <w:rsid w:val="00C07E64"/>
    <w:rsid w:val="00C07FA2"/>
    <w:rsid w:val="00C07FCA"/>
    <w:rsid w:val="00C101D1"/>
    <w:rsid w:val="00C103C6"/>
    <w:rsid w:val="00C104A3"/>
    <w:rsid w:val="00C105E7"/>
    <w:rsid w:val="00C10712"/>
    <w:rsid w:val="00C1072C"/>
    <w:rsid w:val="00C107C5"/>
    <w:rsid w:val="00C108DF"/>
    <w:rsid w:val="00C10A42"/>
    <w:rsid w:val="00C10CE6"/>
    <w:rsid w:val="00C10D48"/>
    <w:rsid w:val="00C10D98"/>
    <w:rsid w:val="00C110F5"/>
    <w:rsid w:val="00C11119"/>
    <w:rsid w:val="00C112E0"/>
    <w:rsid w:val="00C11444"/>
    <w:rsid w:val="00C1149B"/>
    <w:rsid w:val="00C1165D"/>
    <w:rsid w:val="00C116E9"/>
    <w:rsid w:val="00C11714"/>
    <w:rsid w:val="00C11784"/>
    <w:rsid w:val="00C117BF"/>
    <w:rsid w:val="00C119F4"/>
    <w:rsid w:val="00C11C75"/>
    <w:rsid w:val="00C11DEE"/>
    <w:rsid w:val="00C11F54"/>
    <w:rsid w:val="00C12126"/>
    <w:rsid w:val="00C1241A"/>
    <w:rsid w:val="00C1242F"/>
    <w:rsid w:val="00C12755"/>
    <w:rsid w:val="00C12F4C"/>
    <w:rsid w:val="00C12FD8"/>
    <w:rsid w:val="00C12FF5"/>
    <w:rsid w:val="00C13091"/>
    <w:rsid w:val="00C132E6"/>
    <w:rsid w:val="00C137A0"/>
    <w:rsid w:val="00C13860"/>
    <w:rsid w:val="00C13924"/>
    <w:rsid w:val="00C13E69"/>
    <w:rsid w:val="00C14014"/>
    <w:rsid w:val="00C14503"/>
    <w:rsid w:val="00C14611"/>
    <w:rsid w:val="00C1468C"/>
    <w:rsid w:val="00C1491E"/>
    <w:rsid w:val="00C14A67"/>
    <w:rsid w:val="00C14C5C"/>
    <w:rsid w:val="00C14C78"/>
    <w:rsid w:val="00C14E2B"/>
    <w:rsid w:val="00C15391"/>
    <w:rsid w:val="00C15465"/>
    <w:rsid w:val="00C154F7"/>
    <w:rsid w:val="00C15AD0"/>
    <w:rsid w:val="00C15BB2"/>
    <w:rsid w:val="00C15DEA"/>
    <w:rsid w:val="00C15E18"/>
    <w:rsid w:val="00C15EEE"/>
    <w:rsid w:val="00C1625F"/>
    <w:rsid w:val="00C16380"/>
    <w:rsid w:val="00C1639D"/>
    <w:rsid w:val="00C163CA"/>
    <w:rsid w:val="00C164EA"/>
    <w:rsid w:val="00C16807"/>
    <w:rsid w:val="00C168BE"/>
    <w:rsid w:val="00C169C9"/>
    <w:rsid w:val="00C16A53"/>
    <w:rsid w:val="00C16AA4"/>
    <w:rsid w:val="00C16B0C"/>
    <w:rsid w:val="00C16D80"/>
    <w:rsid w:val="00C16D9E"/>
    <w:rsid w:val="00C16E2B"/>
    <w:rsid w:val="00C16F98"/>
    <w:rsid w:val="00C17621"/>
    <w:rsid w:val="00C177E2"/>
    <w:rsid w:val="00C17D50"/>
    <w:rsid w:val="00C17E6D"/>
    <w:rsid w:val="00C17ED7"/>
    <w:rsid w:val="00C20133"/>
    <w:rsid w:val="00C20250"/>
    <w:rsid w:val="00C202F5"/>
    <w:rsid w:val="00C2031C"/>
    <w:rsid w:val="00C204DA"/>
    <w:rsid w:val="00C2078C"/>
    <w:rsid w:val="00C2099E"/>
    <w:rsid w:val="00C20B07"/>
    <w:rsid w:val="00C20F0F"/>
    <w:rsid w:val="00C20F9B"/>
    <w:rsid w:val="00C2117B"/>
    <w:rsid w:val="00C21207"/>
    <w:rsid w:val="00C21380"/>
    <w:rsid w:val="00C215BE"/>
    <w:rsid w:val="00C21930"/>
    <w:rsid w:val="00C21A3F"/>
    <w:rsid w:val="00C21AC6"/>
    <w:rsid w:val="00C21D1E"/>
    <w:rsid w:val="00C22200"/>
    <w:rsid w:val="00C2222D"/>
    <w:rsid w:val="00C2247E"/>
    <w:rsid w:val="00C226B5"/>
    <w:rsid w:val="00C229F6"/>
    <w:rsid w:val="00C22A13"/>
    <w:rsid w:val="00C22A71"/>
    <w:rsid w:val="00C22BD5"/>
    <w:rsid w:val="00C22C19"/>
    <w:rsid w:val="00C22E7B"/>
    <w:rsid w:val="00C2322D"/>
    <w:rsid w:val="00C232E6"/>
    <w:rsid w:val="00C2350A"/>
    <w:rsid w:val="00C2351C"/>
    <w:rsid w:val="00C239FB"/>
    <w:rsid w:val="00C23B07"/>
    <w:rsid w:val="00C23D8F"/>
    <w:rsid w:val="00C23E00"/>
    <w:rsid w:val="00C23FBC"/>
    <w:rsid w:val="00C240CF"/>
    <w:rsid w:val="00C24146"/>
    <w:rsid w:val="00C241F0"/>
    <w:rsid w:val="00C24577"/>
    <w:rsid w:val="00C247EA"/>
    <w:rsid w:val="00C24D74"/>
    <w:rsid w:val="00C25300"/>
    <w:rsid w:val="00C253E4"/>
    <w:rsid w:val="00C256FC"/>
    <w:rsid w:val="00C25CB1"/>
    <w:rsid w:val="00C25F27"/>
    <w:rsid w:val="00C25FA4"/>
    <w:rsid w:val="00C260CA"/>
    <w:rsid w:val="00C2617B"/>
    <w:rsid w:val="00C26247"/>
    <w:rsid w:val="00C263B6"/>
    <w:rsid w:val="00C264F7"/>
    <w:rsid w:val="00C267C9"/>
    <w:rsid w:val="00C26B3F"/>
    <w:rsid w:val="00C26DDF"/>
    <w:rsid w:val="00C26EAA"/>
    <w:rsid w:val="00C26EE2"/>
    <w:rsid w:val="00C271F0"/>
    <w:rsid w:val="00C272F2"/>
    <w:rsid w:val="00C27715"/>
    <w:rsid w:val="00C27B36"/>
    <w:rsid w:val="00C27B4F"/>
    <w:rsid w:val="00C27C9C"/>
    <w:rsid w:val="00C27F61"/>
    <w:rsid w:val="00C30275"/>
    <w:rsid w:val="00C308DE"/>
    <w:rsid w:val="00C30C48"/>
    <w:rsid w:val="00C31302"/>
    <w:rsid w:val="00C31506"/>
    <w:rsid w:val="00C31567"/>
    <w:rsid w:val="00C3166B"/>
    <w:rsid w:val="00C31739"/>
    <w:rsid w:val="00C318AE"/>
    <w:rsid w:val="00C319B0"/>
    <w:rsid w:val="00C31A56"/>
    <w:rsid w:val="00C31C44"/>
    <w:rsid w:val="00C31CCB"/>
    <w:rsid w:val="00C31CDD"/>
    <w:rsid w:val="00C31E40"/>
    <w:rsid w:val="00C31EA3"/>
    <w:rsid w:val="00C31EFD"/>
    <w:rsid w:val="00C329CB"/>
    <w:rsid w:val="00C32A1E"/>
    <w:rsid w:val="00C32AD7"/>
    <w:rsid w:val="00C32B35"/>
    <w:rsid w:val="00C32C5F"/>
    <w:rsid w:val="00C32F2A"/>
    <w:rsid w:val="00C32F80"/>
    <w:rsid w:val="00C331CC"/>
    <w:rsid w:val="00C332EA"/>
    <w:rsid w:val="00C332F7"/>
    <w:rsid w:val="00C3341B"/>
    <w:rsid w:val="00C3343E"/>
    <w:rsid w:val="00C33578"/>
    <w:rsid w:val="00C33685"/>
    <w:rsid w:val="00C33714"/>
    <w:rsid w:val="00C3375B"/>
    <w:rsid w:val="00C33A05"/>
    <w:rsid w:val="00C33B61"/>
    <w:rsid w:val="00C33B89"/>
    <w:rsid w:val="00C33C24"/>
    <w:rsid w:val="00C33E55"/>
    <w:rsid w:val="00C33EE8"/>
    <w:rsid w:val="00C3417B"/>
    <w:rsid w:val="00C34403"/>
    <w:rsid w:val="00C34594"/>
    <w:rsid w:val="00C34606"/>
    <w:rsid w:val="00C3476D"/>
    <w:rsid w:val="00C34921"/>
    <w:rsid w:val="00C34927"/>
    <w:rsid w:val="00C34A53"/>
    <w:rsid w:val="00C34B50"/>
    <w:rsid w:val="00C34D88"/>
    <w:rsid w:val="00C34DA1"/>
    <w:rsid w:val="00C34E1B"/>
    <w:rsid w:val="00C351DD"/>
    <w:rsid w:val="00C3523F"/>
    <w:rsid w:val="00C35446"/>
    <w:rsid w:val="00C354F8"/>
    <w:rsid w:val="00C357D2"/>
    <w:rsid w:val="00C359A6"/>
    <w:rsid w:val="00C35AA6"/>
    <w:rsid w:val="00C35ADC"/>
    <w:rsid w:val="00C35BF4"/>
    <w:rsid w:val="00C35D11"/>
    <w:rsid w:val="00C35DE1"/>
    <w:rsid w:val="00C35F76"/>
    <w:rsid w:val="00C36047"/>
    <w:rsid w:val="00C361EE"/>
    <w:rsid w:val="00C365DA"/>
    <w:rsid w:val="00C36647"/>
    <w:rsid w:val="00C366E6"/>
    <w:rsid w:val="00C3679B"/>
    <w:rsid w:val="00C36859"/>
    <w:rsid w:val="00C368BC"/>
    <w:rsid w:val="00C3691E"/>
    <w:rsid w:val="00C36A17"/>
    <w:rsid w:val="00C36B0F"/>
    <w:rsid w:val="00C36B50"/>
    <w:rsid w:val="00C36BDE"/>
    <w:rsid w:val="00C36CEF"/>
    <w:rsid w:val="00C36D27"/>
    <w:rsid w:val="00C36E61"/>
    <w:rsid w:val="00C36FAC"/>
    <w:rsid w:val="00C36FE2"/>
    <w:rsid w:val="00C37081"/>
    <w:rsid w:val="00C3783B"/>
    <w:rsid w:val="00C37BEA"/>
    <w:rsid w:val="00C37C16"/>
    <w:rsid w:val="00C37E33"/>
    <w:rsid w:val="00C37EF2"/>
    <w:rsid w:val="00C400A4"/>
    <w:rsid w:val="00C401FA"/>
    <w:rsid w:val="00C40432"/>
    <w:rsid w:val="00C40661"/>
    <w:rsid w:val="00C408D6"/>
    <w:rsid w:val="00C40D83"/>
    <w:rsid w:val="00C40E4A"/>
    <w:rsid w:val="00C40F90"/>
    <w:rsid w:val="00C40FED"/>
    <w:rsid w:val="00C41041"/>
    <w:rsid w:val="00C411F5"/>
    <w:rsid w:val="00C413DC"/>
    <w:rsid w:val="00C413F6"/>
    <w:rsid w:val="00C41465"/>
    <w:rsid w:val="00C41488"/>
    <w:rsid w:val="00C414D7"/>
    <w:rsid w:val="00C4186E"/>
    <w:rsid w:val="00C418B9"/>
    <w:rsid w:val="00C419C8"/>
    <w:rsid w:val="00C41B51"/>
    <w:rsid w:val="00C41F42"/>
    <w:rsid w:val="00C42050"/>
    <w:rsid w:val="00C42384"/>
    <w:rsid w:val="00C4256F"/>
    <w:rsid w:val="00C426B2"/>
    <w:rsid w:val="00C4280F"/>
    <w:rsid w:val="00C429DC"/>
    <w:rsid w:val="00C42F2C"/>
    <w:rsid w:val="00C42F9C"/>
    <w:rsid w:val="00C430BF"/>
    <w:rsid w:val="00C430E1"/>
    <w:rsid w:val="00C43152"/>
    <w:rsid w:val="00C43264"/>
    <w:rsid w:val="00C43308"/>
    <w:rsid w:val="00C4356E"/>
    <w:rsid w:val="00C437A7"/>
    <w:rsid w:val="00C43858"/>
    <w:rsid w:val="00C438D5"/>
    <w:rsid w:val="00C43AD0"/>
    <w:rsid w:val="00C43C42"/>
    <w:rsid w:val="00C43C9D"/>
    <w:rsid w:val="00C44441"/>
    <w:rsid w:val="00C44512"/>
    <w:rsid w:val="00C44598"/>
    <w:rsid w:val="00C44779"/>
    <w:rsid w:val="00C44797"/>
    <w:rsid w:val="00C4481D"/>
    <w:rsid w:val="00C44AB6"/>
    <w:rsid w:val="00C44BBE"/>
    <w:rsid w:val="00C44DA4"/>
    <w:rsid w:val="00C44E7D"/>
    <w:rsid w:val="00C44EC3"/>
    <w:rsid w:val="00C44F56"/>
    <w:rsid w:val="00C44FF6"/>
    <w:rsid w:val="00C45015"/>
    <w:rsid w:val="00C455A4"/>
    <w:rsid w:val="00C455F5"/>
    <w:rsid w:val="00C45683"/>
    <w:rsid w:val="00C458A0"/>
    <w:rsid w:val="00C458BA"/>
    <w:rsid w:val="00C45A68"/>
    <w:rsid w:val="00C45B2E"/>
    <w:rsid w:val="00C45B53"/>
    <w:rsid w:val="00C45B7B"/>
    <w:rsid w:val="00C45BC5"/>
    <w:rsid w:val="00C45CCB"/>
    <w:rsid w:val="00C45F65"/>
    <w:rsid w:val="00C463E9"/>
    <w:rsid w:val="00C46638"/>
    <w:rsid w:val="00C4696F"/>
    <w:rsid w:val="00C46D62"/>
    <w:rsid w:val="00C46E71"/>
    <w:rsid w:val="00C46F10"/>
    <w:rsid w:val="00C46FCA"/>
    <w:rsid w:val="00C4717F"/>
    <w:rsid w:val="00C471CC"/>
    <w:rsid w:val="00C47B49"/>
    <w:rsid w:val="00C47BFD"/>
    <w:rsid w:val="00C47D90"/>
    <w:rsid w:val="00C5004B"/>
    <w:rsid w:val="00C5006C"/>
    <w:rsid w:val="00C5009D"/>
    <w:rsid w:val="00C5013E"/>
    <w:rsid w:val="00C50254"/>
    <w:rsid w:val="00C502DA"/>
    <w:rsid w:val="00C5033A"/>
    <w:rsid w:val="00C503A7"/>
    <w:rsid w:val="00C503D7"/>
    <w:rsid w:val="00C5065C"/>
    <w:rsid w:val="00C50666"/>
    <w:rsid w:val="00C50767"/>
    <w:rsid w:val="00C50955"/>
    <w:rsid w:val="00C50A58"/>
    <w:rsid w:val="00C50B70"/>
    <w:rsid w:val="00C50F62"/>
    <w:rsid w:val="00C50FC6"/>
    <w:rsid w:val="00C5101A"/>
    <w:rsid w:val="00C512C0"/>
    <w:rsid w:val="00C51355"/>
    <w:rsid w:val="00C5148E"/>
    <w:rsid w:val="00C514C4"/>
    <w:rsid w:val="00C514FB"/>
    <w:rsid w:val="00C51632"/>
    <w:rsid w:val="00C51691"/>
    <w:rsid w:val="00C5183E"/>
    <w:rsid w:val="00C51B76"/>
    <w:rsid w:val="00C51CFD"/>
    <w:rsid w:val="00C51D66"/>
    <w:rsid w:val="00C525C7"/>
    <w:rsid w:val="00C528D8"/>
    <w:rsid w:val="00C52906"/>
    <w:rsid w:val="00C52C31"/>
    <w:rsid w:val="00C52C6C"/>
    <w:rsid w:val="00C52D6C"/>
    <w:rsid w:val="00C52F2D"/>
    <w:rsid w:val="00C52F5E"/>
    <w:rsid w:val="00C53051"/>
    <w:rsid w:val="00C5315D"/>
    <w:rsid w:val="00C5319C"/>
    <w:rsid w:val="00C531FB"/>
    <w:rsid w:val="00C53208"/>
    <w:rsid w:val="00C533E2"/>
    <w:rsid w:val="00C534B6"/>
    <w:rsid w:val="00C534DF"/>
    <w:rsid w:val="00C53951"/>
    <w:rsid w:val="00C53BFD"/>
    <w:rsid w:val="00C53CEC"/>
    <w:rsid w:val="00C53DA3"/>
    <w:rsid w:val="00C54090"/>
    <w:rsid w:val="00C54173"/>
    <w:rsid w:val="00C541BD"/>
    <w:rsid w:val="00C54268"/>
    <w:rsid w:val="00C54702"/>
    <w:rsid w:val="00C54A5B"/>
    <w:rsid w:val="00C54B7B"/>
    <w:rsid w:val="00C54C1C"/>
    <w:rsid w:val="00C54E2A"/>
    <w:rsid w:val="00C54E37"/>
    <w:rsid w:val="00C552B1"/>
    <w:rsid w:val="00C552CA"/>
    <w:rsid w:val="00C558DF"/>
    <w:rsid w:val="00C5590F"/>
    <w:rsid w:val="00C5594F"/>
    <w:rsid w:val="00C55A4F"/>
    <w:rsid w:val="00C55B64"/>
    <w:rsid w:val="00C56050"/>
    <w:rsid w:val="00C56352"/>
    <w:rsid w:val="00C5638C"/>
    <w:rsid w:val="00C56567"/>
    <w:rsid w:val="00C56595"/>
    <w:rsid w:val="00C56713"/>
    <w:rsid w:val="00C56B6A"/>
    <w:rsid w:val="00C56BB8"/>
    <w:rsid w:val="00C56E1E"/>
    <w:rsid w:val="00C56F12"/>
    <w:rsid w:val="00C56FBD"/>
    <w:rsid w:val="00C57073"/>
    <w:rsid w:val="00C5718F"/>
    <w:rsid w:val="00C572FD"/>
    <w:rsid w:val="00C5733E"/>
    <w:rsid w:val="00C573EF"/>
    <w:rsid w:val="00C574F9"/>
    <w:rsid w:val="00C57595"/>
    <w:rsid w:val="00C57752"/>
    <w:rsid w:val="00C57965"/>
    <w:rsid w:val="00C57967"/>
    <w:rsid w:val="00C57A20"/>
    <w:rsid w:val="00C57B7B"/>
    <w:rsid w:val="00C57CFE"/>
    <w:rsid w:val="00C57DD9"/>
    <w:rsid w:val="00C601E5"/>
    <w:rsid w:val="00C60277"/>
    <w:rsid w:val="00C60366"/>
    <w:rsid w:val="00C60402"/>
    <w:rsid w:val="00C6061E"/>
    <w:rsid w:val="00C60801"/>
    <w:rsid w:val="00C60A55"/>
    <w:rsid w:val="00C60D04"/>
    <w:rsid w:val="00C60D07"/>
    <w:rsid w:val="00C60D24"/>
    <w:rsid w:val="00C61574"/>
    <w:rsid w:val="00C61695"/>
    <w:rsid w:val="00C61963"/>
    <w:rsid w:val="00C61A8D"/>
    <w:rsid w:val="00C61AA8"/>
    <w:rsid w:val="00C61AC1"/>
    <w:rsid w:val="00C61B79"/>
    <w:rsid w:val="00C61CC9"/>
    <w:rsid w:val="00C61D90"/>
    <w:rsid w:val="00C61DDD"/>
    <w:rsid w:val="00C61E66"/>
    <w:rsid w:val="00C6223E"/>
    <w:rsid w:val="00C623FE"/>
    <w:rsid w:val="00C62492"/>
    <w:rsid w:val="00C62867"/>
    <w:rsid w:val="00C62B83"/>
    <w:rsid w:val="00C62BB4"/>
    <w:rsid w:val="00C62BC0"/>
    <w:rsid w:val="00C62FF6"/>
    <w:rsid w:val="00C6323B"/>
    <w:rsid w:val="00C6331F"/>
    <w:rsid w:val="00C633F5"/>
    <w:rsid w:val="00C63880"/>
    <w:rsid w:val="00C6398C"/>
    <w:rsid w:val="00C639C0"/>
    <w:rsid w:val="00C639FF"/>
    <w:rsid w:val="00C63C61"/>
    <w:rsid w:val="00C63CD5"/>
    <w:rsid w:val="00C63CDB"/>
    <w:rsid w:val="00C641AA"/>
    <w:rsid w:val="00C641DF"/>
    <w:rsid w:val="00C642C2"/>
    <w:rsid w:val="00C6455A"/>
    <w:rsid w:val="00C64908"/>
    <w:rsid w:val="00C64AFF"/>
    <w:rsid w:val="00C64B01"/>
    <w:rsid w:val="00C64B2B"/>
    <w:rsid w:val="00C64D80"/>
    <w:rsid w:val="00C64EBC"/>
    <w:rsid w:val="00C64EFB"/>
    <w:rsid w:val="00C64F3F"/>
    <w:rsid w:val="00C65036"/>
    <w:rsid w:val="00C65293"/>
    <w:rsid w:val="00C653D8"/>
    <w:rsid w:val="00C655B3"/>
    <w:rsid w:val="00C65699"/>
    <w:rsid w:val="00C656E4"/>
    <w:rsid w:val="00C65B84"/>
    <w:rsid w:val="00C65BBF"/>
    <w:rsid w:val="00C65D7D"/>
    <w:rsid w:val="00C65D95"/>
    <w:rsid w:val="00C65F58"/>
    <w:rsid w:val="00C65FFB"/>
    <w:rsid w:val="00C660B4"/>
    <w:rsid w:val="00C660F6"/>
    <w:rsid w:val="00C66583"/>
    <w:rsid w:val="00C6660E"/>
    <w:rsid w:val="00C6662E"/>
    <w:rsid w:val="00C666A4"/>
    <w:rsid w:val="00C6670D"/>
    <w:rsid w:val="00C6680F"/>
    <w:rsid w:val="00C66E5F"/>
    <w:rsid w:val="00C67468"/>
    <w:rsid w:val="00C678BD"/>
    <w:rsid w:val="00C67D09"/>
    <w:rsid w:val="00C67DB1"/>
    <w:rsid w:val="00C67EC9"/>
    <w:rsid w:val="00C70196"/>
    <w:rsid w:val="00C702B9"/>
    <w:rsid w:val="00C70304"/>
    <w:rsid w:val="00C704DE"/>
    <w:rsid w:val="00C70588"/>
    <w:rsid w:val="00C70799"/>
    <w:rsid w:val="00C7081D"/>
    <w:rsid w:val="00C70998"/>
    <w:rsid w:val="00C70A12"/>
    <w:rsid w:val="00C70EB8"/>
    <w:rsid w:val="00C70F83"/>
    <w:rsid w:val="00C70FBD"/>
    <w:rsid w:val="00C7102C"/>
    <w:rsid w:val="00C7119F"/>
    <w:rsid w:val="00C711DC"/>
    <w:rsid w:val="00C7132D"/>
    <w:rsid w:val="00C714AF"/>
    <w:rsid w:val="00C71680"/>
    <w:rsid w:val="00C71683"/>
    <w:rsid w:val="00C7190A"/>
    <w:rsid w:val="00C71936"/>
    <w:rsid w:val="00C71976"/>
    <w:rsid w:val="00C71BB9"/>
    <w:rsid w:val="00C71C96"/>
    <w:rsid w:val="00C71CA9"/>
    <w:rsid w:val="00C71D26"/>
    <w:rsid w:val="00C72282"/>
    <w:rsid w:val="00C723B2"/>
    <w:rsid w:val="00C725C3"/>
    <w:rsid w:val="00C72816"/>
    <w:rsid w:val="00C72A63"/>
    <w:rsid w:val="00C72A91"/>
    <w:rsid w:val="00C7310E"/>
    <w:rsid w:val="00C733E2"/>
    <w:rsid w:val="00C734D8"/>
    <w:rsid w:val="00C73667"/>
    <w:rsid w:val="00C7379A"/>
    <w:rsid w:val="00C737D2"/>
    <w:rsid w:val="00C737E3"/>
    <w:rsid w:val="00C739B9"/>
    <w:rsid w:val="00C73AAD"/>
    <w:rsid w:val="00C73AD4"/>
    <w:rsid w:val="00C73AD9"/>
    <w:rsid w:val="00C73AF6"/>
    <w:rsid w:val="00C73E6D"/>
    <w:rsid w:val="00C73F8B"/>
    <w:rsid w:val="00C73FCB"/>
    <w:rsid w:val="00C74012"/>
    <w:rsid w:val="00C740B3"/>
    <w:rsid w:val="00C7410A"/>
    <w:rsid w:val="00C7416A"/>
    <w:rsid w:val="00C74192"/>
    <w:rsid w:val="00C7421F"/>
    <w:rsid w:val="00C74382"/>
    <w:rsid w:val="00C74499"/>
    <w:rsid w:val="00C7463E"/>
    <w:rsid w:val="00C749CE"/>
    <w:rsid w:val="00C74A7A"/>
    <w:rsid w:val="00C74ABF"/>
    <w:rsid w:val="00C74ECA"/>
    <w:rsid w:val="00C74ECF"/>
    <w:rsid w:val="00C74F19"/>
    <w:rsid w:val="00C74F9C"/>
    <w:rsid w:val="00C75026"/>
    <w:rsid w:val="00C75036"/>
    <w:rsid w:val="00C7551D"/>
    <w:rsid w:val="00C755A5"/>
    <w:rsid w:val="00C755CF"/>
    <w:rsid w:val="00C755F7"/>
    <w:rsid w:val="00C756A0"/>
    <w:rsid w:val="00C759C6"/>
    <w:rsid w:val="00C75A4A"/>
    <w:rsid w:val="00C75A83"/>
    <w:rsid w:val="00C75E2A"/>
    <w:rsid w:val="00C75F76"/>
    <w:rsid w:val="00C7645E"/>
    <w:rsid w:val="00C764A7"/>
    <w:rsid w:val="00C764FF"/>
    <w:rsid w:val="00C7650E"/>
    <w:rsid w:val="00C76519"/>
    <w:rsid w:val="00C7671B"/>
    <w:rsid w:val="00C76B44"/>
    <w:rsid w:val="00C76DAC"/>
    <w:rsid w:val="00C76DBD"/>
    <w:rsid w:val="00C76FA1"/>
    <w:rsid w:val="00C77046"/>
    <w:rsid w:val="00C77312"/>
    <w:rsid w:val="00C77435"/>
    <w:rsid w:val="00C77442"/>
    <w:rsid w:val="00C77541"/>
    <w:rsid w:val="00C77689"/>
    <w:rsid w:val="00C77751"/>
    <w:rsid w:val="00C77C2A"/>
    <w:rsid w:val="00C77D9F"/>
    <w:rsid w:val="00C77DD9"/>
    <w:rsid w:val="00C77F61"/>
    <w:rsid w:val="00C8005B"/>
    <w:rsid w:val="00C800F2"/>
    <w:rsid w:val="00C800FA"/>
    <w:rsid w:val="00C80270"/>
    <w:rsid w:val="00C802DA"/>
    <w:rsid w:val="00C8045C"/>
    <w:rsid w:val="00C80574"/>
    <w:rsid w:val="00C806B7"/>
    <w:rsid w:val="00C8076C"/>
    <w:rsid w:val="00C80A94"/>
    <w:rsid w:val="00C80A98"/>
    <w:rsid w:val="00C80B91"/>
    <w:rsid w:val="00C80BCB"/>
    <w:rsid w:val="00C80CDC"/>
    <w:rsid w:val="00C81136"/>
    <w:rsid w:val="00C813D5"/>
    <w:rsid w:val="00C81462"/>
    <w:rsid w:val="00C81594"/>
    <w:rsid w:val="00C816B1"/>
    <w:rsid w:val="00C81707"/>
    <w:rsid w:val="00C817FF"/>
    <w:rsid w:val="00C8184F"/>
    <w:rsid w:val="00C81CFD"/>
    <w:rsid w:val="00C81E42"/>
    <w:rsid w:val="00C81EA6"/>
    <w:rsid w:val="00C81EDE"/>
    <w:rsid w:val="00C81EEA"/>
    <w:rsid w:val="00C824F7"/>
    <w:rsid w:val="00C82667"/>
    <w:rsid w:val="00C8294D"/>
    <w:rsid w:val="00C82980"/>
    <w:rsid w:val="00C82B16"/>
    <w:rsid w:val="00C82BD9"/>
    <w:rsid w:val="00C82D05"/>
    <w:rsid w:val="00C82D0A"/>
    <w:rsid w:val="00C82D38"/>
    <w:rsid w:val="00C82DB6"/>
    <w:rsid w:val="00C8306E"/>
    <w:rsid w:val="00C830B7"/>
    <w:rsid w:val="00C83245"/>
    <w:rsid w:val="00C83263"/>
    <w:rsid w:val="00C8335D"/>
    <w:rsid w:val="00C834C3"/>
    <w:rsid w:val="00C8356D"/>
    <w:rsid w:val="00C835E0"/>
    <w:rsid w:val="00C8368C"/>
    <w:rsid w:val="00C83A5A"/>
    <w:rsid w:val="00C83AD3"/>
    <w:rsid w:val="00C83C7B"/>
    <w:rsid w:val="00C83D1E"/>
    <w:rsid w:val="00C83E72"/>
    <w:rsid w:val="00C840A4"/>
    <w:rsid w:val="00C84333"/>
    <w:rsid w:val="00C845A4"/>
    <w:rsid w:val="00C84806"/>
    <w:rsid w:val="00C84A7F"/>
    <w:rsid w:val="00C84AE8"/>
    <w:rsid w:val="00C84BF4"/>
    <w:rsid w:val="00C84CA0"/>
    <w:rsid w:val="00C84F8F"/>
    <w:rsid w:val="00C84FAF"/>
    <w:rsid w:val="00C85010"/>
    <w:rsid w:val="00C85259"/>
    <w:rsid w:val="00C85451"/>
    <w:rsid w:val="00C856D3"/>
    <w:rsid w:val="00C8588D"/>
    <w:rsid w:val="00C85984"/>
    <w:rsid w:val="00C85AB7"/>
    <w:rsid w:val="00C85B04"/>
    <w:rsid w:val="00C85D3B"/>
    <w:rsid w:val="00C85EC5"/>
    <w:rsid w:val="00C8617C"/>
    <w:rsid w:val="00C862E9"/>
    <w:rsid w:val="00C865B2"/>
    <w:rsid w:val="00C867A4"/>
    <w:rsid w:val="00C868A1"/>
    <w:rsid w:val="00C869BF"/>
    <w:rsid w:val="00C86C6D"/>
    <w:rsid w:val="00C86CD4"/>
    <w:rsid w:val="00C87155"/>
    <w:rsid w:val="00C87405"/>
    <w:rsid w:val="00C8782F"/>
    <w:rsid w:val="00C879F6"/>
    <w:rsid w:val="00C87CAE"/>
    <w:rsid w:val="00C90203"/>
    <w:rsid w:val="00C9033D"/>
    <w:rsid w:val="00C90352"/>
    <w:rsid w:val="00C90515"/>
    <w:rsid w:val="00C9063F"/>
    <w:rsid w:val="00C9064B"/>
    <w:rsid w:val="00C9069C"/>
    <w:rsid w:val="00C90896"/>
    <w:rsid w:val="00C909B4"/>
    <w:rsid w:val="00C90C7F"/>
    <w:rsid w:val="00C90CAC"/>
    <w:rsid w:val="00C90ED6"/>
    <w:rsid w:val="00C91200"/>
    <w:rsid w:val="00C91215"/>
    <w:rsid w:val="00C913F7"/>
    <w:rsid w:val="00C9142E"/>
    <w:rsid w:val="00C91439"/>
    <w:rsid w:val="00C9151E"/>
    <w:rsid w:val="00C9179A"/>
    <w:rsid w:val="00C917F8"/>
    <w:rsid w:val="00C9196B"/>
    <w:rsid w:val="00C91B85"/>
    <w:rsid w:val="00C91C66"/>
    <w:rsid w:val="00C91CD0"/>
    <w:rsid w:val="00C91EFE"/>
    <w:rsid w:val="00C92043"/>
    <w:rsid w:val="00C921FA"/>
    <w:rsid w:val="00C923E2"/>
    <w:rsid w:val="00C9276B"/>
    <w:rsid w:val="00C9282E"/>
    <w:rsid w:val="00C92956"/>
    <w:rsid w:val="00C92B7F"/>
    <w:rsid w:val="00C92B88"/>
    <w:rsid w:val="00C931BB"/>
    <w:rsid w:val="00C9360B"/>
    <w:rsid w:val="00C936EE"/>
    <w:rsid w:val="00C938D3"/>
    <w:rsid w:val="00C93A1F"/>
    <w:rsid w:val="00C93AEC"/>
    <w:rsid w:val="00C93C8A"/>
    <w:rsid w:val="00C93D9B"/>
    <w:rsid w:val="00C93F7E"/>
    <w:rsid w:val="00C941CA"/>
    <w:rsid w:val="00C941E8"/>
    <w:rsid w:val="00C9426F"/>
    <w:rsid w:val="00C942EF"/>
    <w:rsid w:val="00C94366"/>
    <w:rsid w:val="00C944DA"/>
    <w:rsid w:val="00C9492A"/>
    <w:rsid w:val="00C94942"/>
    <w:rsid w:val="00C94BE8"/>
    <w:rsid w:val="00C94C30"/>
    <w:rsid w:val="00C94EB8"/>
    <w:rsid w:val="00C94FB4"/>
    <w:rsid w:val="00C95018"/>
    <w:rsid w:val="00C953E3"/>
    <w:rsid w:val="00C954F1"/>
    <w:rsid w:val="00C959F4"/>
    <w:rsid w:val="00C95C5F"/>
    <w:rsid w:val="00C95E0A"/>
    <w:rsid w:val="00C9604A"/>
    <w:rsid w:val="00C963C3"/>
    <w:rsid w:val="00C964FE"/>
    <w:rsid w:val="00C965D1"/>
    <w:rsid w:val="00C967F8"/>
    <w:rsid w:val="00C968B1"/>
    <w:rsid w:val="00C968BE"/>
    <w:rsid w:val="00C96A40"/>
    <w:rsid w:val="00C96A78"/>
    <w:rsid w:val="00C96AA2"/>
    <w:rsid w:val="00C96AE0"/>
    <w:rsid w:val="00C9709D"/>
    <w:rsid w:val="00C9713A"/>
    <w:rsid w:val="00C97218"/>
    <w:rsid w:val="00C972E4"/>
    <w:rsid w:val="00C97303"/>
    <w:rsid w:val="00C97913"/>
    <w:rsid w:val="00C97AB7"/>
    <w:rsid w:val="00C97BE4"/>
    <w:rsid w:val="00C97CB0"/>
    <w:rsid w:val="00C97DC1"/>
    <w:rsid w:val="00CA0023"/>
    <w:rsid w:val="00CA00BB"/>
    <w:rsid w:val="00CA02B2"/>
    <w:rsid w:val="00CA02ED"/>
    <w:rsid w:val="00CA0375"/>
    <w:rsid w:val="00CA03CC"/>
    <w:rsid w:val="00CA0426"/>
    <w:rsid w:val="00CA0634"/>
    <w:rsid w:val="00CA0876"/>
    <w:rsid w:val="00CA0A97"/>
    <w:rsid w:val="00CA0B5A"/>
    <w:rsid w:val="00CA0B7F"/>
    <w:rsid w:val="00CA0C82"/>
    <w:rsid w:val="00CA0CA2"/>
    <w:rsid w:val="00CA0D5B"/>
    <w:rsid w:val="00CA0F15"/>
    <w:rsid w:val="00CA10D7"/>
    <w:rsid w:val="00CA1243"/>
    <w:rsid w:val="00CA1299"/>
    <w:rsid w:val="00CA1330"/>
    <w:rsid w:val="00CA13CC"/>
    <w:rsid w:val="00CA159D"/>
    <w:rsid w:val="00CA16A0"/>
    <w:rsid w:val="00CA1719"/>
    <w:rsid w:val="00CA186C"/>
    <w:rsid w:val="00CA1B16"/>
    <w:rsid w:val="00CA1D3E"/>
    <w:rsid w:val="00CA1F48"/>
    <w:rsid w:val="00CA234D"/>
    <w:rsid w:val="00CA2582"/>
    <w:rsid w:val="00CA29E7"/>
    <w:rsid w:val="00CA2B28"/>
    <w:rsid w:val="00CA2BD5"/>
    <w:rsid w:val="00CA2C2F"/>
    <w:rsid w:val="00CA2C60"/>
    <w:rsid w:val="00CA2E8C"/>
    <w:rsid w:val="00CA2F24"/>
    <w:rsid w:val="00CA341C"/>
    <w:rsid w:val="00CA343E"/>
    <w:rsid w:val="00CA3519"/>
    <w:rsid w:val="00CA35B1"/>
    <w:rsid w:val="00CA399E"/>
    <w:rsid w:val="00CA3ACA"/>
    <w:rsid w:val="00CA3CB9"/>
    <w:rsid w:val="00CA3DC7"/>
    <w:rsid w:val="00CA3DFD"/>
    <w:rsid w:val="00CA3E9A"/>
    <w:rsid w:val="00CA3EDA"/>
    <w:rsid w:val="00CA3FCC"/>
    <w:rsid w:val="00CA41D7"/>
    <w:rsid w:val="00CA43BD"/>
    <w:rsid w:val="00CA44A2"/>
    <w:rsid w:val="00CA4AB5"/>
    <w:rsid w:val="00CA4C0C"/>
    <w:rsid w:val="00CA4E83"/>
    <w:rsid w:val="00CA4F80"/>
    <w:rsid w:val="00CA537B"/>
    <w:rsid w:val="00CA5408"/>
    <w:rsid w:val="00CA543C"/>
    <w:rsid w:val="00CA563A"/>
    <w:rsid w:val="00CA5707"/>
    <w:rsid w:val="00CA5AA3"/>
    <w:rsid w:val="00CA5AD4"/>
    <w:rsid w:val="00CA5D53"/>
    <w:rsid w:val="00CA5FDD"/>
    <w:rsid w:val="00CA619A"/>
    <w:rsid w:val="00CA62EE"/>
    <w:rsid w:val="00CA657D"/>
    <w:rsid w:val="00CA6701"/>
    <w:rsid w:val="00CA6733"/>
    <w:rsid w:val="00CA6BC1"/>
    <w:rsid w:val="00CA6FE3"/>
    <w:rsid w:val="00CA7062"/>
    <w:rsid w:val="00CA7604"/>
    <w:rsid w:val="00CA7908"/>
    <w:rsid w:val="00CA7942"/>
    <w:rsid w:val="00CA79F0"/>
    <w:rsid w:val="00CA7B0F"/>
    <w:rsid w:val="00CA7C2E"/>
    <w:rsid w:val="00CA7E59"/>
    <w:rsid w:val="00CB0084"/>
    <w:rsid w:val="00CB02C9"/>
    <w:rsid w:val="00CB0881"/>
    <w:rsid w:val="00CB0C05"/>
    <w:rsid w:val="00CB0CDA"/>
    <w:rsid w:val="00CB0E90"/>
    <w:rsid w:val="00CB0ECF"/>
    <w:rsid w:val="00CB0EEC"/>
    <w:rsid w:val="00CB104D"/>
    <w:rsid w:val="00CB11B0"/>
    <w:rsid w:val="00CB132A"/>
    <w:rsid w:val="00CB149D"/>
    <w:rsid w:val="00CB1947"/>
    <w:rsid w:val="00CB19DC"/>
    <w:rsid w:val="00CB1D8D"/>
    <w:rsid w:val="00CB2050"/>
    <w:rsid w:val="00CB20CF"/>
    <w:rsid w:val="00CB21B9"/>
    <w:rsid w:val="00CB22FB"/>
    <w:rsid w:val="00CB2377"/>
    <w:rsid w:val="00CB25EF"/>
    <w:rsid w:val="00CB278D"/>
    <w:rsid w:val="00CB27B4"/>
    <w:rsid w:val="00CB2814"/>
    <w:rsid w:val="00CB2894"/>
    <w:rsid w:val="00CB28F6"/>
    <w:rsid w:val="00CB2A6F"/>
    <w:rsid w:val="00CB302C"/>
    <w:rsid w:val="00CB317B"/>
    <w:rsid w:val="00CB3661"/>
    <w:rsid w:val="00CB3922"/>
    <w:rsid w:val="00CB3A64"/>
    <w:rsid w:val="00CB3B3C"/>
    <w:rsid w:val="00CB3D6E"/>
    <w:rsid w:val="00CB3ECD"/>
    <w:rsid w:val="00CB3F93"/>
    <w:rsid w:val="00CB4202"/>
    <w:rsid w:val="00CB4471"/>
    <w:rsid w:val="00CB47CE"/>
    <w:rsid w:val="00CB48C0"/>
    <w:rsid w:val="00CB4964"/>
    <w:rsid w:val="00CB4ABD"/>
    <w:rsid w:val="00CB4CB4"/>
    <w:rsid w:val="00CB51EE"/>
    <w:rsid w:val="00CB52AE"/>
    <w:rsid w:val="00CB52E5"/>
    <w:rsid w:val="00CB5495"/>
    <w:rsid w:val="00CB5723"/>
    <w:rsid w:val="00CB5949"/>
    <w:rsid w:val="00CB5D1B"/>
    <w:rsid w:val="00CB5D92"/>
    <w:rsid w:val="00CB6130"/>
    <w:rsid w:val="00CB64EB"/>
    <w:rsid w:val="00CB65AC"/>
    <w:rsid w:val="00CB65CF"/>
    <w:rsid w:val="00CB6838"/>
    <w:rsid w:val="00CB689D"/>
    <w:rsid w:val="00CB68A6"/>
    <w:rsid w:val="00CB6E48"/>
    <w:rsid w:val="00CB6F55"/>
    <w:rsid w:val="00CB714D"/>
    <w:rsid w:val="00CB718A"/>
    <w:rsid w:val="00CB7195"/>
    <w:rsid w:val="00CB756C"/>
    <w:rsid w:val="00CB7637"/>
    <w:rsid w:val="00CB7735"/>
    <w:rsid w:val="00CB7B83"/>
    <w:rsid w:val="00CB7C3E"/>
    <w:rsid w:val="00CB7CC6"/>
    <w:rsid w:val="00CB7FA1"/>
    <w:rsid w:val="00CC005D"/>
    <w:rsid w:val="00CC00B6"/>
    <w:rsid w:val="00CC04A5"/>
    <w:rsid w:val="00CC05CF"/>
    <w:rsid w:val="00CC061D"/>
    <w:rsid w:val="00CC067E"/>
    <w:rsid w:val="00CC0A23"/>
    <w:rsid w:val="00CC0CBC"/>
    <w:rsid w:val="00CC0EEA"/>
    <w:rsid w:val="00CC0EF5"/>
    <w:rsid w:val="00CC0F8F"/>
    <w:rsid w:val="00CC10E9"/>
    <w:rsid w:val="00CC134B"/>
    <w:rsid w:val="00CC14E8"/>
    <w:rsid w:val="00CC1563"/>
    <w:rsid w:val="00CC1598"/>
    <w:rsid w:val="00CC15C7"/>
    <w:rsid w:val="00CC1606"/>
    <w:rsid w:val="00CC1630"/>
    <w:rsid w:val="00CC1683"/>
    <w:rsid w:val="00CC1837"/>
    <w:rsid w:val="00CC1852"/>
    <w:rsid w:val="00CC1C26"/>
    <w:rsid w:val="00CC1D41"/>
    <w:rsid w:val="00CC1DF5"/>
    <w:rsid w:val="00CC23CB"/>
    <w:rsid w:val="00CC2904"/>
    <w:rsid w:val="00CC2B65"/>
    <w:rsid w:val="00CC2BD1"/>
    <w:rsid w:val="00CC2D1F"/>
    <w:rsid w:val="00CC2E6D"/>
    <w:rsid w:val="00CC3173"/>
    <w:rsid w:val="00CC3175"/>
    <w:rsid w:val="00CC361C"/>
    <w:rsid w:val="00CC3719"/>
    <w:rsid w:val="00CC376F"/>
    <w:rsid w:val="00CC3BDE"/>
    <w:rsid w:val="00CC3C3D"/>
    <w:rsid w:val="00CC3C53"/>
    <w:rsid w:val="00CC3C84"/>
    <w:rsid w:val="00CC3E8C"/>
    <w:rsid w:val="00CC4296"/>
    <w:rsid w:val="00CC43C1"/>
    <w:rsid w:val="00CC43CB"/>
    <w:rsid w:val="00CC442C"/>
    <w:rsid w:val="00CC4629"/>
    <w:rsid w:val="00CC4659"/>
    <w:rsid w:val="00CC4704"/>
    <w:rsid w:val="00CC49C8"/>
    <w:rsid w:val="00CC5004"/>
    <w:rsid w:val="00CC535E"/>
    <w:rsid w:val="00CC544A"/>
    <w:rsid w:val="00CC54B7"/>
    <w:rsid w:val="00CC5520"/>
    <w:rsid w:val="00CC5B59"/>
    <w:rsid w:val="00CC5D1C"/>
    <w:rsid w:val="00CC5D7E"/>
    <w:rsid w:val="00CC6079"/>
    <w:rsid w:val="00CC6616"/>
    <w:rsid w:val="00CC665A"/>
    <w:rsid w:val="00CC6716"/>
    <w:rsid w:val="00CC681A"/>
    <w:rsid w:val="00CC698A"/>
    <w:rsid w:val="00CC69F4"/>
    <w:rsid w:val="00CC6B30"/>
    <w:rsid w:val="00CC6CF4"/>
    <w:rsid w:val="00CC6D5F"/>
    <w:rsid w:val="00CC7177"/>
    <w:rsid w:val="00CC73EE"/>
    <w:rsid w:val="00CC752B"/>
    <w:rsid w:val="00CC76A7"/>
    <w:rsid w:val="00CC775E"/>
    <w:rsid w:val="00CC7B03"/>
    <w:rsid w:val="00CC7CC8"/>
    <w:rsid w:val="00CC7D9D"/>
    <w:rsid w:val="00CC7E5D"/>
    <w:rsid w:val="00CC7EB4"/>
    <w:rsid w:val="00CC7F23"/>
    <w:rsid w:val="00CD0126"/>
    <w:rsid w:val="00CD0128"/>
    <w:rsid w:val="00CD01EA"/>
    <w:rsid w:val="00CD0225"/>
    <w:rsid w:val="00CD04BE"/>
    <w:rsid w:val="00CD06C3"/>
    <w:rsid w:val="00CD0CF4"/>
    <w:rsid w:val="00CD0F76"/>
    <w:rsid w:val="00CD1063"/>
    <w:rsid w:val="00CD11D1"/>
    <w:rsid w:val="00CD11FE"/>
    <w:rsid w:val="00CD13BD"/>
    <w:rsid w:val="00CD1669"/>
    <w:rsid w:val="00CD18D1"/>
    <w:rsid w:val="00CD1C9F"/>
    <w:rsid w:val="00CD1CA2"/>
    <w:rsid w:val="00CD1DBE"/>
    <w:rsid w:val="00CD1FA8"/>
    <w:rsid w:val="00CD215E"/>
    <w:rsid w:val="00CD2443"/>
    <w:rsid w:val="00CD245C"/>
    <w:rsid w:val="00CD255C"/>
    <w:rsid w:val="00CD259E"/>
    <w:rsid w:val="00CD28BC"/>
    <w:rsid w:val="00CD29CD"/>
    <w:rsid w:val="00CD2E4C"/>
    <w:rsid w:val="00CD2EC1"/>
    <w:rsid w:val="00CD2FEE"/>
    <w:rsid w:val="00CD3159"/>
    <w:rsid w:val="00CD3182"/>
    <w:rsid w:val="00CD33D1"/>
    <w:rsid w:val="00CD343D"/>
    <w:rsid w:val="00CD3443"/>
    <w:rsid w:val="00CD3505"/>
    <w:rsid w:val="00CD358D"/>
    <w:rsid w:val="00CD3597"/>
    <w:rsid w:val="00CD3BCA"/>
    <w:rsid w:val="00CD4038"/>
    <w:rsid w:val="00CD4096"/>
    <w:rsid w:val="00CD4268"/>
    <w:rsid w:val="00CD4333"/>
    <w:rsid w:val="00CD45C1"/>
    <w:rsid w:val="00CD474A"/>
    <w:rsid w:val="00CD47A9"/>
    <w:rsid w:val="00CD49B3"/>
    <w:rsid w:val="00CD4B40"/>
    <w:rsid w:val="00CD4BA4"/>
    <w:rsid w:val="00CD4D2C"/>
    <w:rsid w:val="00CD4D35"/>
    <w:rsid w:val="00CD4E19"/>
    <w:rsid w:val="00CD4E4A"/>
    <w:rsid w:val="00CD5034"/>
    <w:rsid w:val="00CD51CA"/>
    <w:rsid w:val="00CD536F"/>
    <w:rsid w:val="00CD53C3"/>
    <w:rsid w:val="00CD5B20"/>
    <w:rsid w:val="00CD5BA2"/>
    <w:rsid w:val="00CD5C23"/>
    <w:rsid w:val="00CD5C95"/>
    <w:rsid w:val="00CD5CA5"/>
    <w:rsid w:val="00CD5EF8"/>
    <w:rsid w:val="00CD5F1F"/>
    <w:rsid w:val="00CD6000"/>
    <w:rsid w:val="00CD61DF"/>
    <w:rsid w:val="00CD61F0"/>
    <w:rsid w:val="00CD62B4"/>
    <w:rsid w:val="00CD634B"/>
    <w:rsid w:val="00CD63B4"/>
    <w:rsid w:val="00CD64FB"/>
    <w:rsid w:val="00CD655A"/>
    <w:rsid w:val="00CD65A8"/>
    <w:rsid w:val="00CD6D3B"/>
    <w:rsid w:val="00CD7432"/>
    <w:rsid w:val="00CD7472"/>
    <w:rsid w:val="00CD7771"/>
    <w:rsid w:val="00CD7828"/>
    <w:rsid w:val="00CD7850"/>
    <w:rsid w:val="00CD7858"/>
    <w:rsid w:val="00CD7890"/>
    <w:rsid w:val="00CD7B0B"/>
    <w:rsid w:val="00CD7D90"/>
    <w:rsid w:val="00CE0171"/>
    <w:rsid w:val="00CE03BD"/>
    <w:rsid w:val="00CE0452"/>
    <w:rsid w:val="00CE07D9"/>
    <w:rsid w:val="00CE080A"/>
    <w:rsid w:val="00CE0AD7"/>
    <w:rsid w:val="00CE13F1"/>
    <w:rsid w:val="00CE1507"/>
    <w:rsid w:val="00CE1674"/>
    <w:rsid w:val="00CE168D"/>
    <w:rsid w:val="00CE1D19"/>
    <w:rsid w:val="00CE1EC1"/>
    <w:rsid w:val="00CE1F51"/>
    <w:rsid w:val="00CE1FB7"/>
    <w:rsid w:val="00CE1FE8"/>
    <w:rsid w:val="00CE2255"/>
    <w:rsid w:val="00CE22A1"/>
    <w:rsid w:val="00CE239C"/>
    <w:rsid w:val="00CE2500"/>
    <w:rsid w:val="00CE2532"/>
    <w:rsid w:val="00CE2792"/>
    <w:rsid w:val="00CE27C5"/>
    <w:rsid w:val="00CE28F4"/>
    <w:rsid w:val="00CE2976"/>
    <w:rsid w:val="00CE2B3E"/>
    <w:rsid w:val="00CE2B66"/>
    <w:rsid w:val="00CE2B6C"/>
    <w:rsid w:val="00CE2BB9"/>
    <w:rsid w:val="00CE2C16"/>
    <w:rsid w:val="00CE2C51"/>
    <w:rsid w:val="00CE2F25"/>
    <w:rsid w:val="00CE30B5"/>
    <w:rsid w:val="00CE3611"/>
    <w:rsid w:val="00CE392D"/>
    <w:rsid w:val="00CE397E"/>
    <w:rsid w:val="00CE3AEB"/>
    <w:rsid w:val="00CE3AF8"/>
    <w:rsid w:val="00CE3B92"/>
    <w:rsid w:val="00CE3C8C"/>
    <w:rsid w:val="00CE405B"/>
    <w:rsid w:val="00CE4224"/>
    <w:rsid w:val="00CE42FF"/>
    <w:rsid w:val="00CE43F1"/>
    <w:rsid w:val="00CE47B0"/>
    <w:rsid w:val="00CE4B61"/>
    <w:rsid w:val="00CE4BF3"/>
    <w:rsid w:val="00CE4DCA"/>
    <w:rsid w:val="00CE4EDE"/>
    <w:rsid w:val="00CE4EF4"/>
    <w:rsid w:val="00CE4F47"/>
    <w:rsid w:val="00CE5030"/>
    <w:rsid w:val="00CE50C0"/>
    <w:rsid w:val="00CE50D7"/>
    <w:rsid w:val="00CE5259"/>
    <w:rsid w:val="00CE5540"/>
    <w:rsid w:val="00CE55FF"/>
    <w:rsid w:val="00CE5620"/>
    <w:rsid w:val="00CE5736"/>
    <w:rsid w:val="00CE5950"/>
    <w:rsid w:val="00CE5B68"/>
    <w:rsid w:val="00CE5BA0"/>
    <w:rsid w:val="00CE5ED7"/>
    <w:rsid w:val="00CE60DD"/>
    <w:rsid w:val="00CE61F1"/>
    <w:rsid w:val="00CE62B5"/>
    <w:rsid w:val="00CE662A"/>
    <w:rsid w:val="00CE66F7"/>
    <w:rsid w:val="00CE670B"/>
    <w:rsid w:val="00CE67C5"/>
    <w:rsid w:val="00CE67E3"/>
    <w:rsid w:val="00CE68C4"/>
    <w:rsid w:val="00CE68F3"/>
    <w:rsid w:val="00CE6D4E"/>
    <w:rsid w:val="00CE707E"/>
    <w:rsid w:val="00CE73B3"/>
    <w:rsid w:val="00CE740D"/>
    <w:rsid w:val="00CE7502"/>
    <w:rsid w:val="00CE762B"/>
    <w:rsid w:val="00CE7738"/>
    <w:rsid w:val="00CE7D62"/>
    <w:rsid w:val="00CE7E0E"/>
    <w:rsid w:val="00CE7EB9"/>
    <w:rsid w:val="00CF0012"/>
    <w:rsid w:val="00CF0146"/>
    <w:rsid w:val="00CF0165"/>
    <w:rsid w:val="00CF03A0"/>
    <w:rsid w:val="00CF0446"/>
    <w:rsid w:val="00CF0515"/>
    <w:rsid w:val="00CF05CE"/>
    <w:rsid w:val="00CF0979"/>
    <w:rsid w:val="00CF0985"/>
    <w:rsid w:val="00CF09AF"/>
    <w:rsid w:val="00CF0BFA"/>
    <w:rsid w:val="00CF0DFB"/>
    <w:rsid w:val="00CF1097"/>
    <w:rsid w:val="00CF12A4"/>
    <w:rsid w:val="00CF1597"/>
    <w:rsid w:val="00CF1668"/>
    <w:rsid w:val="00CF16C3"/>
    <w:rsid w:val="00CF19A4"/>
    <w:rsid w:val="00CF202D"/>
    <w:rsid w:val="00CF2033"/>
    <w:rsid w:val="00CF259A"/>
    <w:rsid w:val="00CF275B"/>
    <w:rsid w:val="00CF2925"/>
    <w:rsid w:val="00CF2C0F"/>
    <w:rsid w:val="00CF2E82"/>
    <w:rsid w:val="00CF2ED5"/>
    <w:rsid w:val="00CF312E"/>
    <w:rsid w:val="00CF3503"/>
    <w:rsid w:val="00CF36D5"/>
    <w:rsid w:val="00CF373E"/>
    <w:rsid w:val="00CF37D9"/>
    <w:rsid w:val="00CF383D"/>
    <w:rsid w:val="00CF3AF9"/>
    <w:rsid w:val="00CF3B3B"/>
    <w:rsid w:val="00CF3CD3"/>
    <w:rsid w:val="00CF3D1E"/>
    <w:rsid w:val="00CF3D74"/>
    <w:rsid w:val="00CF40B6"/>
    <w:rsid w:val="00CF41F0"/>
    <w:rsid w:val="00CF4421"/>
    <w:rsid w:val="00CF4597"/>
    <w:rsid w:val="00CF461C"/>
    <w:rsid w:val="00CF4983"/>
    <w:rsid w:val="00CF517D"/>
    <w:rsid w:val="00CF5550"/>
    <w:rsid w:val="00CF5733"/>
    <w:rsid w:val="00CF58EF"/>
    <w:rsid w:val="00CF5A09"/>
    <w:rsid w:val="00CF5CF7"/>
    <w:rsid w:val="00CF5D96"/>
    <w:rsid w:val="00CF5EC4"/>
    <w:rsid w:val="00CF5EFA"/>
    <w:rsid w:val="00CF5FBE"/>
    <w:rsid w:val="00CF602F"/>
    <w:rsid w:val="00CF6178"/>
    <w:rsid w:val="00CF64F6"/>
    <w:rsid w:val="00CF6881"/>
    <w:rsid w:val="00CF6AD8"/>
    <w:rsid w:val="00CF6B75"/>
    <w:rsid w:val="00CF6C9E"/>
    <w:rsid w:val="00CF6E23"/>
    <w:rsid w:val="00CF719A"/>
    <w:rsid w:val="00CF73E4"/>
    <w:rsid w:val="00CF7476"/>
    <w:rsid w:val="00CF7585"/>
    <w:rsid w:val="00CF7B60"/>
    <w:rsid w:val="00CF7CF3"/>
    <w:rsid w:val="00CF7D6B"/>
    <w:rsid w:val="00CF7DD1"/>
    <w:rsid w:val="00CF7E4F"/>
    <w:rsid w:val="00CF7EF2"/>
    <w:rsid w:val="00D000DD"/>
    <w:rsid w:val="00D00313"/>
    <w:rsid w:val="00D005C1"/>
    <w:rsid w:val="00D006E9"/>
    <w:rsid w:val="00D007F7"/>
    <w:rsid w:val="00D00800"/>
    <w:rsid w:val="00D00835"/>
    <w:rsid w:val="00D0087A"/>
    <w:rsid w:val="00D00908"/>
    <w:rsid w:val="00D0097B"/>
    <w:rsid w:val="00D00A4D"/>
    <w:rsid w:val="00D00CD4"/>
    <w:rsid w:val="00D00ECA"/>
    <w:rsid w:val="00D01079"/>
    <w:rsid w:val="00D01228"/>
    <w:rsid w:val="00D01398"/>
    <w:rsid w:val="00D014E8"/>
    <w:rsid w:val="00D01B26"/>
    <w:rsid w:val="00D01B6C"/>
    <w:rsid w:val="00D01D6B"/>
    <w:rsid w:val="00D01DCA"/>
    <w:rsid w:val="00D01EB3"/>
    <w:rsid w:val="00D01ED5"/>
    <w:rsid w:val="00D01EEA"/>
    <w:rsid w:val="00D0207D"/>
    <w:rsid w:val="00D02161"/>
    <w:rsid w:val="00D02359"/>
    <w:rsid w:val="00D02479"/>
    <w:rsid w:val="00D025B7"/>
    <w:rsid w:val="00D025CA"/>
    <w:rsid w:val="00D0260E"/>
    <w:rsid w:val="00D02740"/>
    <w:rsid w:val="00D027D1"/>
    <w:rsid w:val="00D0293B"/>
    <w:rsid w:val="00D0297A"/>
    <w:rsid w:val="00D02A37"/>
    <w:rsid w:val="00D02AB6"/>
    <w:rsid w:val="00D02B76"/>
    <w:rsid w:val="00D02EA7"/>
    <w:rsid w:val="00D030CD"/>
    <w:rsid w:val="00D030F1"/>
    <w:rsid w:val="00D03129"/>
    <w:rsid w:val="00D03338"/>
    <w:rsid w:val="00D0359D"/>
    <w:rsid w:val="00D03710"/>
    <w:rsid w:val="00D03886"/>
    <w:rsid w:val="00D038AE"/>
    <w:rsid w:val="00D038BD"/>
    <w:rsid w:val="00D0391F"/>
    <w:rsid w:val="00D03A8F"/>
    <w:rsid w:val="00D03AA1"/>
    <w:rsid w:val="00D03BEC"/>
    <w:rsid w:val="00D03D19"/>
    <w:rsid w:val="00D03FDC"/>
    <w:rsid w:val="00D0404B"/>
    <w:rsid w:val="00D04069"/>
    <w:rsid w:val="00D04170"/>
    <w:rsid w:val="00D043C0"/>
    <w:rsid w:val="00D04499"/>
    <w:rsid w:val="00D04761"/>
    <w:rsid w:val="00D0479D"/>
    <w:rsid w:val="00D04931"/>
    <w:rsid w:val="00D049A4"/>
    <w:rsid w:val="00D04A23"/>
    <w:rsid w:val="00D04A45"/>
    <w:rsid w:val="00D04A9B"/>
    <w:rsid w:val="00D04FA0"/>
    <w:rsid w:val="00D05055"/>
    <w:rsid w:val="00D05177"/>
    <w:rsid w:val="00D051C4"/>
    <w:rsid w:val="00D05625"/>
    <w:rsid w:val="00D05782"/>
    <w:rsid w:val="00D0593D"/>
    <w:rsid w:val="00D05AAE"/>
    <w:rsid w:val="00D05D62"/>
    <w:rsid w:val="00D05F56"/>
    <w:rsid w:val="00D0651D"/>
    <w:rsid w:val="00D06809"/>
    <w:rsid w:val="00D06822"/>
    <w:rsid w:val="00D06BB9"/>
    <w:rsid w:val="00D06BDC"/>
    <w:rsid w:val="00D06C17"/>
    <w:rsid w:val="00D06C89"/>
    <w:rsid w:val="00D06F6D"/>
    <w:rsid w:val="00D0711D"/>
    <w:rsid w:val="00D073EB"/>
    <w:rsid w:val="00D07543"/>
    <w:rsid w:val="00D076A1"/>
    <w:rsid w:val="00D076B6"/>
    <w:rsid w:val="00D07C9B"/>
    <w:rsid w:val="00D07DF5"/>
    <w:rsid w:val="00D07FD1"/>
    <w:rsid w:val="00D1004C"/>
    <w:rsid w:val="00D10310"/>
    <w:rsid w:val="00D104E5"/>
    <w:rsid w:val="00D1054E"/>
    <w:rsid w:val="00D1075A"/>
    <w:rsid w:val="00D1083E"/>
    <w:rsid w:val="00D109CD"/>
    <w:rsid w:val="00D10BB8"/>
    <w:rsid w:val="00D10CD5"/>
    <w:rsid w:val="00D10D6C"/>
    <w:rsid w:val="00D10E59"/>
    <w:rsid w:val="00D110DB"/>
    <w:rsid w:val="00D11111"/>
    <w:rsid w:val="00D11795"/>
    <w:rsid w:val="00D11A07"/>
    <w:rsid w:val="00D11D89"/>
    <w:rsid w:val="00D11DBC"/>
    <w:rsid w:val="00D12104"/>
    <w:rsid w:val="00D1218B"/>
    <w:rsid w:val="00D12214"/>
    <w:rsid w:val="00D1221F"/>
    <w:rsid w:val="00D127F7"/>
    <w:rsid w:val="00D129D8"/>
    <w:rsid w:val="00D12C64"/>
    <w:rsid w:val="00D1307F"/>
    <w:rsid w:val="00D1318B"/>
    <w:rsid w:val="00D132F5"/>
    <w:rsid w:val="00D13535"/>
    <w:rsid w:val="00D1372B"/>
    <w:rsid w:val="00D13765"/>
    <w:rsid w:val="00D13CF7"/>
    <w:rsid w:val="00D13FE2"/>
    <w:rsid w:val="00D14437"/>
    <w:rsid w:val="00D14690"/>
    <w:rsid w:val="00D14702"/>
    <w:rsid w:val="00D149D0"/>
    <w:rsid w:val="00D14A09"/>
    <w:rsid w:val="00D14A3B"/>
    <w:rsid w:val="00D14AA8"/>
    <w:rsid w:val="00D14DA1"/>
    <w:rsid w:val="00D14DA8"/>
    <w:rsid w:val="00D14E52"/>
    <w:rsid w:val="00D14EE4"/>
    <w:rsid w:val="00D15005"/>
    <w:rsid w:val="00D1515B"/>
    <w:rsid w:val="00D15197"/>
    <w:rsid w:val="00D1542B"/>
    <w:rsid w:val="00D15972"/>
    <w:rsid w:val="00D15A16"/>
    <w:rsid w:val="00D15B4A"/>
    <w:rsid w:val="00D15C03"/>
    <w:rsid w:val="00D15DA3"/>
    <w:rsid w:val="00D15E4A"/>
    <w:rsid w:val="00D15F3D"/>
    <w:rsid w:val="00D16055"/>
    <w:rsid w:val="00D16255"/>
    <w:rsid w:val="00D1647C"/>
    <w:rsid w:val="00D166D8"/>
    <w:rsid w:val="00D169D6"/>
    <w:rsid w:val="00D16F80"/>
    <w:rsid w:val="00D17049"/>
    <w:rsid w:val="00D170E0"/>
    <w:rsid w:val="00D17177"/>
    <w:rsid w:val="00D172FF"/>
    <w:rsid w:val="00D17394"/>
    <w:rsid w:val="00D17452"/>
    <w:rsid w:val="00D1790F"/>
    <w:rsid w:val="00D17A95"/>
    <w:rsid w:val="00D17AFC"/>
    <w:rsid w:val="00D17BAB"/>
    <w:rsid w:val="00D17DB0"/>
    <w:rsid w:val="00D20029"/>
    <w:rsid w:val="00D204AF"/>
    <w:rsid w:val="00D204D5"/>
    <w:rsid w:val="00D2052C"/>
    <w:rsid w:val="00D207E5"/>
    <w:rsid w:val="00D2096D"/>
    <w:rsid w:val="00D20C34"/>
    <w:rsid w:val="00D20CAD"/>
    <w:rsid w:val="00D20DA9"/>
    <w:rsid w:val="00D20F0C"/>
    <w:rsid w:val="00D211CD"/>
    <w:rsid w:val="00D21717"/>
    <w:rsid w:val="00D2171E"/>
    <w:rsid w:val="00D21771"/>
    <w:rsid w:val="00D21934"/>
    <w:rsid w:val="00D21B36"/>
    <w:rsid w:val="00D21C18"/>
    <w:rsid w:val="00D22060"/>
    <w:rsid w:val="00D2238A"/>
    <w:rsid w:val="00D224D9"/>
    <w:rsid w:val="00D22A34"/>
    <w:rsid w:val="00D22CF0"/>
    <w:rsid w:val="00D22DE3"/>
    <w:rsid w:val="00D22E19"/>
    <w:rsid w:val="00D22EBF"/>
    <w:rsid w:val="00D22F53"/>
    <w:rsid w:val="00D22FE3"/>
    <w:rsid w:val="00D2320C"/>
    <w:rsid w:val="00D236DC"/>
    <w:rsid w:val="00D237FE"/>
    <w:rsid w:val="00D23BCA"/>
    <w:rsid w:val="00D23DA0"/>
    <w:rsid w:val="00D23EE8"/>
    <w:rsid w:val="00D246C5"/>
    <w:rsid w:val="00D247E6"/>
    <w:rsid w:val="00D2486B"/>
    <w:rsid w:val="00D249A3"/>
    <w:rsid w:val="00D24AA4"/>
    <w:rsid w:val="00D24C3A"/>
    <w:rsid w:val="00D24D13"/>
    <w:rsid w:val="00D25358"/>
    <w:rsid w:val="00D253F0"/>
    <w:rsid w:val="00D25418"/>
    <w:rsid w:val="00D254A3"/>
    <w:rsid w:val="00D258D2"/>
    <w:rsid w:val="00D259BD"/>
    <w:rsid w:val="00D25E9A"/>
    <w:rsid w:val="00D25EC8"/>
    <w:rsid w:val="00D25EE5"/>
    <w:rsid w:val="00D25F08"/>
    <w:rsid w:val="00D261EF"/>
    <w:rsid w:val="00D26223"/>
    <w:rsid w:val="00D262F7"/>
    <w:rsid w:val="00D2682B"/>
    <w:rsid w:val="00D26971"/>
    <w:rsid w:val="00D26A69"/>
    <w:rsid w:val="00D26B93"/>
    <w:rsid w:val="00D26BFF"/>
    <w:rsid w:val="00D26C46"/>
    <w:rsid w:val="00D26C4C"/>
    <w:rsid w:val="00D26FCB"/>
    <w:rsid w:val="00D273AF"/>
    <w:rsid w:val="00D273DB"/>
    <w:rsid w:val="00D2756A"/>
    <w:rsid w:val="00D275D7"/>
    <w:rsid w:val="00D27770"/>
    <w:rsid w:val="00D278C6"/>
    <w:rsid w:val="00D27936"/>
    <w:rsid w:val="00D279E6"/>
    <w:rsid w:val="00D27D45"/>
    <w:rsid w:val="00D27DC8"/>
    <w:rsid w:val="00D30123"/>
    <w:rsid w:val="00D30596"/>
    <w:rsid w:val="00D30EBF"/>
    <w:rsid w:val="00D3119A"/>
    <w:rsid w:val="00D313F2"/>
    <w:rsid w:val="00D3148D"/>
    <w:rsid w:val="00D31637"/>
    <w:rsid w:val="00D31657"/>
    <w:rsid w:val="00D316BC"/>
    <w:rsid w:val="00D317E2"/>
    <w:rsid w:val="00D3190F"/>
    <w:rsid w:val="00D319CD"/>
    <w:rsid w:val="00D31A42"/>
    <w:rsid w:val="00D31AE9"/>
    <w:rsid w:val="00D31CE5"/>
    <w:rsid w:val="00D31DA3"/>
    <w:rsid w:val="00D32463"/>
    <w:rsid w:val="00D3273A"/>
    <w:rsid w:val="00D32878"/>
    <w:rsid w:val="00D32A18"/>
    <w:rsid w:val="00D32ACC"/>
    <w:rsid w:val="00D32BAE"/>
    <w:rsid w:val="00D32C23"/>
    <w:rsid w:val="00D32D11"/>
    <w:rsid w:val="00D32EDA"/>
    <w:rsid w:val="00D32FBE"/>
    <w:rsid w:val="00D32FC1"/>
    <w:rsid w:val="00D3302B"/>
    <w:rsid w:val="00D330B2"/>
    <w:rsid w:val="00D330C0"/>
    <w:rsid w:val="00D33150"/>
    <w:rsid w:val="00D33203"/>
    <w:rsid w:val="00D332A5"/>
    <w:rsid w:val="00D332FC"/>
    <w:rsid w:val="00D333AA"/>
    <w:rsid w:val="00D33401"/>
    <w:rsid w:val="00D33485"/>
    <w:rsid w:val="00D33562"/>
    <w:rsid w:val="00D33643"/>
    <w:rsid w:val="00D336FB"/>
    <w:rsid w:val="00D337AA"/>
    <w:rsid w:val="00D33881"/>
    <w:rsid w:val="00D33910"/>
    <w:rsid w:val="00D339E6"/>
    <w:rsid w:val="00D33A5F"/>
    <w:rsid w:val="00D33AE8"/>
    <w:rsid w:val="00D33B03"/>
    <w:rsid w:val="00D33BF2"/>
    <w:rsid w:val="00D33DE1"/>
    <w:rsid w:val="00D34213"/>
    <w:rsid w:val="00D3422B"/>
    <w:rsid w:val="00D34548"/>
    <w:rsid w:val="00D346CC"/>
    <w:rsid w:val="00D347C2"/>
    <w:rsid w:val="00D347F3"/>
    <w:rsid w:val="00D34846"/>
    <w:rsid w:val="00D348FE"/>
    <w:rsid w:val="00D349B2"/>
    <w:rsid w:val="00D35154"/>
    <w:rsid w:val="00D3516B"/>
    <w:rsid w:val="00D35240"/>
    <w:rsid w:val="00D3529D"/>
    <w:rsid w:val="00D352C7"/>
    <w:rsid w:val="00D35436"/>
    <w:rsid w:val="00D3549B"/>
    <w:rsid w:val="00D3585F"/>
    <w:rsid w:val="00D35C97"/>
    <w:rsid w:val="00D35F62"/>
    <w:rsid w:val="00D3607E"/>
    <w:rsid w:val="00D36248"/>
    <w:rsid w:val="00D36263"/>
    <w:rsid w:val="00D36413"/>
    <w:rsid w:val="00D36675"/>
    <w:rsid w:val="00D3673B"/>
    <w:rsid w:val="00D36804"/>
    <w:rsid w:val="00D36A1E"/>
    <w:rsid w:val="00D36A48"/>
    <w:rsid w:val="00D36A8B"/>
    <w:rsid w:val="00D36C1F"/>
    <w:rsid w:val="00D36C2C"/>
    <w:rsid w:val="00D36D32"/>
    <w:rsid w:val="00D36EAB"/>
    <w:rsid w:val="00D36EDE"/>
    <w:rsid w:val="00D37034"/>
    <w:rsid w:val="00D371F1"/>
    <w:rsid w:val="00D37439"/>
    <w:rsid w:val="00D377B1"/>
    <w:rsid w:val="00D37DF1"/>
    <w:rsid w:val="00D4005A"/>
    <w:rsid w:val="00D40193"/>
    <w:rsid w:val="00D40443"/>
    <w:rsid w:val="00D40610"/>
    <w:rsid w:val="00D4098A"/>
    <w:rsid w:val="00D40A82"/>
    <w:rsid w:val="00D40AE4"/>
    <w:rsid w:val="00D40B20"/>
    <w:rsid w:val="00D40C8D"/>
    <w:rsid w:val="00D40CCD"/>
    <w:rsid w:val="00D40D57"/>
    <w:rsid w:val="00D40D5C"/>
    <w:rsid w:val="00D40EEE"/>
    <w:rsid w:val="00D410B4"/>
    <w:rsid w:val="00D41235"/>
    <w:rsid w:val="00D418B4"/>
    <w:rsid w:val="00D41B9F"/>
    <w:rsid w:val="00D41C2F"/>
    <w:rsid w:val="00D4205D"/>
    <w:rsid w:val="00D42298"/>
    <w:rsid w:val="00D424A8"/>
    <w:rsid w:val="00D42560"/>
    <w:rsid w:val="00D42795"/>
    <w:rsid w:val="00D42797"/>
    <w:rsid w:val="00D43469"/>
    <w:rsid w:val="00D434DD"/>
    <w:rsid w:val="00D43577"/>
    <w:rsid w:val="00D4368D"/>
    <w:rsid w:val="00D4375B"/>
    <w:rsid w:val="00D43AA8"/>
    <w:rsid w:val="00D43B1D"/>
    <w:rsid w:val="00D43D86"/>
    <w:rsid w:val="00D43D98"/>
    <w:rsid w:val="00D43E0B"/>
    <w:rsid w:val="00D43EE1"/>
    <w:rsid w:val="00D43F1B"/>
    <w:rsid w:val="00D4403A"/>
    <w:rsid w:val="00D4432B"/>
    <w:rsid w:val="00D44379"/>
    <w:rsid w:val="00D444A5"/>
    <w:rsid w:val="00D447F6"/>
    <w:rsid w:val="00D4480A"/>
    <w:rsid w:val="00D44918"/>
    <w:rsid w:val="00D44A56"/>
    <w:rsid w:val="00D44B01"/>
    <w:rsid w:val="00D44B59"/>
    <w:rsid w:val="00D44DCE"/>
    <w:rsid w:val="00D44E97"/>
    <w:rsid w:val="00D4503E"/>
    <w:rsid w:val="00D451B1"/>
    <w:rsid w:val="00D45480"/>
    <w:rsid w:val="00D4550D"/>
    <w:rsid w:val="00D45531"/>
    <w:rsid w:val="00D4569A"/>
    <w:rsid w:val="00D458A0"/>
    <w:rsid w:val="00D45B39"/>
    <w:rsid w:val="00D45B62"/>
    <w:rsid w:val="00D45BFF"/>
    <w:rsid w:val="00D45CAA"/>
    <w:rsid w:val="00D45D6E"/>
    <w:rsid w:val="00D45D77"/>
    <w:rsid w:val="00D45ECE"/>
    <w:rsid w:val="00D45EE4"/>
    <w:rsid w:val="00D4609D"/>
    <w:rsid w:val="00D46218"/>
    <w:rsid w:val="00D46398"/>
    <w:rsid w:val="00D46422"/>
    <w:rsid w:val="00D46446"/>
    <w:rsid w:val="00D46477"/>
    <w:rsid w:val="00D4680F"/>
    <w:rsid w:val="00D46A10"/>
    <w:rsid w:val="00D46A33"/>
    <w:rsid w:val="00D46A44"/>
    <w:rsid w:val="00D46A85"/>
    <w:rsid w:val="00D46CAF"/>
    <w:rsid w:val="00D46F89"/>
    <w:rsid w:val="00D4706F"/>
    <w:rsid w:val="00D472B2"/>
    <w:rsid w:val="00D47341"/>
    <w:rsid w:val="00D4778E"/>
    <w:rsid w:val="00D47867"/>
    <w:rsid w:val="00D47C6E"/>
    <w:rsid w:val="00D5003D"/>
    <w:rsid w:val="00D501BC"/>
    <w:rsid w:val="00D5037D"/>
    <w:rsid w:val="00D503C8"/>
    <w:rsid w:val="00D50706"/>
    <w:rsid w:val="00D50A11"/>
    <w:rsid w:val="00D50EEC"/>
    <w:rsid w:val="00D5128B"/>
    <w:rsid w:val="00D515F3"/>
    <w:rsid w:val="00D51784"/>
    <w:rsid w:val="00D5189C"/>
    <w:rsid w:val="00D518C2"/>
    <w:rsid w:val="00D51922"/>
    <w:rsid w:val="00D5196E"/>
    <w:rsid w:val="00D51DCF"/>
    <w:rsid w:val="00D51DFE"/>
    <w:rsid w:val="00D51F3E"/>
    <w:rsid w:val="00D5244E"/>
    <w:rsid w:val="00D526A9"/>
    <w:rsid w:val="00D526F1"/>
    <w:rsid w:val="00D5272B"/>
    <w:rsid w:val="00D529B5"/>
    <w:rsid w:val="00D52EB7"/>
    <w:rsid w:val="00D52F78"/>
    <w:rsid w:val="00D5302B"/>
    <w:rsid w:val="00D531D4"/>
    <w:rsid w:val="00D533E0"/>
    <w:rsid w:val="00D5364D"/>
    <w:rsid w:val="00D53651"/>
    <w:rsid w:val="00D5397B"/>
    <w:rsid w:val="00D53ACE"/>
    <w:rsid w:val="00D53F45"/>
    <w:rsid w:val="00D54189"/>
    <w:rsid w:val="00D5445A"/>
    <w:rsid w:val="00D544E9"/>
    <w:rsid w:val="00D5476E"/>
    <w:rsid w:val="00D54814"/>
    <w:rsid w:val="00D549CA"/>
    <w:rsid w:val="00D54B29"/>
    <w:rsid w:val="00D54D07"/>
    <w:rsid w:val="00D54DDA"/>
    <w:rsid w:val="00D54DF2"/>
    <w:rsid w:val="00D5502B"/>
    <w:rsid w:val="00D553FA"/>
    <w:rsid w:val="00D554B4"/>
    <w:rsid w:val="00D5568D"/>
    <w:rsid w:val="00D55A8C"/>
    <w:rsid w:val="00D55E2A"/>
    <w:rsid w:val="00D55E45"/>
    <w:rsid w:val="00D55E52"/>
    <w:rsid w:val="00D55E72"/>
    <w:rsid w:val="00D55EDA"/>
    <w:rsid w:val="00D5625A"/>
    <w:rsid w:val="00D564AC"/>
    <w:rsid w:val="00D566A9"/>
    <w:rsid w:val="00D5692E"/>
    <w:rsid w:val="00D56BAB"/>
    <w:rsid w:val="00D56C76"/>
    <w:rsid w:val="00D56D24"/>
    <w:rsid w:val="00D56F2D"/>
    <w:rsid w:val="00D57361"/>
    <w:rsid w:val="00D575F0"/>
    <w:rsid w:val="00D576BC"/>
    <w:rsid w:val="00D57877"/>
    <w:rsid w:val="00D578C6"/>
    <w:rsid w:val="00D57A0C"/>
    <w:rsid w:val="00D57C53"/>
    <w:rsid w:val="00D60083"/>
    <w:rsid w:val="00D60186"/>
    <w:rsid w:val="00D6018F"/>
    <w:rsid w:val="00D605A1"/>
    <w:rsid w:val="00D606C2"/>
    <w:rsid w:val="00D6071D"/>
    <w:rsid w:val="00D609B1"/>
    <w:rsid w:val="00D60A4E"/>
    <w:rsid w:val="00D60A93"/>
    <w:rsid w:val="00D60FBB"/>
    <w:rsid w:val="00D61189"/>
    <w:rsid w:val="00D61224"/>
    <w:rsid w:val="00D613B5"/>
    <w:rsid w:val="00D613D5"/>
    <w:rsid w:val="00D614F7"/>
    <w:rsid w:val="00D61566"/>
    <w:rsid w:val="00D618D8"/>
    <w:rsid w:val="00D61950"/>
    <w:rsid w:val="00D61DF2"/>
    <w:rsid w:val="00D61ECC"/>
    <w:rsid w:val="00D620EC"/>
    <w:rsid w:val="00D6225D"/>
    <w:rsid w:val="00D62527"/>
    <w:rsid w:val="00D6268E"/>
    <w:rsid w:val="00D62B40"/>
    <w:rsid w:val="00D62C03"/>
    <w:rsid w:val="00D62C08"/>
    <w:rsid w:val="00D62D8A"/>
    <w:rsid w:val="00D63132"/>
    <w:rsid w:val="00D63483"/>
    <w:rsid w:val="00D63753"/>
    <w:rsid w:val="00D637EB"/>
    <w:rsid w:val="00D63886"/>
    <w:rsid w:val="00D6394D"/>
    <w:rsid w:val="00D63A58"/>
    <w:rsid w:val="00D63A5F"/>
    <w:rsid w:val="00D63B2D"/>
    <w:rsid w:val="00D63EB3"/>
    <w:rsid w:val="00D6404F"/>
    <w:rsid w:val="00D64103"/>
    <w:rsid w:val="00D641BD"/>
    <w:rsid w:val="00D645B0"/>
    <w:rsid w:val="00D648E8"/>
    <w:rsid w:val="00D64909"/>
    <w:rsid w:val="00D64BD1"/>
    <w:rsid w:val="00D64DD4"/>
    <w:rsid w:val="00D6500F"/>
    <w:rsid w:val="00D653BC"/>
    <w:rsid w:val="00D65491"/>
    <w:rsid w:val="00D6554F"/>
    <w:rsid w:val="00D655C4"/>
    <w:rsid w:val="00D656F1"/>
    <w:rsid w:val="00D657D5"/>
    <w:rsid w:val="00D659A5"/>
    <w:rsid w:val="00D65B28"/>
    <w:rsid w:val="00D65C52"/>
    <w:rsid w:val="00D660EA"/>
    <w:rsid w:val="00D6628E"/>
    <w:rsid w:val="00D66353"/>
    <w:rsid w:val="00D664CC"/>
    <w:rsid w:val="00D665FA"/>
    <w:rsid w:val="00D666F3"/>
    <w:rsid w:val="00D6685D"/>
    <w:rsid w:val="00D66893"/>
    <w:rsid w:val="00D66985"/>
    <w:rsid w:val="00D66DAC"/>
    <w:rsid w:val="00D6707E"/>
    <w:rsid w:val="00D671ED"/>
    <w:rsid w:val="00D6727C"/>
    <w:rsid w:val="00D67370"/>
    <w:rsid w:val="00D677C4"/>
    <w:rsid w:val="00D67805"/>
    <w:rsid w:val="00D679AB"/>
    <w:rsid w:val="00D67A7F"/>
    <w:rsid w:val="00D67A94"/>
    <w:rsid w:val="00D67B1A"/>
    <w:rsid w:val="00D67CE3"/>
    <w:rsid w:val="00D67D85"/>
    <w:rsid w:val="00D70000"/>
    <w:rsid w:val="00D70008"/>
    <w:rsid w:val="00D700C2"/>
    <w:rsid w:val="00D701C2"/>
    <w:rsid w:val="00D70248"/>
    <w:rsid w:val="00D7041F"/>
    <w:rsid w:val="00D70823"/>
    <w:rsid w:val="00D70AE6"/>
    <w:rsid w:val="00D70F8A"/>
    <w:rsid w:val="00D70F9A"/>
    <w:rsid w:val="00D70FE8"/>
    <w:rsid w:val="00D71271"/>
    <w:rsid w:val="00D712E3"/>
    <w:rsid w:val="00D713C6"/>
    <w:rsid w:val="00D714AD"/>
    <w:rsid w:val="00D71571"/>
    <w:rsid w:val="00D7176D"/>
    <w:rsid w:val="00D717D0"/>
    <w:rsid w:val="00D71AD2"/>
    <w:rsid w:val="00D71DEE"/>
    <w:rsid w:val="00D71E53"/>
    <w:rsid w:val="00D72388"/>
    <w:rsid w:val="00D723C7"/>
    <w:rsid w:val="00D72660"/>
    <w:rsid w:val="00D727C1"/>
    <w:rsid w:val="00D72C39"/>
    <w:rsid w:val="00D72D73"/>
    <w:rsid w:val="00D72D7E"/>
    <w:rsid w:val="00D72DBF"/>
    <w:rsid w:val="00D7369F"/>
    <w:rsid w:val="00D736A8"/>
    <w:rsid w:val="00D736FC"/>
    <w:rsid w:val="00D73782"/>
    <w:rsid w:val="00D73807"/>
    <w:rsid w:val="00D73AA8"/>
    <w:rsid w:val="00D73EB5"/>
    <w:rsid w:val="00D741CF"/>
    <w:rsid w:val="00D748AD"/>
    <w:rsid w:val="00D74A62"/>
    <w:rsid w:val="00D74B48"/>
    <w:rsid w:val="00D74CB0"/>
    <w:rsid w:val="00D74F93"/>
    <w:rsid w:val="00D7535F"/>
    <w:rsid w:val="00D75415"/>
    <w:rsid w:val="00D7542E"/>
    <w:rsid w:val="00D759AF"/>
    <w:rsid w:val="00D75A89"/>
    <w:rsid w:val="00D75AA0"/>
    <w:rsid w:val="00D75C24"/>
    <w:rsid w:val="00D75DC4"/>
    <w:rsid w:val="00D75DD0"/>
    <w:rsid w:val="00D75EA9"/>
    <w:rsid w:val="00D75F22"/>
    <w:rsid w:val="00D7608B"/>
    <w:rsid w:val="00D76159"/>
    <w:rsid w:val="00D7624B"/>
    <w:rsid w:val="00D7629C"/>
    <w:rsid w:val="00D764D1"/>
    <w:rsid w:val="00D76738"/>
    <w:rsid w:val="00D76951"/>
    <w:rsid w:val="00D76A06"/>
    <w:rsid w:val="00D76AF1"/>
    <w:rsid w:val="00D77049"/>
    <w:rsid w:val="00D7716C"/>
    <w:rsid w:val="00D7721D"/>
    <w:rsid w:val="00D77332"/>
    <w:rsid w:val="00D773C7"/>
    <w:rsid w:val="00D773F0"/>
    <w:rsid w:val="00D775C3"/>
    <w:rsid w:val="00D77773"/>
    <w:rsid w:val="00D77830"/>
    <w:rsid w:val="00D778AA"/>
    <w:rsid w:val="00D77ABC"/>
    <w:rsid w:val="00D77B50"/>
    <w:rsid w:val="00D77BAD"/>
    <w:rsid w:val="00D77BB7"/>
    <w:rsid w:val="00D77CB4"/>
    <w:rsid w:val="00D80057"/>
    <w:rsid w:val="00D8019B"/>
    <w:rsid w:val="00D801C7"/>
    <w:rsid w:val="00D804D2"/>
    <w:rsid w:val="00D80504"/>
    <w:rsid w:val="00D8051D"/>
    <w:rsid w:val="00D805A5"/>
    <w:rsid w:val="00D80980"/>
    <w:rsid w:val="00D80BB2"/>
    <w:rsid w:val="00D80C4C"/>
    <w:rsid w:val="00D81107"/>
    <w:rsid w:val="00D81172"/>
    <w:rsid w:val="00D8135A"/>
    <w:rsid w:val="00D8169F"/>
    <w:rsid w:val="00D816F0"/>
    <w:rsid w:val="00D8174F"/>
    <w:rsid w:val="00D81A47"/>
    <w:rsid w:val="00D81D5C"/>
    <w:rsid w:val="00D81DFF"/>
    <w:rsid w:val="00D81F46"/>
    <w:rsid w:val="00D81F60"/>
    <w:rsid w:val="00D81F88"/>
    <w:rsid w:val="00D81F92"/>
    <w:rsid w:val="00D82212"/>
    <w:rsid w:val="00D82B8C"/>
    <w:rsid w:val="00D82BCD"/>
    <w:rsid w:val="00D82C8E"/>
    <w:rsid w:val="00D82F41"/>
    <w:rsid w:val="00D832D3"/>
    <w:rsid w:val="00D8335B"/>
    <w:rsid w:val="00D83380"/>
    <w:rsid w:val="00D83459"/>
    <w:rsid w:val="00D834DD"/>
    <w:rsid w:val="00D834E0"/>
    <w:rsid w:val="00D8377A"/>
    <w:rsid w:val="00D837F4"/>
    <w:rsid w:val="00D8382E"/>
    <w:rsid w:val="00D839D2"/>
    <w:rsid w:val="00D83A7B"/>
    <w:rsid w:val="00D83E6D"/>
    <w:rsid w:val="00D83E71"/>
    <w:rsid w:val="00D83EC8"/>
    <w:rsid w:val="00D83FB4"/>
    <w:rsid w:val="00D840A7"/>
    <w:rsid w:val="00D84300"/>
    <w:rsid w:val="00D843F8"/>
    <w:rsid w:val="00D84422"/>
    <w:rsid w:val="00D844A7"/>
    <w:rsid w:val="00D8458A"/>
    <w:rsid w:val="00D845B9"/>
    <w:rsid w:val="00D84614"/>
    <w:rsid w:val="00D84629"/>
    <w:rsid w:val="00D84649"/>
    <w:rsid w:val="00D847E6"/>
    <w:rsid w:val="00D8481C"/>
    <w:rsid w:val="00D8487E"/>
    <w:rsid w:val="00D84B21"/>
    <w:rsid w:val="00D84BB6"/>
    <w:rsid w:val="00D84D1D"/>
    <w:rsid w:val="00D84E49"/>
    <w:rsid w:val="00D851B8"/>
    <w:rsid w:val="00D8531A"/>
    <w:rsid w:val="00D85417"/>
    <w:rsid w:val="00D8548D"/>
    <w:rsid w:val="00D858B8"/>
    <w:rsid w:val="00D85D13"/>
    <w:rsid w:val="00D85DB3"/>
    <w:rsid w:val="00D85FC1"/>
    <w:rsid w:val="00D86150"/>
    <w:rsid w:val="00D86177"/>
    <w:rsid w:val="00D863E1"/>
    <w:rsid w:val="00D86629"/>
    <w:rsid w:val="00D86795"/>
    <w:rsid w:val="00D8690E"/>
    <w:rsid w:val="00D86A9B"/>
    <w:rsid w:val="00D86E1C"/>
    <w:rsid w:val="00D872ED"/>
    <w:rsid w:val="00D87472"/>
    <w:rsid w:val="00D874A6"/>
    <w:rsid w:val="00D8772E"/>
    <w:rsid w:val="00D87834"/>
    <w:rsid w:val="00D87926"/>
    <w:rsid w:val="00D87B48"/>
    <w:rsid w:val="00D87CCF"/>
    <w:rsid w:val="00D87F65"/>
    <w:rsid w:val="00D900BD"/>
    <w:rsid w:val="00D90313"/>
    <w:rsid w:val="00D903FA"/>
    <w:rsid w:val="00D9041C"/>
    <w:rsid w:val="00D90619"/>
    <w:rsid w:val="00D906B1"/>
    <w:rsid w:val="00D906CB"/>
    <w:rsid w:val="00D90923"/>
    <w:rsid w:val="00D90A07"/>
    <w:rsid w:val="00D90A60"/>
    <w:rsid w:val="00D910D5"/>
    <w:rsid w:val="00D9118A"/>
    <w:rsid w:val="00D918EE"/>
    <w:rsid w:val="00D919BA"/>
    <w:rsid w:val="00D91A0A"/>
    <w:rsid w:val="00D91D25"/>
    <w:rsid w:val="00D91ED9"/>
    <w:rsid w:val="00D91F65"/>
    <w:rsid w:val="00D91F77"/>
    <w:rsid w:val="00D91F92"/>
    <w:rsid w:val="00D91FA0"/>
    <w:rsid w:val="00D920E1"/>
    <w:rsid w:val="00D922C7"/>
    <w:rsid w:val="00D922C9"/>
    <w:rsid w:val="00D9246E"/>
    <w:rsid w:val="00D9254D"/>
    <w:rsid w:val="00D92A59"/>
    <w:rsid w:val="00D92A69"/>
    <w:rsid w:val="00D92CBC"/>
    <w:rsid w:val="00D93229"/>
    <w:rsid w:val="00D932CF"/>
    <w:rsid w:val="00D93347"/>
    <w:rsid w:val="00D93425"/>
    <w:rsid w:val="00D93520"/>
    <w:rsid w:val="00D93900"/>
    <w:rsid w:val="00D939F8"/>
    <w:rsid w:val="00D93A00"/>
    <w:rsid w:val="00D93A40"/>
    <w:rsid w:val="00D93BC5"/>
    <w:rsid w:val="00D93C0A"/>
    <w:rsid w:val="00D93CA1"/>
    <w:rsid w:val="00D93D84"/>
    <w:rsid w:val="00D93DD0"/>
    <w:rsid w:val="00D9407E"/>
    <w:rsid w:val="00D9423E"/>
    <w:rsid w:val="00D942B3"/>
    <w:rsid w:val="00D94381"/>
    <w:rsid w:val="00D94627"/>
    <w:rsid w:val="00D94688"/>
    <w:rsid w:val="00D94971"/>
    <w:rsid w:val="00D94F7D"/>
    <w:rsid w:val="00D951E0"/>
    <w:rsid w:val="00D9555D"/>
    <w:rsid w:val="00D955A9"/>
    <w:rsid w:val="00D956D9"/>
    <w:rsid w:val="00D95846"/>
    <w:rsid w:val="00D95B99"/>
    <w:rsid w:val="00D95E67"/>
    <w:rsid w:val="00D95F5E"/>
    <w:rsid w:val="00D95F81"/>
    <w:rsid w:val="00D9621B"/>
    <w:rsid w:val="00D9672E"/>
    <w:rsid w:val="00D96914"/>
    <w:rsid w:val="00D9693D"/>
    <w:rsid w:val="00D96EB8"/>
    <w:rsid w:val="00D9715E"/>
    <w:rsid w:val="00D9749F"/>
    <w:rsid w:val="00D975CF"/>
    <w:rsid w:val="00D97922"/>
    <w:rsid w:val="00D97CFD"/>
    <w:rsid w:val="00D97D0C"/>
    <w:rsid w:val="00D97E12"/>
    <w:rsid w:val="00D97E86"/>
    <w:rsid w:val="00D97F5B"/>
    <w:rsid w:val="00DA0015"/>
    <w:rsid w:val="00DA0017"/>
    <w:rsid w:val="00DA019E"/>
    <w:rsid w:val="00DA02E0"/>
    <w:rsid w:val="00DA0405"/>
    <w:rsid w:val="00DA05D7"/>
    <w:rsid w:val="00DA06B5"/>
    <w:rsid w:val="00DA0754"/>
    <w:rsid w:val="00DA08B2"/>
    <w:rsid w:val="00DA0931"/>
    <w:rsid w:val="00DA0995"/>
    <w:rsid w:val="00DA09F1"/>
    <w:rsid w:val="00DA0B52"/>
    <w:rsid w:val="00DA0B90"/>
    <w:rsid w:val="00DA0C9A"/>
    <w:rsid w:val="00DA0D30"/>
    <w:rsid w:val="00DA0E0C"/>
    <w:rsid w:val="00DA0FCE"/>
    <w:rsid w:val="00DA1070"/>
    <w:rsid w:val="00DA1137"/>
    <w:rsid w:val="00DA114C"/>
    <w:rsid w:val="00DA128A"/>
    <w:rsid w:val="00DA138B"/>
    <w:rsid w:val="00DA140A"/>
    <w:rsid w:val="00DA1453"/>
    <w:rsid w:val="00DA15FE"/>
    <w:rsid w:val="00DA176D"/>
    <w:rsid w:val="00DA1851"/>
    <w:rsid w:val="00DA19D9"/>
    <w:rsid w:val="00DA1AFB"/>
    <w:rsid w:val="00DA1B5D"/>
    <w:rsid w:val="00DA1D35"/>
    <w:rsid w:val="00DA1D86"/>
    <w:rsid w:val="00DA1F30"/>
    <w:rsid w:val="00DA1F53"/>
    <w:rsid w:val="00DA2030"/>
    <w:rsid w:val="00DA215C"/>
    <w:rsid w:val="00DA21E7"/>
    <w:rsid w:val="00DA2234"/>
    <w:rsid w:val="00DA2382"/>
    <w:rsid w:val="00DA23E1"/>
    <w:rsid w:val="00DA24B5"/>
    <w:rsid w:val="00DA2642"/>
    <w:rsid w:val="00DA2885"/>
    <w:rsid w:val="00DA3195"/>
    <w:rsid w:val="00DA3674"/>
    <w:rsid w:val="00DA3709"/>
    <w:rsid w:val="00DA372B"/>
    <w:rsid w:val="00DA37AE"/>
    <w:rsid w:val="00DA389D"/>
    <w:rsid w:val="00DA3AEC"/>
    <w:rsid w:val="00DA3C9A"/>
    <w:rsid w:val="00DA3F15"/>
    <w:rsid w:val="00DA4090"/>
    <w:rsid w:val="00DA419A"/>
    <w:rsid w:val="00DA41D3"/>
    <w:rsid w:val="00DA424E"/>
    <w:rsid w:val="00DA437C"/>
    <w:rsid w:val="00DA44DB"/>
    <w:rsid w:val="00DA4656"/>
    <w:rsid w:val="00DA4891"/>
    <w:rsid w:val="00DA4B5C"/>
    <w:rsid w:val="00DA4C75"/>
    <w:rsid w:val="00DA4C94"/>
    <w:rsid w:val="00DA4F4A"/>
    <w:rsid w:val="00DA5093"/>
    <w:rsid w:val="00DA516D"/>
    <w:rsid w:val="00DA523E"/>
    <w:rsid w:val="00DA5241"/>
    <w:rsid w:val="00DA535A"/>
    <w:rsid w:val="00DA58E2"/>
    <w:rsid w:val="00DA5903"/>
    <w:rsid w:val="00DA599A"/>
    <w:rsid w:val="00DA5AB1"/>
    <w:rsid w:val="00DA5D55"/>
    <w:rsid w:val="00DA622B"/>
    <w:rsid w:val="00DA6507"/>
    <w:rsid w:val="00DA6547"/>
    <w:rsid w:val="00DA657E"/>
    <w:rsid w:val="00DA661E"/>
    <w:rsid w:val="00DA6665"/>
    <w:rsid w:val="00DA66A4"/>
    <w:rsid w:val="00DA66D9"/>
    <w:rsid w:val="00DA6934"/>
    <w:rsid w:val="00DA6973"/>
    <w:rsid w:val="00DA6C08"/>
    <w:rsid w:val="00DA6C5E"/>
    <w:rsid w:val="00DA6E43"/>
    <w:rsid w:val="00DA703E"/>
    <w:rsid w:val="00DA706E"/>
    <w:rsid w:val="00DA736E"/>
    <w:rsid w:val="00DA778D"/>
    <w:rsid w:val="00DA77CE"/>
    <w:rsid w:val="00DA7812"/>
    <w:rsid w:val="00DA7814"/>
    <w:rsid w:val="00DA7845"/>
    <w:rsid w:val="00DA784A"/>
    <w:rsid w:val="00DA7A78"/>
    <w:rsid w:val="00DA7BDB"/>
    <w:rsid w:val="00DA7C8C"/>
    <w:rsid w:val="00DA7CA2"/>
    <w:rsid w:val="00DA7E01"/>
    <w:rsid w:val="00DB0050"/>
    <w:rsid w:val="00DB00E5"/>
    <w:rsid w:val="00DB0305"/>
    <w:rsid w:val="00DB0341"/>
    <w:rsid w:val="00DB09AB"/>
    <w:rsid w:val="00DB11C8"/>
    <w:rsid w:val="00DB1361"/>
    <w:rsid w:val="00DB13DC"/>
    <w:rsid w:val="00DB14D8"/>
    <w:rsid w:val="00DB17DB"/>
    <w:rsid w:val="00DB183E"/>
    <w:rsid w:val="00DB194B"/>
    <w:rsid w:val="00DB19A7"/>
    <w:rsid w:val="00DB1B6E"/>
    <w:rsid w:val="00DB1CD5"/>
    <w:rsid w:val="00DB1CE4"/>
    <w:rsid w:val="00DB1D99"/>
    <w:rsid w:val="00DB1E24"/>
    <w:rsid w:val="00DB205E"/>
    <w:rsid w:val="00DB231A"/>
    <w:rsid w:val="00DB23AB"/>
    <w:rsid w:val="00DB245E"/>
    <w:rsid w:val="00DB2969"/>
    <w:rsid w:val="00DB2AAA"/>
    <w:rsid w:val="00DB2BBB"/>
    <w:rsid w:val="00DB2C81"/>
    <w:rsid w:val="00DB316F"/>
    <w:rsid w:val="00DB3552"/>
    <w:rsid w:val="00DB36A0"/>
    <w:rsid w:val="00DB36FA"/>
    <w:rsid w:val="00DB37B2"/>
    <w:rsid w:val="00DB3975"/>
    <w:rsid w:val="00DB3A04"/>
    <w:rsid w:val="00DB3AFD"/>
    <w:rsid w:val="00DB3BE3"/>
    <w:rsid w:val="00DB3C8C"/>
    <w:rsid w:val="00DB3CB8"/>
    <w:rsid w:val="00DB3CED"/>
    <w:rsid w:val="00DB3E06"/>
    <w:rsid w:val="00DB3E2B"/>
    <w:rsid w:val="00DB3F0E"/>
    <w:rsid w:val="00DB408C"/>
    <w:rsid w:val="00DB4101"/>
    <w:rsid w:val="00DB415D"/>
    <w:rsid w:val="00DB4160"/>
    <w:rsid w:val="00DB41A6"/>
    <w:rsid w:val="00DB4257"/>
    <w:rsid w:val="00DB43AD"/>
    <w:rsid w:val="00DB441F"/>
    <w:rsid w:val="00DB4621"/>
    <w:rsid w:val="00DB48BE"/>
    <w:rsid w:val="00DB4A9A"/>
    <w:rsid w:val="00DB4C7F"/>
    <w:rsid w:val="00DB4F57"/>
    <w:rsid w:val="00DB4FA0"/>
    <w:rsid w:val="00DB529B"/>
    <w:rsid w:val="00DB56E9"/>
    <w:rsid w:val="00DB57F2"/>
    <w:rsid w:val="00DB5868"/>
    <w:rsid w:val="00DB5B64"/>
    <w:rsid w:val="00DB5D85"/>
    <w:rsid w:val="00DB6397"/>
    <w:rsid w:val="00DB67EA"/>
    <w:rsid w:val="00DB6ABB"/>
    <w:rsid w:val="00DB6B5B"/>
    <w:rsid w:val="00DB6B96"/>
    <w:rsid w:val="00DB6CCB"/>
    <w:rsid w:val="00DB6D2F"/>
    <w:rsid w:val="00DB7358"/>
    <w:rsid w:val="00DB7382"/>
    <w:rsid w:val="00DB73EF"/>
    <w:rsid w:val="00DB74E5"/>
    <w:rsid w:val="00DB78D9"/>
    <w:rsid w:val="00DB7957"/>
    <w:rsid w:val="00DB795D"/>
    <w:rsid w:val="00DB79C1"/>
    <w:rsid w:val="00DB7A56"/>
    <w:rsid w:val="00DB7B4B"/>
    <w:rsid w:val="00DB7F18"/>
    <w:rsid w:val="00DB7F26"/>
    <w:rsid w:val="00DB7F87"/>
    <w:rsid w:val="00DC0375"/>
    <w:rsid w:val="00DC0444"/>
    <w:rsid w:val="00DC04F5"/>
    <w:rsid w:val="00DC0A44"/>
    <w:rsid w:val="00DC0B96"/>
    <w:rsid w:val="00DC0C14"/>
    <w:rsid w:val="00DC0DB5"/>
    <w:rsid w:val="00DC0FC8"/>
    <w:rsid w:val="00DC1181"/>
    <w:rsid w:val="00DC13CC"/>
    <w:rsid w:val="00DC13D1"/>
    <w:rsid w:val="00DC157D"/>
    <w:rsid w:val="00DC1726"/>
    <w:rsid w:val="00DC1A9F"/>
    <w:rsid w:val="00DC21D7"/>
    <w:rsid w:val="00DC2219"/>
    <w:rsid w:val="00DC22B7"/>
    <w:rsid w:val="00DC25FF"/>
    <w:rsid w:val="00DC28B5"/>
    <w:rsid w:val="00DC292A"/>
    <w:rsid w:val="00DC2AAB"/>
    <w:rsid w:val="00DC2D28"/>
    <w:rsid w:val="00DC2DB8"/>
    <w:rsid w:val="00DC3048"/>
    <w:rsid w:val="00DC314B"/>
    <w:rsid w:val="00DC32D0"/>
    <w:rsid w:val="00DC34EF"/>
    <w:rsid w:val="00DC38F1"/>
    <w:rsid w:val="00DC3BF9"/>
    <w:rsid w:val="00DC3C26"/>
    <w:rsid w:val="00DC3E8A"/>
    <w:rsid w:val="00DC3ECF"/>
    <w:rsid w:val="00DC3F7E"/>
    <w:rsid w:val="00DC4041"/>
    <w:rsid w:val="00DC424F"/>
    <w:rsid w:val="00DC446C"/>
    <w:rsid w:val="00DC4687"/>
    <w:rsid w:val="00DC471D"/>
    <w:rsid w:val="00DC4728"/>
    <w:rsid w:val="00DC4DD7"/>
    <w:rsid w:val="00DC4F34"/>
    <w:rsid w:val="00DC51CD"/>
    <w:rsid w:val="00DC5297"/>
    <w:rsid w:val="00DC5423"/>
    <w:rsid w:val="00DC56D5"/>
    <w:rsid w:val="00DC570C"/>
    <w:rsid w:val="00DC58FE"/>
    <w:rsid w:val="00DC59A6"/>
    <w:rsid w:val="00DC5AE6"/>
    <w:rsid w:val="00DC5B8F"/>
    <w:rsid w:val="00DC5C72"/>
    <w:rsid w:val="00DC60B1"/>
    <w:rsid w:val="00DC618B"/>
    <w:rsid w:val="00DC62F0"/>
    <w:rsid w:val="00DC68DB"/>
    <w:rsid w:val="00DC6B15"/>
    <w:rsid w:val="00DC6DDA"/>
    <w:rsid w:val="00DC6FB7"/>
    <w:rsid w:val="00DC7099"/>
    <w:rsid w:val="00DC73BA"/>
    <w:rsid w:val="00DC7636"/>
    <w:rsid w:val="00DC76A1"/>
    <w:rsid w:val="00DC7793"/>
    <w:rsid w:val="00DC79E7"/>
    <w:rsid w:val="00DC7A79"/>
    <w:rsid w:val="00DC7B4F"/>
    <w:rsid w:val="00DC7CE8"/>
    <w:rsid w:val="00DC7F67"/>
    <w:rsid w:val="00DD01F1"/>
    <w:rsid w:val="00DD04DA"/>
    <w:rsid w:val="00DD051E"/>
    <w:rsid w:val="00DD0547"/>
    <w:rsid w:val="00DD0563"/>
    <w:rsid w:val="00DD05C1"/>
    <w:rsid w:val="00DD0896"/>
    <w:rsid w:val="00DD0BEA"/>
    <w:rsid w:val="00DD0D24"/>
    <w:rsid w:val="00DD0DD5"/>
    <w:rsid w:val="00DD0F44"/>
    <w:rsid w:val="00DD11E4"/>
    <w:rsid w:val="00DD1234"/>
    <w:rsid w:val="00DD126D"/>
    <w:rsid w:val="00DD1986"/>
    <w:rsid w:val="00DD1AA1"/>
    <w:rsid w:val="00DD1ACD"/>
    <w:rsid w:val="00DD1C73"/>
    <w:rsid w:val="00DD1CC4"/>
    <w:rsid w:val="00DD1E09"/>
    <w:rsid w:val="00DD1F6A"/>
    <w:rsid w:val="00DD202F"/>
    <w:rsid w:val="00DD2204"/>
    <w:rsid w:val="00DD2564"/>
    <w:rsid w:val="00DD2645"/>
    <w:rsid w:val="00DD2688"/>
    <w:rsid w:val="00DD308C"/>
    <w:rsid w:val="00DD33FD"/>
    <w:rsid w:val="00DD34DE"/>
    <w:rsid w:val="00DD36E7"/>
    <w:rsid w:val="00DD3867"/>
    <w:rsid w:val="00DD3C24"/>
    <w:rsid w:val="00DD3D7D"/>
    <w:rsid w:val="00DD41BB"/>
    <w:rsid w:val="00DD465E"/>
    <w:rsid w:val="00DD493A"/>
    <w:rsid w:val="00DD4A7B"/>
    <w:rsid w:val="00DD4AD4"/>
    <w:rsid w:val="00DD4BE3"/>
    <w:rsid w:val="00DD4C7E"/>
    <w:rsid w:val="00DD4D99"/>
    <w:rsid w:val="00DD4DA8"/>
    <w:rsid w:val="00DD4F0C"/>
    <w:rsid w:val="00DD508F"/>
    <w:rsid w:val="00DD50C7"/>
    <w:rsid w:val="00DD50C9"/>
    <w:rsid w:val="00DD52BB"/>
    <w:rsid w:val="00DD52CE"/>
    <w:rsid w:val="00DD54A8"/>
    <w:rsid w:val="00DD54E2"/>
    <w:rsid w:val="00DD559D"/>
    <w:rsid w:val="00DD5939"/>
    <w:rsid w:val="00DD59F2"/>
    <w:rsid w:val="00DD5AB3"/>
    <w:rsid w:val="00DD5E09"/>
    <w:rsid w:val="00DD5E52"/>
    <w:rsid w:val="00DD5F01"/>
    <w:rsid w:val="00DD5FD3"/>
    <w:rsid w:val="00DD600D"/>
    <w:rsid w:val="00DD6129"/>
    <w:rsid w:val="00DD6391"/>
    <w:rsid w:val="00DD63D7"/>
    <w:rsid w:val="00DD64B3"/>
    <w:rsid w:val="00DD6574"/>
    <w:rsid w:val="00DD66B9"/>
    <w:rsid w:val="00DD670A"/>
    <w:rsid w:val="00DD677B"/>
    <w:rsid w:val="00DD6AAF"/>
    <w:rsid w:val="00DD6D6C"/>
    <w:rsid w:val="00DD6E84"/>
    <w:rsid w:val="00DD6F69"/>
    <w:rsid w:val="00DD7103"/>
    <w:rsid w:val="00DD729F"/>
    <w:rsid w:val="00DD74F5"/>
    <w:rsid w:val="00DD758D"/>
    <w:rsid w:val="00DD7613"/>
    <w:rsid w:val="00DD7744"/>
    <w:rsid w:val="00DD7A81"/>
    <w:rsid w:val="00DD7BE2"/>
    <w:rsid w:val="00DD7C30"/>
    <w:rsid w:val="00DD7D70"/>
    <w:rsid w:val="00DE016A"/>
    <w:rsid w:val="00DE03E4"/>
    <w:rsid w:val="00DE0499"/>
    <w:rsid w:val="00DE05FC"/>
    <w:rsid w:val="00DE0937"/>
    <w:rsid w:val="00DE0A44"/>
    <w:rsid w:val="00DE0BAE"/>
    <w:rsid w:val="00DE1504"/>
    <w:rsid w:val="00DE1A0D"/>
    <w:rsid w:val="00DE1A55"/>
    <w:rsid w:val="00DE1C58"/>
    <w:rsid w:val="00DE1F7C"/>
    <w:rsid w:val="00DE209B"/>
    <w:rsid w:val="00DE2260"/>
    <w:rsid w:val="00DE2339"/>
    <w:rsid w:val="00DE2723"/>
    <w:rsid w:val="00DE28B6"/>
    <w:rsid w:val="00DE2B29"/>
    <w:rsid w:val="00DE2CE5"/>
    <w:rsid w:val="00DE2DD6"/>
    <w:rsid w:val="00DE2E6A"/>
    <w:rsid w:val="00DE2EFB"/>
    <w:rsid w:val="00DE3055"/>
    <w:rsid w:val="00DE3248"/>
    <w:rsid w:val="00DE3636"/>
    <w:rsid w:val="00DE366D"/>
    <w:rsid w:val="00DE36A9"/>
    <w:rsid w:val="00DE38E1"/>
    <w:rsid w:val="00DE3C93"/>
    <w:rsid w:val="00DE42D5"/>
    <w:rsid w:val="00DE43F4"/>
    <w:rsid w:val="00DE452F"/>
    <w:rsid w:val="00DE45A8"/>
    <w:rsid w:val="00DE460F"/>
    <w:rsid w:val="00DE494F"/>
    <w:rsid w:val="00DE498D"/>
    <w:rsid w:val="00DE4BCB"/>
    <w:rsid w:val="00DE4D3F"/>
    <w:rsid w:val="00DE4E81"/>
    <w:rsid w:val="00DE5126"/>
    <w:rsid w:val="00DE5729"/>
    <w:rsid w:val="00DE5AC3"/>
    <w:rsid w:val="00DE5AE6"/>
    <w:rsid w:val="00DE5B6C"/>
    <w:rsid w:val="00DE5C14"/>
    <w:rsid w:val="00DE5CDB"/>
    <w:rsid w:val="00DE5D86"/>
    <w:rsid w:val="00DE5EEF"/>
    <w:rsid w:val="00DE5EFC"/>
    <w:rsid w:val="00DE6376"/>
    <w:rsid w:val="00DE6473"/>
    <w:rsid w:val="00DE648C"/>
    <w:rsid w:val="00DE64C4"/>
    <w:rsid w:val="00DE6716"/>
    <w:rsid w:val="00DE68FB"/>
    <w:rsid w:val="00DE6F93"/>
    <w:rsid w:val="00DE704C"/>
    <w:rsid w:val="00DE70A8"/>
    <w:rsid w:val="00DE72DC"/>
    <w:rsid w:val="00DE73E3"/>
    <w:rsid w:val="00DE74AE"/>
    <w:rsid w:val="00DE7628"/>
    <w:rsid w:val="00DE778E"/>
    <w:rsid w:val="00DE77B0"/>
    <w:rsid w:val="00DE781E"/>
    <w:rsid w:val="00DE79B5"/>
    <w:rsid w:val="00DE7A56"/>
    <w:rsid w:val="00DE7BC8"/>
    <w:rsid w:val="00DF0005"/>
    <w:rsid w:val="00DF0212"/>
    <w:rsid w:val="00DF031A"/>
    <w:rsid w:val="00DF07B1"/>
    <w:rsid w:val="00DF0893"/>
    <w:rsid w:val="00DF0F68"/>
    <w:rsid w:val="00DF1254"/>
    <w:rsid w:val="00DF1294"/>
    <w:rsid w:val="00DF16BD"/>
    <w:rsid w:val="00DF17A9"/>
    <w:rsid w:val="00DF1874"/>
    <w:rsid w:val="00DF1886"/>
    <w:rsid w:val="00DF18B3"/>
    <w:rsid w:val="00DF18F1"/>
    <w:rsid w:val="00DF1A49"/>
    <w:rsid w:val="00DF1AD1"/>
    <w:rsid w:val="00DF1AE5"/>
    <w:rsid w:val="00DF1BE9"/>
    <w:rsid w:val="00DF1C0F"/>
    <w:rsid w:val="00DF218C"/>
    <w:rsid w:val="00DF26AA"/>
    <w:rsid w:val="00DF28FE"/>
    <w:rsid w:val="00DF2A4E"/>
    <w:rsid w:val="00DF2C70"/>
    <w:rsid w:val="00DF2CA9"/>
    <w:rsid w:val="00DF2EFB"/>
    <w:rsid w:val="00DF2FA8"/>
    <w:rsid w:val="00DF3055"/>
    <w:rsid w:val="00DF3072"/>
    <w:rsid w:val="00DF31C4"/>
    <w:rsid w:val="00DF34ED"/>
    <w:rsid w:val="00DF37CB"/>
    <w:rsid w:val="00DF3929"/>
    <w:rsid w:val="00DF3DFC"/>
    <w:rsid w:val="00DF3E0F"/>
    <w:rsid w:val="00DF40D3"/>
    <w:rsid w:val="00DF411F"/>
    <w:rsid w:val="00DF4401"/>
    <w:rsid w:val="00DF46AA"/>
    <w:rsid w:val="00DF4726"/>
    <w:rsid w:val="00DF49F1"/>
    <w:rsid w:val="00DF4A83"/>
    <w:rsid w:val="00DF4B3C"/>
    <w:rsid w:val="00DF4B79"/>
    <w:rsid w:val="00DF4B9F"/>
    <w:rsid w:val="00DF4C51"/>
    <w:rsid w:val="00DF4FFD"/>
    <w:rsid w:val="00DF5021"/>
    <w:rsid w:val="00DF52B6"/>
    <w:rsid w:val="00DF55E6"/>
    <w:rsid w:val="00DF56B7"/>
    <w:rsid w:val="00DF575B"/>
    <w:rsid w:val="00DF593F"/>
    <w:rsid w:val="00DF5C7D"/>
    <w:rsid w:val="00DF5D83"/>
    <w:rsid w:val="00DF6316"/>
    <w:rsid w:val="00DF6334"/>
    <w:rsid w:val="00DF6544"/>
    <w:rsid w:val="00DF6799"/>
    <w:rsid w:val="00DF690E"/>
    <w:rsid w:val="00DF69B6"/>
    <w:rsid w:val="00DF6ABD"/>
    <w:rsid w:val="00DF6ADB"/>
    <w:rsid w:val="00DF6CBB"/>
    <w:rsid w:val="00DF6CCC"/>
    <w:rsid w:val="00DF6D57"/>
    <w:rsid w:val="00DF6DB0"/>
    <w:rsid w:val="00DF6E49"/>
    <w:rsid w:val="00DF6E6C"/>
    <w:rsid w:val="00DF6E99"/>
    <w:rsid w:val="00DF736F"/>
    <w:rsid w:val="00DF75C4"/>
    <w:rsid w:val="00DF777E"/>
    <w:rsid w:val="00DF7873"/>
    <w:rsid w:val="00DF79E1"/>
    <w:rsid w:val="00DF7A9A"/>
    <w:rsid w:val="00DF7CBD"/>
    <w:rsid w:val="00DF7D27"/>
    <w:rsid w:val="00E000EC"/>
    <w:rsid w:val="00E00378"/>
    <w:rsid w:val="00E0043C"/>
    <w:rsid w:val="00E006B8"/>
    <w:rsid w:val="00E0074B"/>
    <w:rsid w:val="00E00825"/>
    <w:rsid w:val="00E009D8"/>
    <w:rsid w:val="00E00A8D"/>
    <w:rsid w:val="00E00ADD"/>
    <w:rsid w:val="00E00EAF"/>
    <w:rsid w:val="00E01005"/>
    <w:rsid w:val="00E01068"/>
    <w:rsid w:val="00E010C4"/>
    <w:rsid w:val="00E0129C"/>
    <w:rsid w:val="00E012DD"/>
    <w:rsid w:val="00E014FA"/>
    <w:rsid w:val="00E019B9"/>
    <w:rsid w:val="00E01A94"/>
    <w:rsid w:val="00E01B27"/>
    <w:rsid w:val="00E01C73"/>
    <w:rsid w:val="00E020BE"/>
    <w:rsid w:val="00E02145"/>
    <w:rsid w:val="00E023B4"/>
    <w:rsid w:val="00E026A1"/>
    <w:rsid w:val="00E026D2"/>
    <w:rsid w:val="00E0275F"/>
    <w:rsid w:val="00E02829"/>
    <w:rsid w:val="00E02C4A"/>
    <w:rsid w:val="00E02D53"/>
    <w:rsid w:val="00E02D92"/>
    <w:rsid w:val="00E02EE5"/>
    <w:rsid w:val="00E02F2C"/>
    <w:rsid w:val="00E02F6A"/>
    <w:rsid w:val="00E03081"/>
    <w:rsid w:val="00E032C0"/>
    <w:rsid w:val="00E039A3"/>
    <w:rsid w:val="00E03AA8"/>
    <w:rsid w:val="00E03B3A"/>
    <w:rsid w:val="00E03F01"/>
    <w:rsid w:val="00E04713"/>
    <w:rsid w:val="00E04833"/>
    <w:rsid w:val="00E04874"/>
    <w:rsid w:val="00E04910"/>
    <w:rsid w:val="00E04911"/>
    <w:rsid w:val="00E04C1E"/>
    <w:rsid w:val="00E04CEB"/>
    <w:rsid w:val="00E04D72"/>
    <w:rsid w:val="00E04F2D"/>
    <w:rsid w:val="00E05029"/>
    <w:rsid w:val="00E0504D"/>
    <w:rsid w:val="00E050DA"/>
    <w:rsid w:val="00E05362"/>
    <w:rsid w:val="00E054EF"/>
    <w:rsid w:val="00E056BE"/>
    <w:rsid w:val="00E05729"/>
    <w:rsid w:val="00E05DE2"/>
    <w:rsid w:val="00E060AF"/>
    <w:rsid w:val="00E0619D"/>
    <w:rsid w:val="00E0639A"/>
    <w:rsid w:val="00E064FD"/>
    <w:rsid w:val="00E067EF"/>
    <w:rsid w:val="00E06A6D"/>
    <w:rsid w:val="00E06AF3"/>
    <w:rsid w:val="00E06C2F"/>
    <w:rsid w:val="00E07294"/>
    <w:rsid w:val="00E074EC"/>
    <w:rsid w:val="00E075C8"/>
    <w:rsid w:val="00E07696"/>
    <w:rsid w:val="00E076F1"/>
    <w:rsid w:val="00E076FA"/>
    <w:rsid w:val="00E07729"/>
    <w:rsid w:val="00E07825"/>
    <w:rsid w:val="00E0784D"/>
    <w:rsid w:val="00E079E3"/>
    <w:rsid w:val="00E07EDB"/>
    <w:rsid w:val="00E07EDF"/>
    <w:rsid w:val="00E1013F"/>
    <w:rsid w:val="00E1028F"/>
    <w:rsid w:val="00E10B2C"/>
    <w:rsid w:val="00E10B70"/>
    <w:rsid w:val="00E10DA4"/>
    <w:rsid w:val="00E10DFC"/>
    <w:rsid w:val="00E10F89"/>
    <w:rsid w:val="00E11033"/>
    <w:rsid w:val="00E11157"/>
    <w:rsid w:val="00E112DA"/>
    <w:rsid w:val="00E1159F"/>
    <w:rsid w:val="00E11798"/>
    <w:rsid w:val="00E1180A"/>
    <w:rsid w:val="00E1186A"/>
    <w:rsid w:val="00E11BAD"/>
    <w:rsid w:val="00E11C72"/>
    <w:rsid w:val="00E11F0F"/>
    <w:rsid w:val="00E121FC"/>
    <w:rsid w:val="00E1226C"/>
    <w:rsid w:val="00E122D4"/>
    <w:rsid w:val="00E12450"/>
    <w:rsid w:val="00E126C9"/>
    <w:rsid w:val="00E12A41"/>
    <w:rsid w:val="00E12B8B"/>
    <w:rsid w:val="00E12C11"/>
    <w:rsid w:val="00E12F0F"/>
    <w:rsid w:val="00E13008"/>
    <w:rsid w:val="00E13017"/>
    <w:rsid w:val="00E1307E"/>
    <w:rsid w:val="00E130E5"/>
    <w:rsid w:val="00E1315C"/>
    <w:rsid w:val="00E1315F"/>
    <w:rsid w:val="00E13274"/>
    <w:rsid w:val="00E135EC"/>
    <w:rsid w:val="00E136A2"/>
    <w:rsid w:val="00E137AB"/>
    <w:rsid w:val="00E137E1"/>
    <w:rsid w:val="00E1381B"/>
    <w:rsid w:val="00E13FE7"/>
    <w:rsid w:val="00E1434B"/>
    <w:rsid w:val="00E145A6"/>
    <w:rsid w:val="00E14684"/>
    <w:rsid w:val="00E146FB"/>
    <w:rsid w:val="00E149FD"/>
    <w:rsid w:val="00E14AB5"/>
    <w:rsid w:val="00E14B01"/>
    <w:rsid w:val="00E14D21"/>
    <w:rsid w:val="00E14D5F"/>
    <w:rsid w:val="00E14D8E"/>
    <w:rsid w:val="00E14FAC"/>
    <w:rsid w:val="00E14FB6"/>
    <w:rsid w:val="00E14FEF"/>
    <w:rsid w:val="00E150D9"/>
    <w:rsid w:val="00E15197"/>
    <w:rsid w:val="00E152B7"/>
    <w:rsid w:val="00E154DD"/>
    <w:rsid w:val="00E1554F"/>
    <w:rsid w:val="00E1559B"/>
    <w:rsid w:val="00E15919"/>
    <w:rsid w:val="00E15A4E"/>
    <w:rsid w:val="00E15AC8"/>
    <w:rsid w:val="00E15B36"/>
    <w:rsid w:val="00E15BD7"/>
    <w:rsid w:val="00E15BFB"/>
    <w:rsid w:val="00E15C88"/>
    <w:rsid w:val="00E15E33"/>
    <w:rsid w:val="00E160D2"/>
    <w:rsid w:val="00E16285"/>
    <w:rsid w:val="00E1633A"/>
    <w:rsid w:val="00E165AE"/>
    <w:rsid w:val="00E16887"/>
    <w:rsid w:val="00E16980"/>
    <w:rsid w:val="00E16BC6"/>
    <w:rsid w:val="00E16BF4"/>
    <w:rsid w:val="00E16C7F"/>
    <w:rsid w:val="00E16CD0"/>
    <w:rsid w:val="00E16F48"/>
    <w:rsid w:val="00E17607"/>
    <w:rsid w:val="00E17750"/>
    <w:rsid w:val="00E17985"/>
    <w:rsid w:val="00E17A9C"/>
    <w:rsid w:val="00E20033"/>
    <w:rsid w:val="00E2005F"/>
    <w:rsid w:val="00E20107"/>
    <w:rsid w:val="00E202A5"/>
    <w:rsid w:val="00E20719"/>
    <w:rsid w:val="00E2089E"/>
    <w:rsid w:val="00E208B4"/>
    <w:rsid w:val="00E20C99"/>
    <w:rsid w:val="00E2115D"/>
    <w:rsid w:val="00E21206"/>
    <w:rsid w:val="00E21545"/>
    <w:rsid w:val="00E21E3F"/>
    <w:rsid w:val="00E21EB8"/>
    <w:rsid w:val="00E220D6"/>
    <w:rsid w:val="00E22488"/>
    <w:rsid w:val="00E225E2"/>
    <w:rsid w:val="00E226C4"/>
    <w:rsid w:val="00E227A7"/>
    <w:rsid w:val="00E227AB"/>
    <w:rsid w:val="00E2280F"/>
    <w:rsid w:val="00E22850"/>
    <w:rsid w:val="00E228F4"/>
    <w:rsid w:val="00E22A67"/>
    <w:rsid w:val="00E22BEF"/>
    <w:rsid w:val="00E22E58"/>
    <w:rsid w:val="00E231D5"/>
    <w:rsid w:val="00E2348E"/>
    <w:rsid w:val="00E24092"/>
    <w:rsid w:val="00E242C7"/>
    <w:rsid w:val="00E2442F"/>
    <w:rsid w:val="00E247D5"/>
    <w:rsid w:val="00E24966"/>
    <w:rsid w:val="00E24B27"/>
    <w:rsid w:val="00E24C74"/>
    <w:rsid w:val="00E2502B"/>
    <w:rsid w:val="00E25167"/>
    <w:rsid w:val="00E25239"/>
    <w:rsid w:val="00E255F9"/>
    <w:rsid w:val="00E2560C"/>
    <w:rsid w:val="00E256EC"/>
    <w:rsid w:val="00E257A0"/>
    <w:rsid w:val="00E25ABC"/>
    <w:rsid w:val="00E25AE9"/>
    <w:rsid w:val="00E25B5E"/>
    <w:rsid w:val="00E25B97"/>
    <w:rsid w:val="00E25FD4"/>
    <w:rsid w:val="00E26261"/>
    <w:rsid w:val="00E263D3"/>
    <w:rsid w:val="00E2647C"/>
    <w:rsid w:val="00E26562"/>
    <w:rsid w:val="00E2669A"/>
    <w:rsid w:val="00E268CD"/>
    <w:rsid w:val="00E268DB"/>
    <w:rsid w:val="00E26A5B"/>
    <w:rsid w:val="00E26A64"/>
    <w:rsid w:val="00E26B23"/>
    <w:rsid w:val="00E26BDE"/>
    <w:rsid w:val="00E26C0D"/>
    <w:rsid w:val="00E26DF6"/>
    <w:rsid w:val="00E26FCE"/>
    <w:rsid w:val="00E27079"/>
    <w:rsid w:val="00E2710C"/>
    <w:rsid w:val="00E272FE"/>
    <w:rsid w:val="00E27337"/>
    <w:rsid w:val="00E2736F"/>
    <w:rsid w:val="00E27533"/>
    <w:rsid w:val="00E27662"/>
    <w:rsid w:val="00E277F3"/>
    <w:rsid w:val="00E279F6"/>
    <w:rsid w:val="00E27CE3"/>
    <w:rsid w:val="00E27E12"/>
    <w:rsid w:val="00E3011B"/>
    <w:rsid w:val="00E30528"/>
    <w:rsid w:val="00E30560"/>
    <w:rsid w:val="00E305B9"/>
    <w:rsid w:val="00E30957"/>
    <w:rsid w:val="00E30CA7"/>
    <w:rsid w:val="00E30D54"/>
    <w:rsid w:val="00E30F0E"/>
    <w:rsid w:val="00E3104B"/>
    <w:rsid w:val="00E310B0"/>
    <w:rsid w:val="00E311F1"/>
    <w:rsid w:val="00E3134E"/>
    <w:rsid w:val="00E31363"/>
    <w:rsid w:val="00E3146C"/>
    <w:rsid w:val="00E315C4"/>
    <w:rsid w:val="00E31699"/>
    <w:rsid w:val="00E317DC"/>
    <w:rsid w:val="00E319DE"/>
    <w:rsid w:val="00E31C58"/>
    <w:rsid w:val="00E31C9D"/>
    <w:rsid w:val="00E31F0A"/>
    <w:rsid w:val="00E31FA6"/>
    <w:rsid w:val="00E321D7"/>
    <w:rsid w:val="00E32260"/>
    <w:rsid w:val="00E3240E"/>
    <w:rsid w:val="00E324DD"/>
    <w:rsid w:val="00E32694"/>
    <w:rsid w:val="00E3279A"/>
    <w:rsid w:val="00E32965"/>
    <w:rsid w:val="00E32AF6"/>
    <w:rsid w:val="00E32B06"/>
    <w:rsid w:val="00E32BCA"/>
    <w:rsid w:val="00E32CA9"/>
    <w:rsid w:val="00E32D21"/>
    <w:rsid w:val="00E32DE9"/>
    <w:rsid w:val="00E334F3"/>
    <w:rsid w:val="00E3386B"/>
    <w:rsid w:val="00E338D5"/>
    <w:rsid w:val="00E33C58"/>
    <w:rsid w:val="00E33C6C"/>
    <w:rsid w:val="00E33D4A"/>
    <w:rsid w:val="00E33F77"/>
    <w:rsid w:val="00E33FAC"/>
    <w:rsid w:val="00E340DA"/>
    <w:rsid w:val="00E34203"/>
    <w:rsid w:val="00E3440D"/>
    <w:rsid w:val="00E344E0"/>
    <w:rsid w:val="00E3473A"/>
    <w:rsid w:val="00E347D9"/>
    <w:rsid w:val="00E347F8"/>
    <w:rsid w:val="00E34BD6"/>
    <w:rsid w:val="00E34D42"/>
    <w:rsid w:val="00E34EA2"/>
    <w:rsid w:val="00E34EBE"/>
    <w:rsid w:val="00E34F02"/>
    <w:rsid w:val="00E34F20"/>
    <w:rsid w:val="00E35100"/>
    <w:rsid w:val="00E3520A"/>
    <w:rsid w:val="00E352E3"/>
    <w:rsid w:val="00E35416"/>
    <w:rsid w:val="00E354B7"/>
    <w:rsid w:val="00E35546"/>
    <w:rsid w:val="00E355F1"/>
    <w:rsid w:val="00E35B2B"/>
    <w:rsid w:val="00E35BA2"/>
    <w:rsid w:val="00E35ED8"/>
    <w:rsid w:val="00E35F99"/>
    <w:rsid w:val="00E36218"/>
    <w:rsid w:val="00E3635B"/>
    <w:rsid w:val="00E36601"/>
    <w:rsid w:val="00E36A18"/>
    <w:rsid w:val="00E36E24"/>
    <w:rsid w:val="00E36E97"/>
    <w:rsid w:val="00E37058"/>
    <w:rsid w:val="00E3729A"/>
    <w:rsid w:val="00E372DF"/>
    <w:rsid w:val="00E3777D"/>
    <w:rsid w:val="00E37A92"/>
    <w:rsid w:val="00E37AEF"/>
    <w:rsid w:val="00E37CBE"/>
    <w:rsid w:val="00E37DBE"/>
    <w:rsid w:val="00E37FFD"/>
    <w:rsid w:val="00E404D2"/>
    <w:rsid w:val="00E4082C"/>
    <w:rsid w:val="00E40833"/>
    <w:rsid w:val="00E409D3"/>
    <w:rsid w:val="00E40AD5"/>
    <w:rsid w:val="00E40BA1"/>
    <w:rsid w:val="00E40C60"/>
    <w:rsid w:val="00E40D23"/>
    <w:rsid w:val="00E4100E"/>
    <w:rsid w:val="00E41096"/>
    <w:rsid w:val="00E410EE"/>
    <w:rsid w:val="00E411B4"/>
    <w:rsid w:val="00E41264"/>
    <w:rsid w:val="00E41381"/>
    <w:rsid w:val="00E413C9"/>
    <w:rsid w:val="00E41465"/>
    <w:rsid w:val="00E414B6"/>
    <w:rsid w:val="00E415C4"/>
    <w:rsid w:val="00E41A1A"/>
    <w:rsid w:val="00E41A51"/>
    <w:rsid w:val="00E41BCE"/>
    <w:rsid w:val="00E41D18"/>
    <w:rsid w:val="00E41D86"/>
    <w:rsid w:val="00E422BF"/>
    <w:rsid w:val="00E42433"/>
    <w:rsid w:val="00E424E8"/>
    <w:rsid w:val="00E427E3"/>
    <w:rsid w:val="00E427EB"/>
    <w:rsid w:val="00E42827"/>
    <w:rsid w:val="00E428F1"/>
    <w:rsid w:val="00E42CCE"/>
    <w:rsid w:val="00E42D69"/>
    <w:rsid w:val="00E42EAE"/>
    <w:rsid w:val="00E42EF7"/>
    <w:rsid w:val="00E43042"/>
    <w:rsid w:val="00E432D9"/>
    <w:rsid w:val="00E43375"/>
    <w:rsid w:val="00E43799"/>
    <w:rsid w:val="00E439FD"/>
    <w:rsid w:val="00E43AB8"/>
    <w:rsid w:val="00E43B05"/>
    <w:rsid w:val="00E43C3A"/>
    <w:rsid w:val="00E43CAA"/>
    <w:rsid w:val="00E43CFA"/>
    <w:rsid w:val="00E43D44"/>
    <w:rsid w:val="00E43D59"/>
    <w:rsid w:val="00E43DDE"/>
    <w:rsid w:val="00E440BE"/>
    <w:rsid w:val="00E44158"/>
    <w:rsid w:val="00E4416A"/>
    <w:rsid w:val="00E44182"/>
    <w:rsid w:val="00E4443B"/>
    <w:rsid w:val="00E444B5"/>
    <w:rsid w:val="00E44F79"/>
    <w:rsid w:val="00E4501E"/>
    <w:rsid w:val="00E450E8"/>
    <w:rsid w:val="00E45225"/>
    <w:rsid w:val="00E452A5"/>
    <w:rsid w:val="00E4532E"/>
    <w:rsid w:val="00E45825"/>
    <w:rsid w:val="00E459C0"/>
    <w:rsid w:val="00E45A42"/>
    <w:rsid w:val="00E45AAF"/>
    <w:rsid w:val="00E45BBD"/>
    <w:rsid w:val="00E45E79"/>
    <w:rsid w:val="00E4600F"/>
    <w:rsid w:val="00E4605D"/>
    <w:rsid w:val="00E4607C"/>
    <w:rsid w:val="00E460CC"/>
    <w:rsid w:val="00E4612C"/>
    <w:rsid w:val="00E462BE"/>
    <w:rsid w:val="00E46680"/>
    <w:rsid w:val="00E466E2"/>
    <w:rsid w:val="00E46BE2"/>
    <w:rsid w:val="00E46D67"/>
    <w:rsid w:val="00E46E97"/>
    <w:rsid w:val="00E46F11"/>
    <w:rsid w:val="00E46F2D"/>
    <w:rsid w:val="00E46FE4"/>
    <w:rsid w:val="00E47053"/>
    <w:rsid w:val="00E4741D"/>
    <w:rsid w:val="00E47457"/>
    <w:rsid w:val="00E475E8"/>
    <w:rsid w:val="00E476F7"/>
    <w:rsid w:val="00E47704"/>
    <w:rsid w:val="00E4787F"/>
    <w:rsid w:val="00E478B1"/>
    <w:rsid w:val="00E47ABC"/>
    <w:rsid w:val="00E47E47"/>
    <w:rsid w:val="00E47E54"/>
    <w:rsid w:val="00E500B5"/>
    <w:rsid w:val="00E50102"/>
    <w:rsid w:val="00E5018E"/>
    <w:rsid w:val="00E501A1"/>
    <w:rsid w:val="00E504C6"/>
    <w:rsid w:val="00E508EB"/>
    <w:rsid w:val="00E50B51"/>
    <w:rsid w:val="00E50DB2"/>
    <w:rsid w:val="00E50DC4"/>
    <w:rsid w:val="00E50F4F"/>
    <w:rsid w:val="00E510B4"/>
    <w:rsid w:val="00E510ED"/>
    <w:rsid w:val="00E51117"/>
    <w:rsid w:val="00E514B8"/>
    <w:rsid w:val="00E51523"/>
    <w:rsid w:val="00E5169B"/>
    <w:rsid w:val="00E518FE"/>
    <w:rsid w:val="00E51B6B"/>
    <w:rsid w:val="00E51C9D"/>
    <w:rsid w:val="00E51E63"/>
    <w:rsid w:val="00E5200B"/>
    <w:rsid w:val="00E520E3"/>
    <w:rsid w:val="00E5226E"/>
    <w:rsid w:val="00E52276"/>
    <w:rsid w:val="00E5250B"/>
    <w:rsid w:val="00E5256C"/>
    <w:rsid w:val="00E52667"/>
    <w:rsid w:val="00E526AB"/>
    <w:rsid w:val="00E527AB"/>
    <w:rsid w:val="00E527FD"/>
    <w:rsid w:val="00E52CA4"/>
    <w:rsid w:val="00E52FFD"/>
    <w:rsid w:val="00E531A8"/>
    <w:rsid w:val="00E531F9"/>
    <w:rsid w:val="00E532C0"/>
    <w:rsid w:val="00E532C2"/>
    <w:rsid w:val="00E53470"/>
    <w:rsid w:val="00E53536"/>
    <w:rsid w:val="00E5354B"/>
    <w:rsid w:val="00E539DD"/>
    <w:rsid w:val="00E53AB1"/>
    <w:rsid w:val="00E53ACC"/>
    <w:rsid w:val="00E53CE9"/>
    <w:rsid w:val="00E53D10"/>
    <w:rsid w:val="00E53DB1"/>
    <w:rsid w:val="00E53E2B"/>
    <w:rsid w:val="00E5413E"/>
    <w:rsid w:val="00E54205"/>
    <w:rsid w:val="00E54339"/>
    <w:rsid w:val="00E54D16"/>
    <w:rsid w:val="00E54EB6"/>
    <w:rsid w:val="00E55081"/>
    <w:rsid w:val="00E553F6"/>
    <w:rsid w:val="00E55695"/>
    <w:rsid w:val="00E5576B"/>
    <w:rsid w:val="00E55A9B"/>
    <w:rsid w:val="00E55AEB"/>
    <w:rsid w:val="00E55C31"/>
    <w:rsid w:val="00E55D53"/>
    <w:rsid w:val="00E561AC"/>
    <w:rsid w:val="00E561B1"/>
    <w:rsid w:val="00E562AC"/>
    <w:rsid w:val="00E562DE"/>
    <w:rsid w:val="00E5631A"/>
    <w:rsid w:val="00E565C9"/>
    <w:rsid w:val="00E56600"/>
    <w:rsid w:val="00E56764"/>
    <w:rsid w:val="00E56933"/>
    <w:rsid w:val="00E569E5"/>
    <w:rsid w:val="00E56E67"/>
    <w:rsid w:val="00E56FD6"/>
    <w:rsid w:val="00E570FE"/>
    <w:rsid w:val="00E5720A"/>
    <w:rsid w:val="00E57522"/>
    <w:rsid w:val="00E57603"/>
    <w:rsid w:val="00E57629"/>
    <w:rsid w:val="00E57648"/>
    <w:rsid w:val="00E5772E"/>
    <w:rsid w:val="00E57A5F"/>
    <w:rsid w:val="00E57A8B"/>
    <w:rsid w:val="00E57B59"/>
    <w:rsid w:val="00E57C7A"/>
    <w:rsid w:val="00E57CFB"/>
    <w:rsid w:val="00E57E30"/>
    <w:rsid w:val="00E60168"/>
    <w:rsid w:val="00E604C6"/>
    <w:rsid w:val="00E6064A"/>
    <w:rsid w:val="00E606AB"/>
    <w:rsid w:val="00E606C7"/>
    <w:rsid w:val="00E6095C"/>
    <w:rsid w:val="00E60ADE"/>
    <w:rsid w:val="00E61156"/>
    <w:rsid w:val="00E61170"/>
    <w:rsid w:val="00E612B3"/>
    <w:rsid w:val="00E61417"/>
    <w:rsid w:val="00E618CC"/>
    <w:rsid w:val="00E618E4"/>
    <w:rsid w:val="00E618EB"/>
    <w:rsid w:val="00E61A5B"/>
    <w:rsid w:val="00E61F4C"/>
    <w:rsid w:val="00E620E9"/>
    <w:rsid w:val="00E62304"/>
    <w:rsid w:val="00E62335"/>
    <w:rsid w:val="00E6234E"/>
    <w:rsid w:val="00E62704"/>
    <w:rsid w:val="00E6298B"/>
    <w:rsid w:val="00E62B88"/>
    <w:rsid w:val="00E62BF2"/>
    <w:rsid w:val="00E62D2D"/>
    <w:rsid w:val="00E62E6D"/>
    <w:rsid w:val="00E62FF0"/>
    <w:rsid w:val="00E63086"/>
    <w:rsid w:val="00E631AC"/>
    <w:rsid w:val="00E6322B"/>
    <w:rsid w:val="00E63243"/>
    <w:rsid w:val="00E6328D"/>
    <w:rsid w:val="00E63698"/>
    <w:rsid w:val="00E636C3"/>
    <w:rsid w:val="00E637C4"/>
    <w:rsid w:val="00E638E9"/>
    <w:rsid w:val="00E6391A"/>
    <w:rsid w:val="00E639A8"/>
    <w:rsid w:val="00E63A21"/>
    <w:rsid w:val="00E63CE4"/>
    <w:rsid w:val="00E63F70"/>
    <w:rsid w:val="00E63F83"/>
    <w:rsid w:val="00E6404D"/>
    <w:rsid w:val="00E640A3"/>
    <w:rsid w:val="00E640AF"/>
    <w:rsid w:val="00E64242"/>
    <w:rsid w:val="00E642CF"/>
    <w:rsid w:val="00E64374"/>
    <w:rsid w:val="00E643F5"/>
    <w:rsid w:val="00E64475"/>
    <w:rsid w:val="00E644E7"/>
    <w:rsid w:val="00E647A2"/>
    <w:rsid w:val="00E64827"/>
    <w:rsid w:val="00E64B0D"/>
    <w:rsid w:val="00E64C33"/>
    <w:rsid w:val="00E64DDC"/>
    <w:rsid w:val="00E64E71"/>
    <w:rsid w:val="00E65030"/>
    <w:rsid w:val="00E6513D"/>
    <w:rsid w:val="00E65188"/>
    <w:rsid w:val="00E655DB"/>
    <w:rsid w:val="00E65823"/>
    <w:rsid w:val="00E6590A"/>
    <w:rsid w:val="00E65A86"/>
    <w:rsid w:val="00E65C3E"/>
    <w:rsid w:val="00E65E76"/>
    <w:rsid w:val="00E65F21"/>
    <w:rsid w:val="00E65F4F"/>
    <w:rsid w:val="00E660DF"/>
    <w:rsid w:val="00E66263"/>
    <w:rsid w:val="00E66785"/>
    <w:rsid w:val="00E667C6"/>
    <w:rsid w:val="00E667DB"/>
    <w:rsid w:val="00E668C1"/>
    <w:rsid w:val="00E66918"/>
    <w:rsid w:val="00E66A2B"/>
    <w:rsid w:val="00E66ABB"/>
    <w:rsid w:val="00E66F24"/>
    <w:rsid w:val="00E66FB4"/>
    <w:rsid w:val="00E66FE6"/>
    <w:rsid w:val="00E6724B"/>
    <w:rsid w:val="00E672AF"/>
    <w:rsid w:val="00E67613"/>
    <w:rsid w:val="00E678B2"/>
    <w:rsid w:val="00E67B23"/>
    <w:rsid w:val="00E67D59"/>
    <w:rsid w:val="00E67FAC"/>
    <w:rsid w:val="00E700B6"/>
    <w:rsid w:val="00E700EC"/>
    <w:rsid w:val="00E70228"/>
    <w:rsid w:val="00E70635"/>
    <w:rsid w:val="00E70732"/>
    <w:rsid w:val="00E70A18"/>
    <w:rsid w:val="00E70D98"/>
    <w:rsid w:val="00E70F5C"/>
    <w:rsid w:val="00E71132"/>
    <w:rsid w:val="00E71223"/>
    <w:rsid w:val="00E71240"/>
    <w:rsid w:val="00E715E7"/>
    <w:rsid w:val="00E71653"/>
    <w:rsid w:val="00E7179F"/>
    <w:rsid w:val="00E71853"/>
    <w:rsid w:val="00E719AE"/>
    <w:rsid w:val="00E71ACD"/>
    <w:rsid w:val="00E71C5C"/>
    <w:rsid w:val="00E71E79"/>
    <w:rsid w:val="00E71F92"/>
    <w:rsid w:val="00E72486"/>
    <w:rsid w:val="00E73327"/>
    <w:rsid w:val="00E73548"/>
    <w:rsid w:val="00E7358C"/>
    <w:rsid w:val="00E73961"/>
    <w:rsid w:val="00E73B27"/>
    <w:rsid w:val="00E73C7E"/>
    <w:rsid w:val="00E73D55"/>
    <w:rsid w:val="00E73DB0"/>
    <w:rsid w:val="00E7421D"/>
    <w:rsid w:val="00E742A8"/>
    <w:rsid w:val="00E74535"/>
    <w:rsid w:val="00E74DF6"/>
    <w:rsid w:val="00E75035"/>
    <w:rsid w:val="00E75176"/>
    <w:rsid w:val="00E75177"/>
    <w:rsid w:val="00E751E7"/>
    <w:rsid w:val="00E75214"/>
    <w:rsid w:val="00E75294"/>
    <w:rsid w:val="00E752CA"/>
    <w:rsid w:val="00E753ED"/>
    <w:rsid w:val="00E7550F"/>
    <w:rsid w:val="00E757B5"/>
    <w:rsid w:val="00E757BD"/>
    <w:rsid w:val="00E75840"/>
    <w:rsid w:val="00E75A9A"/>
    <w:rsid w:val="00E75CB9"/>
    <w:rsid w:val="00E75E61"/>
    <w:rsid w:val="00E75F3E"/>
    <w:rsid w:val="00E75FFD"/>
    <w:rsid w:val="00E76055"/>
    <w:rsid w:val="00E76227"/>
    <w:rsid w:val="00E762DA"/>
    <w:rsid w:val="00E76429"/>
    <w:rsid w:val="00E76667"/>
    <w:rsid w:val="00E76F01"/>
    <w:rsid w:val="00E76F19"/>
    <w:rsid w:val="00E770C6"/>
    <w:rsid w:val="00E770EF"/>
    <w:rsid w:val="00E77167"/>
    <w:rsid w:val="00E77334"/>
    <w:rsid w:val="00E77961"/>
    <w:rsid w:val="00E77A60"/>
    <w:rsid w:val="00E77B98"/>
    <w:rsid w:val="00E77C8E"/>
    <w:rsid w:val="00E77D74"/>
    <w:rsid w:val="00E77E3F"/>
    <w:rsid w:val="00E77FE7"/>
    <w:rsid w:val="00E80277"/>
    <w:rsid w:val="00E803D4"/>
    <w:rsid w:val="00E803F3"/>
    <w:rsid w:val="00E80483"/>
    <w:rsid w:val="00E8081A"/>
    <w:rsid w:val="00E80986"/>
    <w:rsid w:val="00E80D68"/>
    <w:rsid w:val="00E80DBE"/>
    <w:rsid w:val="00E80F1B"/>
    <w:rsid w:val="00E80FE9"/>
    <w:rsid w:val="00E810F3"/>
    <w:rsid w:val="00E811EB"/>
    <w:rsid w:val="00E816A3"/>
    <w:rsid w:val="00E816FC"/>
    <w:rsid w:val="00E817E1"/>
    <w:rsid w:val="00E819BA"/>
    <w:rsid w:val="00E81A56"/>
    <w:rsid w:val="00E81A80"/>
    <w:rsid w:val="00E81DFB"/>
    <w:rsid w:val="00E81F78"/>
    <w:rsid w:val="00E81F94"/>
    <w:rsid w:val="00E82063"/>
    <w:rsid w:val="00E82264"/>
    <w:rsid w:val="00E82575"/>
    <w:rsid w:val="00E82585"/>
    <w:rsid w:val="00E82694"/>
    <w:rsid w:val="00E826D5"/>
    <w:rsid w:val="00E829DD"/>
    <w:rsid w:val="00E82AE7"/>
    <w:rsid w:val="00E82E0C"/>
    <w:rsid w:val="00E82EBC"/>
    <w:rsid w:val="00E82F4D"/>
    <w:rsid w:val="00E83087"/>
    <w:rsid w:val="00E830F4"/>
    <w:rsid w:val="00E83137"/>
    <w:rsid w:val="00E8314C"/>
    <w:rsid w:val="00E83202"/>
    <w:rsid w:val="00E83435"/>
    <w:rsid w:val="00E83461"/>
    <w:rsid w:val="00E834C6"/>
    <w:rsid w:val="00E835B7"/>
    <w:rsid w:val="00E83BEA"/>
    <w:rsid w:val="00E83D11"/>
    <w:rsid w:val="00E83FA4"/>
    <w:rsid w:val="00E84165"/>
    <w:rsid w:val="00E84501"/>
    <w:rsid w:val="00E845F6"/>
    <w:rsid w:val="00E846B8"/>
    <w:rsid w:val="00E8494C"/>
    <w:rsid w:val="00E849BF"/>
    <w:rsid w:val="00E84B9E"/>
    <w:rsid w:val="00E84C72"/>
    <w:rsid w:val="00E84D10"/>
    <w:rsid w:val="00E84EC0"/>
    <w:rsid w:val="00E851EA"/>
    <w:rsid w:val="00E85245"/>
    <w:rsid w:val="00E852AD"/>
    <w:rsid w:val="00E8534F"/>
    <w:rsid w:val="00E856B4"/>
    <w:rsid w:val="00E857AA"/>
    <w:rsid w:val="00E858BD"/>
    <w:rsid w:val="00E858F2"/>
    <w:rsid w:val="00E859C3"/>
    <w:rsid w:val="00E85C5A"/>
    <w:rsid w:val="00E85D98"/>
    <w:rsid w:val="00E85F8E"/>
    <w:rsid w:val="00E85FFC"/>
    <w:rsid w:val="00E860B7"/>
    <w:rsid w:val="00E8613A"/>
    <w:rsid w:val="00E86435"/>
    <w:rsid w:val="00E8652A"/>
    <w:rsid w:val="00E86679"/>
    <w:rsid w:val="00E8669B"/>
    <w:rsid w:val="00E868F2"/>
    <w:rsid w:val="00E86BCC"/>
    <w:rsid w:val="00E86FA8"/>
    <w:rsid w:val="00E86FDE"/>
    <w:rsid w:val="00E8742A"/>
    <w:rsid w:val="00E874B0"/>
    <w:rsid w:val="00E875B4"/>
    <w:rsid w:val="00E87743"/>
    <w:rsid w:val="00E877A4"/>
    <w:rsid w:val="00E8780E"/>
    <w:rsid w:val="00E8793B"/>
    <w:rsid w:val="00E87A58"/>
    <w:rsid w:val="00E9000A"/>
    <w:rsid w:val="00E900F4"/>
    <w:rsid w:val="00E90265"/>
    <w:rsid w:val="00E9037D"/>
    <w:rsid w:val="00E90399"/>
    <w:rsid w:val="00E90851"/>
    <w:rsid w:val="00E90966"/>
    <w:rsid w:val="00E913CD"/>
    <w:rsid w:val="00E91965"/>
    <w:rsid w:val="00E91A59"/>
    <w:rsid w:val="00E91C5E"/>
    <w:rsid w:val="00E91E5F"/>
    <w:rsid w:val="00E91F5F"/>
    <w:rsid w:val="00E9206F"/>
    <w:rsid w:val="00E92203"/>
    <w:rsid w:val="00E922DD"/>
    <w:rsid w:val="00E9269E"/>
    <w:rsid w:val="00E926D9"/>
    <w:rsid w:val="00E9288C"/>
    <w:rsid w:val="00E929C1"/>
    <w:rsid w:val="00E92A59"/>
    <w:rsid w:val="00E92B9D"/>
    <w:rsid w:val="00E92C5F"/>
    <w:rsid w:val="00E92C99"/>
    <w:rsid w:val="00E92E3E"/>
    <w:rsid w:val="00E92F85"/>
    <w:rsid w:val="00E93023"/>
    <w:rsid w:val="00E932CD"/>
    <w:rsid w:val="00E93E3D"/>
    <w:rsid w:val="00E93FDE"/>
    <w:rsid w:val="00E94158"/>
    <w:rsid w:val="00E94467"/>
    <w:rsid w:val="00E944E4"/>
    <w:rsid w:val="00E94511"/>
    <w:rsid w:val="00E9476E"/>
    <w:rsid w:val="00E949D7"/>
    <w:rsid w:val="00E9519F"/>
    <w:rsid w:val="00E95590"/>
    <w:rsid w:val="00E955D4"/>
    <w:rsid w:val="00E95681"/>
    <w:rsid w:val="00E95A6F"/>
    <w:rsid w:val="00E95A93"/>
    <w:rsid w:val="00E95BF3"/>
    <w:rsid w:val="00E95F7F"/>
    <w:rsid w:val="00E95FAD"/>
    <w:rsid w:val="00E961F1"/>
    <w:rsid w:val="00E963CA"/>
    <w:rsid w:val="00E963F4"/>
    <w:rsid w:val="00E964B9"/>
    <w:rsid w:val="00E967A8"/>
    <w:rsid w:val="00E967F3"/>
    <w:rsid w:val="00E96AF3"/>
    <w:rsid w:val="00E96DFF"/>
    <w:rsid w:val="00E97079"/>
    <w:rsid w:val="00E973BA"/>
    <w:rsid w:val="00E974B5"/>
    <w:rsid w:val="00E97754"/>
    <w:rsid w:val="00E97889"/>
    <w:rsid w:val="00E97AD1"/>
    <w:rsid w:val="00E97AF5"/>
    <w:rsid w:val="00E97B9B"/>
    <w:rsid w:val="00E97CA7"/>
    <w:rsid w:val="00E97D4A"/>
    <w:rsid w:val="00E97DF5"/>
    <w:rsid w:val="00E97E9F"/>
    <w:rsid w:val="00E97EF6"/>
    <w:rsid w:val="00EA00B5"/>
    <w:rsid w:val="00EA00CB"/>
    <w:rsid w:val="00EA0279"/>
    <w:rsid w:val="00EA036A"/>
    <w:rsid w:val="00EA04BF"/>
    <w:rsid w:val="00EA058C"/>
    <w:rsid w:val="00EA078F"/>
    <w:rsid w:val="00EA0991"/>
    <w:rsid w:val="00EA0DE7"/>
    <w:rsid w:val="00EA0E37"/>
    <w:rsid w:val="00EA0E6F"/>
    <w:rsid w:val="00EA11CC"/>
    <w:rsid w:val="00EA123E"/>
    <w:rsid w:val="00EA1310"/>
    <w:rsid w:val="00EA1358"/>
    <w:rsid w:val="00EA1426"/>
    <w:rsid w:val="00EA16A9"/>
    <w:rsid w:val="00EA1778"/>
    <w:rsid w:val="00EA1ABE"/>
    <w:rsid w:val="00EA1BC1"/>
    <w:rsid w:val="00EA1C45"/>
    <w:rsid w:val="00EA1F7A"/>
    <w:rsid w:val="00EA20BB"/>
    <w:rsid w:val="00EA2264"/>
    <w:rsid w:val="00EA2391"/>
    <w:rsid w:val="00EA23AA"/>
    <w:rsid w:val="00EA23E6"/>
    <w:rsid w:val="00EA2451"/>
    <w:rsid w:val="00EA253D"/>
    <w:rsid w:val="00EA27F5"/>
    <w:rsid w:val="00EA2A09"/>
    <w:rsid w:val="00EA2BEC"/>
    <w:rsid w:val="00EA2D63"/>
    <w:rsid w:val="00EA2E48"/>
    <w:rsid w:val="00EA2F63"/>
    <w:rsid w:val="00EA309F"/>
    <w:rsid w:val="00EA347B"/>
    <w:rsid w:val="00EA3554"/>
    <w:rsid w:val="00EA36EC"/>
    <w:rsid w:val="00EA3C69"/>
    <w:rsid w:val="00EA3CFB"/>
    <w:rsid w:val="00EA3DC0"/>
    <w:rsid w:val="00EA406F"/>
    <w:rsid w:val="00EA4412"/>
    <w:rsid w:val="00EA4477"/>
    <w:rsid w:val="00EA46E0"/>
    <w:rsid w:val="00EA49F7"/>
    <w:rsid w:val="00EA4AB5"/>
    <w:rsid w:val="00EA4D05"/>
    <w:rsid w:val="00EA4D42"/>
    <w:rsid w:val="00EA4D7B"/>
    <w:rsid w:val="00EA4F49"/>
    <w:rsid w:val="00EA5049"/>
    <w:rsid w:val="00EA514C"/>
    <w:rsid w:val="00EA56BC"/>
    <w:rsid w:val="00EA5900"/>
    <w:rsid w:val="00EA59DB"/>
    <w:rsid w:val="00EA5A63"/>
    <w:rsid w:val="00EA5B15"/>
    <w:rsid w:val="00EA5D08"/>
    <w:rsid w:val="00EA5DC5"/>
    <w:rsid w:val="00EA5E5B"/>
    <w:rsid w:val="00EA60FD"/>
    <w:rsid w:val="00EA63CB"/>
    <w:rsid w:val="00EA6936"/>
    <w:rsid w:val="00EA6A13"/>
    <w:rsid w:val="00EA6A5F"/>
    <w:rsid w:val="00EA6D5C"/>
    <w:rsid w:val="00EA7153"/>
    <w:rsid w:val="00EA7338"/>
    <w:rsid w:val="00EA73D1"/>
    <w:rsid w:val="00EA76CE"/>
    <w:rsid w:val="00EA7780"/>
    <w:rsid w:val="00EA7941"/>
    <w:rsid w:val="00EA7B85"/>
    <w:rsid w:val="00EA7B89"/>
    <w:rsid w:val="00EA7C28"/>
    <w:rsid w:val="00EA7EE5"/>
    <w:rsid w:val="00EB002B"/>
    <w:rsid w:val="00EB013D"/>
    <w:rsid w:val="00EB0408"/>
    <w:rsid w:val="00EB043B"/>
    <w:rsid w:val="00EB0481"/>
    <w:rsid w:val="00EB0888"/>
    <w:rsid w:val="00EB0CA7"/>
    <w:rsid w:val="00EB0DD4"/>
    <w:rsid w:val="00EB0EF4"/>
    <w:rsid w:val="00EB0F5E"/>
    <w:rsid w:val="00EB129A"/>
    <w:rsid w:val="00EB12D4"/>
    <w:rsid w:val="00EB178A"/>
    <w:rsid w:val="00EB1A32"/>
    <w:rsid w:val="00EB1E69"/>
    <w:rsid w:val="00EB1F67"/>
    <w:rsid w:val="00EB1FBB"/>
    <w:rsid w:val="00EB201F"/>
    <w:rsid w:val="00EB2124"/>
    <w:rsid w:val="00EB2197"/>
    <w:rsid w:val="00EB2542"/>
    <w:rsid w:val="00EB25AE"/>
    <w:rsid w:val="00EB26C4"/>
    <w:rsid w:val="00EB2B3E"/>
    <w:rsid w:val="00EB2BDD"/>
    <w:rsid w:val="00EB2E9C"/>
    <w:rsid w:val="00EB2F02"/>
    <w:rsid w:val="00EB2F11"/>
    <w:rsid w:val="00EB34AB"/>
    <w:rsid w:val="00EB360D"/>
    <w:rsid w:val="00EB384F"/>
    <w:rsid w:val="00EB3915"/>
    <w:rsid w:val="00EB3DD9"/>
    <w:rsid w:val="00EB412B"/>
    <w:rsid w:val="00EB4417"/>
    <w:rsid w:val="00EB4502"/>
    <w:rsid w:val="00EB4519"/>
    <w:rsid w:val="00EB4658"/>
    <w:rsid w:val="00EB46C6"/>
    <w:rsid w:val="00EB491A"/>
    <w:rsid w:val="00EB498C"/>
    <w:rsid w:val="00EB4EA3"/>
    <w:rsid w:val="00EB550B"/>
    <w:rsid w:val="00EB56BB"/>
    <w:rsid w:val="00EB5885"/>
    <w:rsid w:val="00EB58E5"/>
    <w:rsid w:val="00EB5931"/>
    <w:rsid w:val="00EB5A0B"/>
    <w:rsid w:val="00EB5A3A"/>
    <w:rsid w:val="00EB5D27"/>
    <w:rsid w:val="00EB5EDB"/>
    <w:rsid w:val="00EB5EE6"/>
    <w:rsid w:val="00EB6025"/>
    <w:rsid w:val="00EB61EE"/>
    <w:rsid w:val="00EB6304"/>
    <w:rsid w:val="00EB6420"/>
    <w:rsid w:val="00EB64A8"/>
    <w:rsid w:val="00EB660D"/>
    <w:rsid w:val="00EB6967"/>
    <w:rsid w:val="00EB6AE6"/>
    <w:rsid w:val="00EB6C1E"/>
    <w:rsid w:val="00EB6CAF"/>
    <w:rsid w:val="00EB6CBB"/>
    <w:rsid w:val="00EB6F6A"/>
    <w:rsid w:val="00EB7126"/>
    <w:rsid w:val="00EB72A9"/>
    <w:rsid w:val="00EB784A"/>
    <w:rsid w:val="00EB7C3B"/>
    <w:rsid w:val="00EB7DDD"/>
    <w:rsid w:val="00EC0028"/>
    <w:rsid w:val="00EC023B"/>
    <w:rsid w:val="00EC0286"/>
    <w:rsid w:val="00EC0335"/>
    <w:rsid w:val="00EC036C"/>
    <w:rsid w:val="00EC06E3"/>
    <w:rsid w:val="00EC0745"/>
    <w:rsid w:val="00EC0866"/>
    <w:rsid w:val="00EC08E6"/>
    <w:rsid w:val="00EC08EF"/>
    <w:rsid w:val="00EC0912"/>
    <w:rsid w:val="00EC09C8"/>
    <w:rsid w:val="00EC0C09"/>
    <w:rsid w:val="00EC0C99"/>
    <w:rsid w:val="00EC0E70"/>
    <w:rsid w:val="00EC0F19"/>
    <w:rsid w:val="00EC0F55"/>
    <w:rsid w:val="00EC1080"/>
    <w:rsid w:val="00EC10A6"/>
    <w:rsid w:val="00EC1234"/>
    <w:rsid w:val="00EC12BC"/>
    <w:rsid w:val="00EC1700"/>
    <w:rsid w:val="00EC19D4"/>
    <w:rsid w:val="00EC1B44"/>
    <w:rsid w:val="00EC1BF8"/>
    <w:rsid w:val="00EC1F10"/>
    <w:rsid w:val="00EC202B"/>
    <w:rsid w:val="00EC208A"/>
    <w:rsid w:val="00EC262F"/>
    <w:rsid w:val="00EC28E8"/>
    <w:rsid w:val="00EC29F7"/>
    <w:rsid w:val="00EC2AA5"/>
    <w:rsid w:val="00EC2DB0"/>
    <w:rsid w:val="00EC301D"/>
    <w:rsid w:val="00EC3472"/>
    <w:rsid w:val="00EC3627"/>
    <w:rsid w:val="00EC3658"/>
    <w:rsid w:val="00EC3681"/>
    <w:rsid w:val="00EC3724"/>
    <w:rsid w:val="00EC39DD"/>
    <w:rsid w:val="00EC3D97"/>
    <w:rsid w:val="00EC3EBA"/>
    <w:rsid w:val="00EC3F14"/>
    <w:rsid w:val="00EC3F38"/>
    <w:rsid w:val="00EC3FFA"/>
    <w:rsid w:val="00EC4194"/>
    <w:rsid w:val="00EC4257"/>
    <w:rsid w:val="00EC4326"/>
    <w:rsid w:val="00EC4410"/>
    <w:rsid w:val="00EC487A"/>
    <w:rsid w:val="00EC49E0"/>
    <w:rsid w:val="00EC4A1F"/>
    <w:rsid w:val="00EC4AF3"/>
    <w:rsid w:val="00EC4CC9"/>
    <w:rsid w:val="00EC4D1A"/>
    <w:rsid w:val="00EC4E82"/>
    <w:rsid w:val="00EC4FF4"/>
    <w:rsid w:val="00EC525F"/>
    <w:rsid w:val="00EC56C6"/>
    <w:rsid w:val="00EC577C"/>
    <w:rsid w:val="00EC57EA"/>
    <w:rsid w:val="00EC5BB0"/>
    <w:rsid w:val="00EC5BB9"/>
    <w:rsid w:val="00EC607C"/>
    <w:rsid w:val="00EC60A5"/>
    <w:rsid w:val="00EC618D"/>
    <w:rsid w:val="00EC6528"/>
    <w:rsid w:val="00EC6611"/>
    <w:rsid w:val="00EC66FD"/>
    <w:rsid w:val="00EC6796"/>
    <w:rsid w:val="00EC6843"/>
    <w:rsid w:val="00EC68AB"/>
    <w:rsid w:val="00EC6B83"/>
    <w:rsid w:val="00EC715E"/>
    <w:rsid w:val="00EC71F2"/>
    <w:rsid w:val="00EC7227"/>
    <w:rsid w:val="00EC7376"/>
    <w:rsid w:val="00EC7817"/>
    <w:rsid w:val="00EC792E"/>
    <w:rsid w:val="00EC7B04"/>
    <w:rsid w:val="00EC7BEE"/>
    <w:rsid w:val="00EC7CDF"/>
    <w:rsid w:val="00EC7DE9"/>
    <w:rsid w:val="00ED0051"/>
    <w:rsid w:val="00ED02C8"/>
    <w:rsid w:val="00ED0671"/>
    <w:rsid w:val="00ED07F0"/>
    <w:rsid w:val="00ED08B5"/>
    <w:rsid w:val="00ED0A7F"/>
    <w:rsid w:val="00ED0B56"/>
    <w:rsid w:val="00ED0B6A"/>
    <w:rsid w:val="00ED0E39"/>
    <w:rsid w:val="00ED0E71"/>
    <w:rsid w:val="00ED0EA4"/>
    <w:rsid w:val="00ED1135"/>
    <w:rsid w:val="00ED13EA"/>
    <w:rsid w:val="00ED174E"/>
    <w:rsid w:val="00ED1913"/>
    <w:rsid w:val="00ED1ABD"/>
    <w:rsid w:val="00ED1D04"/>
    <w:rsid w:val="00ED2022"/>
    <w:rsid w:val="00ED209E"/>
    <w:rsid w:val="00ED2583"/>
    <w:rsid w:val="00ED2902"/>
    <w:rsid w:val="00ED2BAF"/>
    <w:rsid w:val="00ED2BFA"/>
    <w:rsid w:val="00ED2C6A"/>
    <w:rsid w:val="00ED2CEB"/>
    <w:rsid w:val="00ED2D3E"/>
    <w:rsid w:val="00ED30A5"/>
    <w:rsid w:val="00ED3208"/>
    <w:rsid w:val="00ED3639"/>
    <w:rsid w:val="00ED37A5"/>
    <w:rsid w:val="00ED3A32"/>
    <w:rsid w:val="00ED3AFB"/>
    <w:rsid w:val="00ED3DA5"/>
    <w:rsid w:val="00ED3E67"/>
    <w:rsid w:val="00ED3F94"/>
    <w:rsid w:val="00ED407F"/>
    <w:rsid w:val="00ED4158"/>
    <w:rsid w:val="00ED4245"/>
    <w:rsid w:val="00ED42C6"/>
    <w:rsid w:val="00ED4315"/>
    <w:rsid w:val="00ED4436"/>
    <w:rsid w:val="00ED44BB"/>
    <w:rsid w:val="00ED4627"/>
    <w:rsid w:val="00ED4811"/>
    <w:rsid w:val="00ED4AB7"/>
    <w:rsid w:val="00ED4BE3"/>
    <w:rsid w:val="00ED4E40"/>
    <w:rsid w:val="00ED516C"/>
    <w:rsid w:val="00ED53A2"/>
    <w:rsid w:val="00ED5773"/>
    <w:rsid w:val="00ED5885"/>
    <w:rsid w:val="00ED5898"/>
    <w:rsid w:val="00ED59FE"/>
    <w:rsid w:val="00ED5B80"/>
    <w:rsid w:val="00ED5BD9"/>
    <w:rsid w:val="00ED5BF9"/>
    <w:rsid w:val="00ED5E02"/>
    <w:rsid w:val="00ED61B5"/>
    <w:rsid w:val="00ED639F"/>
    <w:rsid w:val="00ED643A"/>
    <w:rsid w:val="00ED64F4"/>
    <w:rsid w:val="00ED659B"/>
    <w:rsid w:val="00ED6935"/>
    <w:rsid w:val="00ED6DFF"/>
    <w:rsid w:val="00ED6F6D"/>
    <w:rsid w:val="00ED7501"/>
    <w:rsid w:val="00ED7550"/>
    <w:rsid w:val="00ED79D6"/>
    <w:rsid w:val="00ED7A32"/>
    <w:rsid w:val="00ED7AF3"/>
    <w:rsid w:val="00ED7F7E"/>
    <w:rsid w:val="00EE0176"/>
    <w:rsid w:val="00EE01C0"/>
    <w:rsid w:val="00EE05B9"/>
    <w:rsid w:val="00EE0825"/>
    <w:rsid w:val="00EE0945"/>
    <w:rsid w:val="00EE0A31"/>
    <w:rsid w:val="00EE0ADD"/>
    <w:rsid w:val="00EE0D4C"/>
    <w:rsid w:val="00EE0FFE"/>
    <w:rsid w:val="00EE1113"/>
    <w:rsid w:val="00EE1163"/>
    <w:rsid w:val="00EE13AD"/>
    <w:rsid w:val="00EE146D"/>
    <w:rsid w:val="00EE1551"/>
    <w:rsid w:val="00EE1A4D"/>
    <w:rsid w:val="00EE1D94"/>
    <w:rsid w:val="00EE1E05"/>
    <w:rsid w:val="00EE1EC1"/>
    <w:rsid w:val="00EE20EB"/>
    <w:rsid w:val="00EE2743"/>
    <w:rsid w:val="00EE2880"/>
    <w:rsid w:val="00EE2C5D"/>
    <w:rsid w:val="00EE2CDF"/>
    <w:rsid w:val="00EE2E68"/>
    <w:rsid w:val="00EE2F56"/>
    <w:rsid w:val="00EE2FAE"/>
    <w:rsid w:val="00EE33D5"/>
    <w:rsid w:val="00EE3BA1"/>
    <w:rsid w:val="00EE3DA5"/>
    <w:rsid w:val="00EE3F8C"/>
    <w:rsid w:val="00EE4057"/>
    <w:rsid w:val="00EE4104"/>
    <w:rsid w:val="00EE41FE"/>
    <w:rsid w:val="00EE426A"/>
    <w:rsid w:val="00EE4318"/>
    <w:rsid w:val="00EE4437"/>
    <w:rsid w:val="00EE4560"/>
    <w:rsid w:val="00EE470E"/>
    <w:rsid w:val="00EE48C5"/>
    <w:rsid w:val="00EE4B5E"/>
    <w:rsid w:val="00EE4D5F"/>
    <w:rsid w:val="00EE51D9"/>
    <w:rsid w:val="00EE54D1"/>
    <w:rsid w:val="00EE5ACE"/>
    <w:rsid w:val="00EE5DE4"/>
    <w:rsid w:val="00EE5F2F"/>
    <w:rsid w:val="00EE605E"/>
    <w:rsid w:val="00EE6073"/>
    <w:rsid w:val="00EE6451"/>
    <w:rsid w:val="00EE65FA"/>
    <w:rsid w:val="00EE6604"/>
    <w:rsid w:val="00EE665C"/>
    <w:rsid w:val="00EE6675"/>
    <w:rsid w:val="00EE66F7"/>
    <w:rsid w:val="00EE686C"/>
    <w:rsid w:val="00EE6A6B"/>
    <w:rsid w:val="00EE6AA7"/>
    <w:rsid w:val="00EE6C47"/>
    <w:rsid w:val="00EE6CC7"/>
    <w:rsid w:val="00EE6E57"/>
    <w:rsid w:val="00EE6F68"/>
    <w:rsid w:val="00EE7042"/>
    <w:rsid w:val="00EE70ED"/>
    <w:rsid w:val="00EE78AB"/>
    <w:rsid w:val="00EE78BD"/>
    <w:rsid w:val="00EE7F63"/>
    <w:rsid w:val="00EE7F94"/>
    <w:rsid w:val="00EF0057"/>
    <w:rsid w:val="00EF00AB"/>
    <w:rsid w:val="00EF00CD"/>
    <w:rsid w:val="00EF0144"/>
    <w:rsid w:val="00EF0234"/>
    <w:rsid w:val="00EF062B"/>
    <w:rsid w:val="00EF064B"/>
    <w:rsid w:val="00EF06A9"/>
    <w:rsid w:val="00EF0743"/>
    <w:rsid w:val="00EF0926"/>
    <w:rsid w:val="00EF0B19"/>
    <w:rsid w:val="00EF0C04"/>
    <w:rsid w:val="00EF1349"/>
    <w:rsid w:val="00EF139F"/>
    <w:rsid w:val="00EF149C"/>
    <w:rsid w:val="00EF17B6"/>
    <w:rsid w:val="00EF199C"/>
    <w:rsid w:val="00EF19EC"/>
    <w:rsid w:val="00EF1F90"/>
    <w:rsid w:val="00EF2311"/>
    <w:rsid w:val="00EF23FA"/>
    <w:rsid w:val="00EF241F"/>
    <w:rsid w:val="00EF26ED"/>
    <w:rsid w:val="00EF2900"/>
    <w:rsid w:val="00EF297C"/>
    <w:rsid w:val="00EF29C9"/>
    <w:rsid w:val="00EF2A74"/>
    <w:rsid w:val="00EF2B33"/>
    <w:rsid w:val="00EF2BB5"/>
    <w:rsid w:val="00EF2C7A"/>
    <w:rsid w:val="00EF2D8C"/>
    <w:rsid w:val="00EF3119"/>
    <w:rsid w:val="00EF3219"/>
    <w:rsid w:val="00EF3398"/>
    <w:rsid w:val="00EF3624"/>
    <w:rsid w:val="00EF3775"/>
    <w:rsid w:val="00EF3968"/>
    <w:rsid w:val="00EF3A4E"/>
    <w:rsid w:val="00EF3D3D"/>
    <w:rsid w:val="00EF3DF4"/>
    <w:rsid w:val="00EF3E9B"/>
    <w:rsid w:val="00EF3F97"/>
    <w:rsid w:val="00EF45E8"/>
    <w:rsid w:val="00EF4612"/>
    <w:rsid w:val="00EF465C"/>
    <w:rsid w:val="00EF4896"/>
    <w:rsid w:val="00EF4BFA"/>
    <w:rsid w:val="00EF4C17"/>
    <w:rsid w:val="00EF51D1"/>
    <w:rsid w:val="00EF52B3"/>
    <w:rsid w:val="00EF542D"/>
    <w:rsid w:val="00EF545A"/>
    <w:rsid w:val="00EF5532"/>
    <w:rsid w:val="00EF5614"/>
    <w:rsid w:val="00EF5639"/>
    <w:rsid w:val="00EF5B4E"/>
    <w:rsid w:val="00EF60E6"/>
    <w:rsid w:val="00EF6137"/>
    <w:rsid w:val="00EF6180"/>
    <w:rsid w:val="00EF62F7"/>
    <w:rsid w:val="00EF6728"/>
    <w:rsid w:val="00EF6961"/>
    <w:rsid w:val="00EF6BDC"/>
    <w:rsid w:val="00EF6BFF"/>
    <w:rsid w:val="00EF6DC9"/>
    <w:rsid w:val="00EF6DE1"/>
    <w:rsid w:val="00EF6EF2"/>
    <w:rsid w:val="00EF6FC6"/>
    <w:rsid w:val="00EF6FF5"/>
    <w:rsid w:val="00EF719F"/>
    <w:rsid w:val="00EF71EB"/>
    <w:rsid w:val="00EF7354"/>
    <w:rsid w:val="00EF73E5"/>
    <w:rsid w:val="00EF74A7"/>
    <w:rsid w:val="00EF770D"/>
    <w:rsid w:val="00EF7A8C"/>
    <w:rsid w:val="00EF7B3A"/>
    <w:rsid w:val="00EF7C56"/>
    <w:rsid w:val="00F0012D"/>
    <w:rsid w:val="00F0037C"/>
    <w:rsid w:val="00F00561"/>
    <w:rsid w:val="00F00726"/>
    <w:rsid w:val="00F0073D"/>
    <w:rsid w:val="00F00CBB"/>
    <w:rsid w:val="00F00FA8"/>
    <w:rsid w:val="00F01156"/>
    <w:rsid w:val="00F012CD"/>
    <w:rsid w:val="00F0134D"/>
    <w:rsid w:val="00F01379"/>
    <w:rsid w:val="00F014F2"/>
    <w:rsid w:val="00F01856"/>
    <w:rsid w:val="00F01B23"/>
    <w:rsid w:val="00F01D3A"/>
    <w:rsid w:val="00F01D7D"/>
    <w:rsid w:val="00F01F83"/>
    <w:rsid w:val="00F01F89"/>
    <w:rsid w:val="00F021D3"/>
    <w:rsid w:val="00F02443"/>
    <w:rsid w:val="00F0244C"/>
    <w:rsid w:val="00F02572"/>
    <w:rsid w:val="00F0265C"/>
    <w:rsid w:val="00F028E8"/>
    <w:rsid w:val="00F02A80"/>
    <w:rsid w:val="00F02B1D"/>
    <w:rsid w:val="00F02D39"/>
    <w:rsid w:val="00F02F57"/>
    <w:rsid w:val="00F02FD2"/>
    <w:rsid w:val="00F03022"/>
    <w:rsid w:val="00F033B4"/>
    <w:rsid w:val="00F03651"/>
    <w:rsid w:val="00F0399E"/>
    <w:rsid w:val="00F03A2D"/>
    <w:rsid w:val="00F03EFF"/>
    <w:rsid w:val="00F03FDA"/>
    <w:rsid w:val="00F04099"/>
    <w:rsid w:val="00F04176"/>
    <w:rsid w:val="00F046B9"/>
    <w:rsid w:val="00F047BA"/>
    <w:rsid w:val="00F048DA"/>
    <w:rsid w:val="00F04A5B"/>
    <w:rsid w:val="00F04A72"/>
    <w:rsid w:val="00F04A89"/>
    <w:rsid w:val="00F04ACE"/>
    <w:rsid w:val="00F04DB1"/>
    <w:rsid w:val="00F04DCB"/>
    <w:rsid w:val="00F0503D"/>
    <w:rsid w:val="00F050F6"/>
    <w:rsid w:val="00F0521F"/>
    <w:rsid w:val="00F052FD"/>
    <w:rsid w:val="00F0542C"/>
    <w:rsid w:val="00F055ED"/>
    <w:rsid w:val="00F05806"/>
    <w:rsid w:val="00F05CD4"/>
    <w:rsid w:val="00F05D3C"/>
    <w:rsid w:val="00F05D6F"/>
    <w:rsid w:val="00F05DDA"/>
    <w:rsid w:val="00F05EDD"/>
    <w:rsid w:val="00F05EE1"/>
    <w:rsid w:val="00F06089"/>
    <w:rsid w:val="00F060C2"/>
    <w:rsid w:val="00F063CE"/>
    <w:rsid w:val="00F06562"/>
    <w:rsid w:val="00F065E4"/>
    <w:rsid w:val="00F065F9"/>
    <w:rsid w:val="00F066D8"/>
    <w:rsid w:val="00F066F0"/>
    <w:rsid w:val="00F0674D"/>
    <w:rsid w:val="00F067E5"/>
    <w:rsid w:val="00F067F0"/>
    <w:rsid w:val="00F0686A"/>
    <w:rsid w:val="00F069D4"/>
    <w:rsid w:val="00F06A96"/>
    <w:rsid w:val="00F06B70"/>
    <w:rsid w:val="00F06BCA"/>
    <w:rsid w:val="00F06D24"/>
    <w:rsid w:val="00F06D43"/>
    <w:rsid w:val="00F06DF7"/>
    <w:rsid w:val="00F070C6"/>
    <w:rsid w:val="00F07231"/>
    <w:rsid w:val="00F07239"/>
    <w:rsid w:val="00F074BF"/>
    <w:rsid w:val="00F0751D"/>
    <w:rsid w:val="00F0770A"/>
    <w:rsid w:val="00F07A14"/>
    <w:rsid w:val="00F07A72"/>
    <w:rsid w:val="00F07BDA"/>
    <w:rsid w:val="00F07FC7"/>
    <w:rsid w:val="00F100F2"/>
    <w:rsid w:val="00F102A9"/>
    <w:rsid w:val="00F10346"/>
    <w:rsid w:val="00F1059C"/>
    <w:rsid w:val="00F10770"/>
    <w:rsid w:val="00F10782"/>
    <w:rsid w:val="00F10796"/>
    <w:rsid w:val="00F109D2"/>
    <w:rsid w:val="00F11081"/>
    <w:rsid w:val="00F110A6"/>
    <w:rsid w:val="00F110AE"/>
    <w:rsid w:val="00F11107"/>
    <w:rsid w:val="00F111FC"/>
    <w:rsid w:val="00F11338"/>
    <w:rsid w:val="00F118B2"/>
    <w:rsid w:val="00F1198F"/>
    <w:rsid w:val="00F119A6"/>
    <w:rsid w:val="00F11BE4"/>
    <w:rsid w:val="00F11DAA"/>
    <w:rsid w:val="00F11DDD"/>
    <w:rsid w:val="00F120B2"/>
    <w:rsid w:val="00F12116"/>
    <w:rsid w:val="00F12325"/>
    <w:rsid w:val="00F124BC"/>
    <w:rsid w:val="00F12517"/>
    <w:rsid w:val="00F127A3"/>
    <w:rsid w:val="00F1286E"/>
    <w:rsid w:val="00F12B50"/>
    <w:rsid w:val="00F12CEC"/>
    <w:rsid w:val="00F12DC6"/>
    <w:rsid w:val="00F1302E"/>
    <w:rsid w:val="00F1305D"/>
    <w:rsid w:val="00F1311B"/>
    <w:rsid w:val="00F13324"/>
    <w:rsid w:val="00F13384"/>
    <w:rsid w:val="00F135C3"/>
    <w:rsid w:val="00F135C5"/>
    <w:rsid w:val="00F13602"/>
    <w:rsid w:val="00F1369A"/>
    <w:rsid w:val="00F137BA"/>
    <w:rsid w:val="00F13A50"/>
    <w:rsid w:val="00F13BA5"/>
    <w:rsid w:val="00F13CE7"/>
    <w:rsid w:val="00F13CF6"/>
    <w:rsid w:val="00F13D07"/>
    <w:rsid w:val="00F13DAA"/>
    <w:rsid w:val="00F1401E"/>
    <w:rsid w:val="00F140E3"/>
    <w:rsid w:val="00F14332"/>
    <w:rsid w:val="00F143E3"/>
    <w:rsid w:val="00F14485"/>
    <w:rsid w:val="00F145B0"/>
    <w:rsid w:val="00F14652"/>
    <w:rsid w:val="00F14854"/>
    <w:rsid w:val="00F148B9"/>
    <w:rsid w:val="00F14A4A"/>
    <w:rsid w:val="00F14AA9"/>
    <w:rsid w:val="00F14C17"/>
    <w:rsid w:val="00F14D8A"/>
    <w:rsid w:val="00F14DD3"/>
    <w:rsid w:val="00F1505B"/>
    <w:rsid w:val="00F153ED"/>
    <w:rsid w:val="00F157DF"/>
    <w:rsid w:val="00F15CA1"/>
    <w:rsid w:val="00F15D33"/>
    <w:rsid w:val="00F15D5D"/>
    <w:rsid w:val="00F15F97"/>
    <w:rsid w:val="00F15FD0"/>
    <w:rsid w:val="00F166A3"/>
    <w:rsid w:val="00F1689D"/>
    <w:rsid w:val="00F16D9F"/>
    <w:rsid w:val="00F16E8D"/>
    <w:rsid w:val="00F16F9B"/>
    <w:rsid w:val="00F175F8"/>
    <w:rsid w:val="00F176C0"/>
    <w:rsid w:val="00F17728"/>
    <w:rsid w:val="00F178E5"/>
    <w:rsid w:val="00F17C4B"/>
    <w:rsid w:val="00F200B6"/>
    <w:rsid w:val="00F200BB"/>
    <w:rsid w:val="00F20119"/>
    <w:rsid w:val="00F20185"/>
    <w:rsid w:val="00F201ED"/>
    <w:rsid w:val="00F203F5"/>
    <w:rsid w:val="00F206D4"/>
    <w:rsid w:val="00F20A82"/>
    <w:rsid w:val="00F20F7A"/>
    <w:rsid w:val="00F215BC"/>
    <w:rsid w:val="00F21769"/>
    <w:rsid w:val="00F219E3"/>
    <w:rsid w:val="00F22184"/>
    <w:rsid w:val="00F2238C"/>
    <w:rsid w:val="00F22419"/>
    <w:rsid w:val="00F22446"/>
    <w:rsid w:val="00F228A3"/>
    <w:rsid w:val="00F229B3"/>
    <w:rsid w:val="00F22F7A"/>
    <w:rsid w:val="00F22FBD"/>
    <w:rsid w:val="00F231F1"/>
    <w:rsid w:val="00F2346F"/>
    <w:rsid w:val="00F23725"/>
    <w:rsid w:val="00F23A02"/>
    <w:rsid w:val="00F23A50"/>
    <w:rsid w:val="00F23B91"/>
    <w:rsid w:val="00F23E56"/>
    <w:rsid w:val="00F23FE8"/>
    <w:rsid w:val="00F24152"/>
    <w:rsid w:val="00F241BB"/>
    <w:rsid w:val="00F244AE"/>
    <w:rsid w:val="00F244C1"/>
    <w:rsid w:val="00F24626"/>
    <w:rsid w:val="00F24723"/>
    <w:rsid w:val="00F2476C"/>
    <w:rsid w:val="00F24902"/>
    <w:rsid w:val="00F24930"/>
    <w:rsid w:val="00F24A4B"/>
    <w:rsid w:val="00F24ADF"/>
    <w:rsid w:val="00F24CCD"/>
    <w:rsid w:val="00F24D76"/>
    <w:rsid w:val="00F24E2F"/>
    <w:rsid w:val="00F24F83"/>
    <w:rsid w:val="00F24FCF"/>
    <w:rsid w:val="00F2506F"/>
    <w:rsid w:val="00F251AF"/>
    <w:rsid w:val="00F25307"/>
    <w:rsid w:val="00F25336"/>
    <w:rsid w:val="00F2549E"/>
    <w:rsid w:val="00F2552A"/>
    <w:rsid w:val="00F25A0B"/>
    <w:rsid w:val="00F25BB6"/>
    <w:rsid w:val="00F25C51"/>
    <w:rsid w:val="00F26188"/>
    <w:rsid w:val="00F262E0"/>
    <w:rsid w:val="00F263CF"/>
    <w:rsid w:val="00F26442"/>
    <w:rsid w:val="00F26445"/>
    <w:rsid w:val="00F26B46"/>
    <w:rsid w:val="00F26C9F"/>
    <w:rsid w:val="00F26CB2"/>
    <w:rsid w:val="00F2748F"/>
    <w:rsid w:val="00F276A6"/>
    <w:rsid w:val="00F27830"/>
    <w:rsid w:val="00F278C1"/>
    <w:rsid w:val="00F27A0B"/>
    <w:rsid w:val="00F27E05"/>
    <w:rsid w:val="00F30487"/>
    <w:rsid w:val="00F306AE"/>
    <w:rsid w:val="00F30935"/>
    <w:rsid w:val="00F309AB"/>
    <w:rsid w:val="00F30BAF"/>
    <w:rsid w:val="00F30C3E"/>
    <w:rsid w:val="00F30C8F"/>
    <w:rsid w:val="00F312F4"/>
    <w:rsid w:val="00F3160C"/>
    <w:rsid w:val="00F31709"/>
    <w:rsid w:val="00F3191F"/>
    <w:rsid w:val="00F3196D"/>
    <w:rsid w:val="00F319C6"/>
    <w:rsid w:val="00F31CB6"/>
    <w:rsid w:val="00F31FA8"/>
    <w:rsid w:val="00F32042"/>
    <w:rsid w:val="00F32269"/>
    <w:rsid w:val="00F322EC"/>
    <w:rsid w:val="00F3279C"/>
    <w:rsid w:val="00F32937"/>
    <w:rsid w:val="00F32961"/>
    <w:rsid w:val="00F32C05"/>
    <w:rsid w:val="00F32C6E"/>
    <w:rsid w:val="00F32DD2"/>
    <w:rsid w:val="00F32E9F"/>
    <w:rsid w:val="00F32F3F"/>
    <w:rsid w:val="00F32F7D"/>
    <w:rsid w:val="00F3320E"/>
    <w:rsid w:val="00F33275"/>
    <w:rsid w:val="00F3329F"/>
    <w:rsid w:val="00F33715"/>
    <w:rsid w:val="00F33766"/>
    <w:rsid w:val="00F33836"/>
    <w:rsid w:val="00F3383D"/>
    <w:rsid w:val="00F33B74"/>
    <w:rsid w:val="00F33C18"/>
    <w:rsid w:val="00F33C6E"/>
    <w:rsid w:val="00F33C72"/>
    <w:rsid w:val="00F33FA1"/>
    <w:rsid w:val="00F34459"/>
    <w:rsid w:val="00F34475"/>
    <w:rsid w:val="00F3465C"/>
    <w:rsid w:val="00F349BB"/>
    <w:rsid w:val="00F34A99"/>
    <w:rsid w:val="00F34EA2"/>
    <w:rsid w:val="00F34EF2"/>
    <w:rsid w:val="00F34F70"/>
    <w:rsid w:val="00F3505A"/>
    <w:rsid w:val="00F35091"/>
    <w:rsid w:val="00F3512E"/>
    <w:rsid w:val="00F3520C"/>
    <w:rsid w:val="00F35562"/>
    <w:rsid w:val="00F3563E"/>
    <w:rsid w:val="00F3596C"/>
    <w:rsid w:val="00F35A04"/>
    <w:rsid w:val="00F35A07"/>
    <w:rsid w:val="00F35A4C"/>
    <w:rsid w:val="00F35B45"/>
    <w:rsid w:val="00F35B67"/>
    <w:rsid w:val="00F35BCD"/>
    <w:rsid w:val="00F35BF0"/>
    <w:rsid w:val="00F35BF4"/>
    <w:rsid w:val="00F35C46"/>
    <w:rsid w:val="00F362A0"/>
    <w:rsid w:val="00F363DF"/>
    <w:rsid w:val="00F365E7"/>
    <w:rsid w:val="00F3665B"/>
    <w:rsid w:val="00F368FA"/>
    <w:rsid w:val="00F36BFD"/>
    <w:rsid w:val="00F36C21"/>
    <w:rsid w:val="00F36DC2"/>
    <w:rsid w:val="00F3706E"/>
    <w:rsid w:val="00F3754F"/>
    <w:rsid w:val="00F3756D"/>
    <w:rsid w:val="00F375E5"/>
    <w:rsid w:val="00F375FA"/>
    <w:rsid w:val="00F3760D"/>
    <w:rsid w:val="00F377A5"/>
    <w:rsid w:val="00F3792A"/>
    <w:rsid w:val="00F37982"/>
    <w:rsid w:val="00F37CB5"/>
    <w:rsid w:val="00F37D04"/>
    <w:rsid w:val="00F37DAB"/>
    <w:rsid w:val="00F37E65"/>
    <w:rsid w:val="00F37EE5"/>
    <w:rsid w:val="00F37F40"/>
    <w:rsid w:val="00F37FA7"/>
    <w:rsid w:val="00F40478"/>
    <w:rsid w:val="00F40539"/>
    <w:rsid w:val="00F40734"/>
    <w:rsid w:val="00F40AFD"/>
    <w:rsid w:val="00F40C4A"/>
    <w:rsid w:val="00F40E3A"/>
    <w:rsid w:val="00F4100C"/>
    <w:rsid w:val="00F41116"/>
    <w:rsid w:val="00F416CA"/>
    <w:rsid w:val="00F41811"/>
    <w:rsid w:val="00F419EC"/>
    <w:rsid w:val="00F41BC0"/>
    <w:rsid w:val="00F41C17"/>
    <w:rsid w:val="00F41E08"/>
    <w:rsid w:val="00F41E51"/>
    <w:rsid w:val="00F41EF1"/>
    <w:rsid w:val="00F41F29"/>
    <w:rsid w:val="00F4234C"/>
    <w:rsid w:val="00F423DA"/>
    <w:rsid w:val="00F425FE"/>
    <w:rsid w:val="00F4266F"/>
    <w:rsid w:val="00F42843"/>
    <w:rsid w:val="00F42880"/>
    <w:rsid w:val="00F42985"/>
    <w:rsid w:val="00F429E2"/>
    <w:rsid w:val="00F42B47"/>
    <w:rsid w:val="00F42C51"/>
    <w:rsid w:val="00F42EAC"/>
    <w:rsid w:val="00F42F0F"/>
    <w:rsid w:val="00F42FE6"/>
    <w:rsid w:val="00F431B8"/>
    <w:rsid w:val="00F433ED"/>
    <w:rsid w:val="00F43405"/>
    <w:rsid w:val="00F43425"/>
    <w:rsid w:val="00F43439"/>
    <w:rsid w:val="00F43441"/>
    <w:rsid w:val="00F43481"/>
    <w:rsid w:val="00F43600"/>
    <w:rsid w:val="00F439F2"/>
    <w:rsid w:val="00F43AD6"/>
    <w:rsid w:val="00F43B67"/>
    <w:rsid w:val="00F43CDD"/>
    <w:rsid w:val="00F43D94"/>
    <w:rsid w:val="00F44571"/>
    <w:rsid w:val="00F44627"/>
    <w:rsid w:val="00F44865"/>
    <w:rsid w:val="00F44879"/>
    <w:rsid w:val="00F44895"/>
    <w:rsid w:val="00F448DD"/>
    <w:rsid w:val="00F44914"/>
    <w:rsid w:val="00F44AA2"/>
    <w:rsid w:val="00F44EBD"/>
    <w:rsid w:val="00F44F34"/>
    <w:rsid w:val="00F44F9B"/>
    <w:rsid w:val="00F4524E"/>
    <w:rsid w:val="00F4536E"/>
    <w:rsid w:val="00F45516"/>
    <w:rsid w:val="00F455D5"/>
    <w:rsid w:val="00F45632"/>
    <w:rsid w:val="00F4573C"/>
    <w:rsid w:val="00F4584B"/>
    <w:rsid w:val="00F45B87"/>
    <w:rsid w:val="00F45F0D"/>
    <w:rsid w:val="00F461D7"/>
    <w:rsid w:val="00F46379"/>
    <w:rsid w:val="00F4642C"/>
    <w:rsid w:val="00F4667E"/>
    <w:rsid w:val="00F4675D"/>
    <w:rsid w:val="00F4680D"/>
    <w:rsid w:val="00F46C02"/>
    <w:rsid w:val="00F46DEF"/>
    <w:rsid w:val="00F46DFF"/>
    <w:rsid w:val="00F46EE8"/>
    <w:rsid w:val="00F4731F"/>
    <w:rsid w:val="00F476B2"/>
    <w:rsid w:val="00F476CB"/>
    <w:rsid w:val="00F4773B"/>
    <w:rsid w:val="00F4787C"/>
    <w:rsid w:val="00F47C47"/>
    <w:rsid w:val="00F47C56"/>
    <w:rsid w:val="00F47D95"/>
    <w:rsid w:val="00F47DF1"/>
    <w:rsid w:val="00F47F85"/>
    <w:rsid w:val="00F47F9D"/>
    <w:rsid w:val="00F47FF9"/>
    <w:rsid w:val="00F50071"/>
    <w:rsid w:val="00F50085"/>
    <w:rsid w:val="00F5019A"/>
    <w:rsid w:val="00F505FB"/>
    <w:rsid w:val="00F506BA"/>
    <w:rsid w:val="00F50752"/>
    <w:rsid w:val="00F50773"/>
    <w:rsid w:val="00F507FE"/>
    <w:rsid w:val="00F5099A"/>
    <w:rsid w:val="00F50A1E"/>
    <w:rsid w:val="00F51002"/>
    <w:rsid w:val="00F51285"/>
    <w:rsid w:val="00F5139A"/>
    <w:rsid w:val="00F51486"/>
    <w:rsid w:val="00F51563"/>
    <w:rsid w:val="00F5169A"/>
    <w:rsid w:val="00F517F3"/>
    <w:rsid w:val="00F51D11"/>
    <w:rsid w:val="00F51EAF"/>
    <w:rsid w:val="00F51F93"/>
    <w:rsid w:val="00F526A9"/>
    <w:rsid w:val="00F526C0"/>
    <w:rsid w:val="00F529A2"/>
    <w:rsid w:val="00F52A1E"/>
    <w:rsid w:val="00F52C78"/>
    <w:rsid w:val="00F52E50"/>
    <w:rsid w:val="00F52F2D"/>
    <w:rsid w:val="00F52F77"/>
    <w:rsid w:val="00F5321E"/>
    <w:rsid w:val="00F536F8"/>
    <w:rsid w:val="00F536FC"/>
    <w:rsid w:val="00F5383D"/>
    <w:rsid w:val="00F53A25"/>
    <w:rsid w:val="00F53B86"/>
    <w:rsid w:val="00F53DF1"/>
    <w:rsid w:val="00F5457B"/>
    <w:rsid w:val="00F547DF"/>
    <w:rsid w:val="00F5490F"/>
    <w:rsid w:val="00F54A42"/>
    <w:rsid w:val="00F54DB3"/>
    <w:rsid w:val="00F55259"/>
    <w:rsid w:val="00F552F0"/>
    <w:rsid w:val="00F55352"/>
    <w:rsid w:val="00F55383"/>
    <w:rsid w:val="00F55406"/>
    <w:rsid w:val="00F555C4"/>
    <w:rsid w:val="00F55878"/>
    <w:rsid w:val="00F558D8"/>
    <w:rsid w:val="00F55982"/>
    <w:rsid w:val="00F55A02"/>
    <w:rsid w:val="00F55A7F"/>
    <w:rsid w:val="00F55AB9"/>
    <w:rsid w:val="00F55C77"/>
    <w:rsid w:val="00F55DEC"/>
    <w:rsid w:val="00F55E83"/>
    <w:rsid w:val="00F55FA4"/>
    <w:rsid w:val="00F56000"/>
    <w:rsid w:val="00F5615E"/>
    <w:rsid w:val="00F56177"/>
    <w:rsid w:val="00F561A7"/>
    <w:rsid w:val="00F562E7"/>
    <w:rsid w:val="00F56470"/>
    <w:rsid w:val="00F5661F"/>
    <w:rsid w:val="00F5674E"/>
    <w:rsid w:val="00F56896"/>
    <w:rsid w:val="00F56AE1"/>
    <w:rsid w:val="00F57036"/>
    <w:rsid w:val="00F5712A"/>
    <w:rsid w:val="00F571EE"/>
    <w:rsid w:val="00F5797A"/>
    <w:rsid w:val="00F57AB5"/>
    <w:rsid w:val="00F57B22"/>
    <w:rsid w:val="00F57C39"/>
    <w:rsid w:val="00F57CED"/>
    <w:rsid w:val="00F57D71"/>
    <w:rsid w:val="00F57D9D"/>
    <w:rsid w:val="00F57E2B"/>
    <w:rsid w:val="00F605D4"/>
    <w:rsid w:val="00F6061C"/>
    <w:rsid w:val="00F606C0"/>
    <w:rsid w:val="00F607FF"/>
    <w:rsid w:val="00F60E8C"/>
    <w:rsid w:val="00F60F1A"/>
    <w:rsid w:val="00F6100C"/>
    <w:rsid w:val="00F611D0"/>
    <w:rsid w:val="00F6120A"/>
    <w:rsid w:val="00F61256"/>
    <w:rsid w:val="00F61625"/>
    <w:rsid w:val="00F616FF"/>
    <w:rsid w:val="00F61727"/>
    <w:rsid w:val="00F618A2"/>
    <w:rsid w:val="00F61B4B"/>
    <w:rsid w:val="00F61C63"/>
    <w:rsid w:val="00F620CB"/>
    <w:rsid w:val="00F6225B"/>
    <w:rsid w:val="00F62306"/>
    <w:rsid w:val="00F623B5"/>
    <w:rsid w:val="00F624FE"/>
    <w:rsid w:val="00F628F5"/>
    <w:rsid w:val="00F62D69"/>
    <w:rsid w:val="00F62EC2"/>
    <w:rsid w:val="00F62F54"/>
    <w:rsid w:val="00F630F4"/>
    <w:rsid w:val="00F63113"/>
    <w:rsid w:val="00F631D0"/>
    <w:rsid w:val="00F6327C"/>
    <w:rsid w:val="00F63428"/>
    <w:rsid w:val="00F6362A"/>
    <w:rsid w:val="00F6368D"/>
    <w:rsid w:val="00F637FC"/>
    <w:rsid w:val="00F63B5D"/>
    <w:rsid w:val="00F63F1B"/>
    <w:rsid w:val="00F64234"/>
    <w:rsid w:val="00F64321"/>
    <w:rsid w:val="00F64373"/>
    <w:rsid w:val="00F644E2"/>
    <w:rsid w:val="00F645F3"/>
    <w:rsid w:val="00F6464C"/>
    <w:rsid w:val="00F647AE"/>
    <w:rsid w:val="00F64875"/>
    <w:rsid w:val="00F648CC"/>
    <w:rsid w:val="00F64979"/>
    <w:rsid w:val="00F64CD1"/>
    <w:rsid w:val="00F64F12"/>
    <w:rsid w:val="00F65144"/>
    <w:rsid w:val="00F65153"/>
    <w:rsid w:val="00F651E0"/>
    <w:rsid w:val="00F65368"/>
    <w:rsid w:val="00F65491"/>
    <w:rsid w:val="00F65548"/>
    <w:rsid w:val="00F6587D"/>
    <w:rsid w:val="00F659F7"/>
    <w:rsid w:val="00F65B18"/>
    <w:rsid w:val="00F65B60"/>
    <w:rsid w:val="00F65CC3"/>
    <w:rsid w:val="00F65ECE"/>
    <w:rsid w:val="00F6626C"/>
    <w:rsid w:val="00F66486"/>
    <w:rsid w:val="00F66544"/>
    <w:rsid w:val="00F66680"/>
    <w:rsid w:val="00F66964"/>
    <w:rsid w:val="00F66C12"/>
    <w:rsid w:val="00F66D67"/>
    <w:rsid w:val="00F672FD"/>
    <w:rsid w:val="00F6731B"/>
    <w:rsid w:val="00F67462"/>
    <w:rsid w:val="00F67574"/>
    <w:rsid w:val="00F675E9"/>
    <w:rsid w:val="00F67C12"/>
    <w:rsid w:val="00F67C70"/>
    <w:rsid w:val="00F67D10"/>
    <w:rsid w:val="00F67E85"/>
    <w:rsid w:val="00F67EF7"/>
    <w:rsid w:val="00F67FBD"/>
    <w:rsid w:val="00F70140"/>
    <w:rsid w:val="00F702F9"/>
    <w:rsid w:val="00F703DE"/>
    <w:rsid w:val="00F70629"/>
    <w:rsid w:val="00F7071A"/>
    <w:rsid w:val="00F70958"/>
    <w:rsid w:val="00F70A19"/>
    <w:rsid w:val="00F70AB9"/>
    <w:rsid w:val="00F70AF7"/>
    <w:rsid w:val="00F70E66"/>
    <w:rsid w:val="00F70F9A"/>
    <w:rsid w:val="00F7111D"/>
    <w:rsid w:val="00F711CC"/>
    <w:rsid w:val="00F71252"/>
    <w:rsid w:val="00F712BB"/>
    <w:rsid w:val="00F7149D"/>
    <w:rsid w:val="00F71502"/>
    <w:rsid w:val="00F71568"/>
    <w:rsid w:val="00F7170D"/>
    <w:rsid w:val="00F71731"/>
    <w:rsid w:val="00F71870"/>
    <w:rsid w:val="00F7196C"/>
    <w:rsid w:val="00F7197A"/>
    <w:rsid w:val="00F71BDA"/>
    <w:rsid w:val="00F71D3D"/>
    <w:rsid w:val="00F71EE1"/>
    <w:rsid w:val="00F71EF6"/>
    <w:rsid w:val="00F720D7"/>
    <w:rsid w:val="00F722C0"/>
    <w:rsid w:val="00F725D9"/>
    <w:rsid w:val="00F7270A"/>
    <w:rsid w:val="00F729FA"/>
    <w:rsid w:val="00F72B6D"/>
    <w:rsid w:val="00F72ED3"/>
    <w:rsid w:val="00F72F47"/>
    <w:rsid w:val="00F7329D"/>
    <w:rsid w:val="00F7336F"/>
    <w:rsid w:val="00F73459"/>
    <w:rsid w:val="00F73719"/>
    <w:rsid w:val="00F7382F"/>
    <w:rsid w:val="00F73D7A"/>
    <w:rsid w:val="00F740F4"/>
    <w:rsid w:val="00F743E5"/>
    <w:rsid w:val="00F744F0"/>
    <w:rsid w:val="00F74502"/>
    <w:rsid w:val="00F747D5"/>
    <w:rsid w:val="00F74808"/>
    <w:rsid w:val="00F7496C"/>
    <w:rsid w:val="00F74A51"/>
    <w:rsid w:val="00F74F86"/>
    <w:rsid w:val="00F75142"/>
    <w:rsid w:val="00F752E3"/>
    <w:rsid w:val="00F7541B"/>
    <w:rsid w:val="00F7542E"/>
    <w:rsid w:val="00F75800"/>
    <w:rsid w:val="00F75B18"/>
    <w:rsid w:val="00F75CF5"/>
    <w:rsid w:val="00F75E2D"/>
    <w:rsid w:val="00F75ED7"/>
    <w:rsid w:val="00F761F5"/>
    <w:rsid w:val="00F76226"/>
    <w:rsid w:val="00F76328"/>
    <w:rsid w:val="00F76583"/>
    <w:rsid w:val="00F765BB"/>
    <w:rsid w:val="00F765D0"/>
    <w:rsid w:val="00F76702"/>
    <w:rsid w:val="00F7680B"/>
    <w:rsid w:val="00F76FD7"/>
    <w:rsid w:val="00F77019"/>
    <w:rsid w:val="00F771EB"/>
    <w:rsid w:val="00F772F4"/>
    <w:rsid w:val="00F77586"/>
    <w:rsid w:val="00F775B9"/>
    <w:rsid w:val="00F7765A"/>
    <w:rsid w:val="00F777CD"/>
    <w:rsid w:val="00F77805"/>
    <w:rsid w:val="00F778BE"/>
    <w:rsid w:val="00F77BEC"/>
    <w:rsid w:val="00F77CE6"/>
    <w:rsid w:val="00F77E2E"/>
    <w:rsid w:val="00F77F4A"/>
    <w:rsid w:val="00F80022"/>
    <w:rsid w:val="00F800C7"/>
    <w:rsid w:val="00F801F8"/>
    <w:rsid w:val="00F804CB"/>
    <w:rsid w:val="00F807FD"/>
    <w:rsid w:val="00F808F4"/>
    <w:rsid w:val="00F80B7B"/>
    <w:rsid w:val="00F80D28"/>
    <w:rsid w:val="00F80D95"/>
    <w:rsid w:val="00F80E33"/>
    <w:rsid w:val="00F80F4F"/>
    <w:rsid w:val="00F81037"/>
    <w:rsid w:val="00F810B3"/>
    <w:rsid w:val="00F8148D"/>
    <w:rsid w:val="00F815C2"/>
    <w:rsid w:val="00F81ACD"/>
    <w:rsid w:val="00F81B1C"/>
    <w:rsid w:val="00F81BA4"/>
    <w:rsid w:val="00F81D44"/>
    <w:rsid w:val="00F8210A"/>
    <w:rsid w:val="00F82373"/>
    <w:rsid w:val="00F824F1"/>
    <w:rsid w:val="00F825FB"/>
    <w:rsid w:val="00F8269B"/>
    <w:rsid w:val="00F828E5"/>
    <w:rsid w:val="00F829E3"/>
    <w:rsid w:val="00F82C66"/>
    <w:rsid w:val="00F82D18"/>
    <w:rsid w:val="00F83169"/>
    <w:rsid w:val="00F83370"/>
    <w:rsid w:val="00F837A7"/>
    <w:rsid w:val="00F83A79"/>
    <w:rsid w:val="00F83A8A"/>
    <w:rsid w:val="00F83A96"/>
    <w:rsid w:val="00F83B54"/>
    <w:rsid w:val="00F83BAF"/>
    <w:rsid w:val="00F83BCD"/>
    <w:rsid w:val="00F83D81"/>
    <w:rsid w:val="00F83EB0"/>
    <w:rsid w:val="00F83FEC"/>
    <w:rsid w:val="00F840C0"/>
    <w:rsid w:val="00F843F8"/>
    <w:rsid w:val="00F845CE"/>
    <w:rsid w:val="00F84655"/>
    <w:rsid w:val="00F84AB6"/>
    <w:rsid w:val="00F84CEE"/>
    <w:rsid w:val="00F84F74"/>
    <w:rsid w:val="00F8504B"/>
    <w:rsid w:val="00F8507D"/>
    <w:rsid w:val="00F852A5"/>
    <w:rsid w:val="00F852B9"/>
    <w:rsid w:val="00F85645"/>
    <w:rsid w:val="00F856DC"/>
    <w:rsid w:val="00F85741"/>
    <w:rsid w:val="00F85826"/>
    <w:rsid w:val="00F85CB3"/>
    <w:rsid w:val="00F85CD9"/>
    <w:rsid w:val="00F85D47"/>
    <w:rsid w:val="00F85E65"/>
    <w:rsid w:val="00F85F54"/>
    <w:rsid w:val="00F8633A"/>
    <w:rsid w:val="00F86376"/>
    <w:rsid w:val="00F865C0"/>
    <w:rsid w:val="00F8662C"/>
    <w:rsid w:val="00F8668F"/>
    <w:rsid w:val="00F86797"/>
    <w:rsid w:val="00F8681C"/>
    <w:rsid w:val="00F86BD8"/>
    <w:rsid w:val="00F86BEA"/>
    <w:rsid w:val="00F86D38"/>
    <w:rsid w:val="00F87022"/>
    <w:rsid w:val="00F87164"/>
    <w:rsid w:val="00F8718B"/>
    <w:rsid w:val="00F87346"/>
    <w:rsid w:val="00F8743F"/>
    <w:rsid w:val="00F87651"/>
    <w:rsid w:val="00F876FD"/>
    <w:rsid w:val="00F87768"/>
    <w:rsid w:val="00F87888"/>
    <w:rsid w:val="00F87911"/>
    <w:rsid w:val="00F87C34"/>
    <w:rsid w:val="00F87E7B"/>
    <w:rsid w:val="00F90045"/>
    <w:rsid w:val="00F90082"/>
    <w:rsid w:val="00F901C7"/>
    <w:rsid w:val="00F902F2"/>
    <w:rsid w:val="00F9039A"/>
    <w:rsid w:val="00F9042B"/>
    <w:rsid w:val="00F90832"/>
    <w:rsid w:val="00F9090D"/>
    <w:rsid w:val="00F90D2A"/>
    <w:rsid w:val="00F90EB3"/>
    <w:rsid w:val="00F91038"/>
    <w:rsid w:val="00F91481"/>
    <w:rsid w:val="00F916C7"/>
    <w:rsid w:val="00F91B4B"/>
    <w:rsid w:val="00F91EC5"/>
    <w:rsid w:val="00F91FA0"/>
    <w:rsid w:val="00F9201E"/>
    <w:rsid w:val="00F92275"/>
    <w:rsid w:val="00F92490"/>
    <w:rsid w:val="00F924AA"/>
    <w:rsid w:val="00F92778"/>
    <w:rsid w:val="00F927EE"/>
    <w:rsid w:val="00F92828"/>
    <w:rsid w:val="00F92931"/>
    <w:rsid w:val="00F92993"/>
    <w:rsid w:val="00F929D9"/>
    <w:rsid w:val="00F92CAF"/>
    <w:rsid w:val="00F92DAF"/>
    <w:rsid w:val="00F92E0B"/>
    <w:rsid w:val="00F92F8D"/>
    <w:rsid w:val="00F92FCD"/>
    <w:rsid w:val="00F93402"/>
    <w:rsid w:val="00F93431"/>
    <w:rsid w:val="00F934E9"/>
    <w:rsid w:val="00F93534"/>
    <w:rsid w:val="00F935A4"/>
    <w:rsid w:val="00F93A09"/>
    <w:rsid w:val="00F93B69"/>
    <w:rsid w:val="00F93BB1"/>
    <w:rsid w:val="00F93C1B"/>
    <w:rsid w:val="00F93D9F"/>
    <w:rsid w:val="00F94015"/>
    <w:rsid w:val="00F940D2"/>
    <w:rsid w:val="00F94170"/>
    <w:rsid w:val="00F94246"/>
    <w:rsid w:val="00F944A4"/>
    <w:rsid w:val="00F945F9"/>
    <w:rsid w:val="00F946BA"/>
    <w:rsid w:val="00F94716"/>
    <w:rsid w:val="00F94916"/>
    <w:rsid w:val="00F94AE2"/>
    <w:rsid w:val="00F94CBF"/>
    <w:rsid w:val="00F951D0"/>
    <w:rsid w:val="00F95477"/>
    <w:rsid w:val="00F954B5"/>
    <w:rsid w:val="00F955BA"/>
    <w:rsid w:val="00F95705"/>
    <w:rsid w:val="00F9591D"/>
    <w:rsid w:val="00F95A53"/>
    <w:rsid w:val="00F95B4D"/>
    <w:rsid w:val="00F95BEA"/>
    <w:rsid w:val="00F95C08"/>
    <w:rsid w:val="00F9603D"/>
    <w:rsid w:val="00F9616C"/>
    <w:rsid w:val="00F961AF"/>
    <w:rsid w:val="00F96371"/>
    <w:rsid w:val="00F9643C"/>
    <w:rsid w:val="00F964D3"/>
    <w:rsid w:val="00F966D2"/>
    <w:rsid w:val="00F967A5"/>
    <w:rsid w:val="00F96A2F"/>
    <w:rsid w:val="00F96B46"/>
    <w:rsid w:val="00F96B49"/>
    <w:rsid w:val="00F96D10"/>
    <w:rsid w:val="00F96EC2"/>
    <w:rsid w:val="00F96FDA"/>
    <w:rsid w:val="00F971FB"/>
    <w:rsid w:val="00F972A0"/>
    <w:rsid w:val="00F9756D"/>
    <w:rsid w:val="00F97810"/>
    <w:rsid w:val="00F97F00"/>
    <w:rsid w:val="00F97F44"/>
    <w:rsid w:val="00FA03B6"/>
    <w:rsid w:val="00FA06DD"/>
    <w:rsid w:val="00FA073B"/>
    <w:rsid w:val="00FA0A6F"/>
    <w:rsid w:val="00FA0B09"/>
    <w:rsid w:val="00FA0B22"/>
    <w:rsid w:val="00FA0CD0"/>
    <w:rsid w:val="00FA0D33"/>
    <w:rsid w:val="00FA0DDE"/>
    <w:rsid w:val="00FA0E2B"/>
    <w:rsid w:val="00FA0ECE"/>
    <w:rsid w:val="00FA108B"/>
    <w:rsid w:val="00FA1278"/>
    <w:rsid w:val="00FA173A"/>
    <w:rsid w:val="00FA1BA5"/>
    <w:rsid w:val="00FA1D3A"/>
    <w:rsid w:val="00FA2082"/>
    <w:rsid w:val="00FA2249"/>
    <w:rsid w:val="00FA22B2"/>
    <w:rsid w:val="00FA2AED"/>
    <w:rsid w:val="00FA2CA8"/>
    <w:rsid w:val="00FA3105"/>
    <w:rsid w:val="00FA34F7"/>
    <w:rsid w:val="00FA368E"/>
    <w:rsid w:val="00FA375D"/>
    <w:rsid w:val="00FA3776"/>
    <w:rsid w:val="00FA37E9"/>
    <w:rsid w:val="00FA38D0"/>
    <w:rsid w:val="00FA3A79"/>
    <w:rsid w:val="00FA3ACC"/>
    <w:rsid w:val="00FA3DAA"/>
    <w:rsid w:val="00FA3EDE"/>
    <w:rsid w:val="00FA3F06"/>
    <w:rsid w:val="00FA3F97"/>
    <w:rsid w:val="00FA402C"/>
    <w:rsid w:val="00FA4254"/>
    <w:rsid w:val="00FA4283"/>
    <w:rsid w:val="00FA428D"/>
    <w:rsid w:val="00FA4410"/>
    <w:rsid w:val="00FA45B8"/>
    <w:rsid w:val="00FA477E"/>
    <w:rsid w:val="00FA495B"/>
    <w:rsid w:val="00FA4FBB"/>
    <w:rsid w:val="00FA50CD"/>
    <w:rsid w:val="00FA50D0"/>
    <w:rsid w:val="00FA511D"/>
    <w:rsid w:val="00FA54D8"/>
    <w:rsid w:val="00FA555E"/>
    <w:rsid w:val="00FA581F"/>
    <w:rsid w:val="00FA5900"/>
    <w:rsid w:val="00FA5A19"/>
    <w:rsid w:val="00FA5C3D"/>
    <w:rsid w:val="00FA6001"/>
    <w:rsid w:val="00FA6147"/>
    <w:rsid w:val="00FA61EF"/>
    <w:rsid w:val="00FA6366"/>
    <w:rsid w:val="00FA636F"/>
    <w:rsid w:val="00FA642D"/>
    <w:rsid w:val="00FA658C"/>
    <w:rsid w:val="00FA65AE"/>
    <w:rsid w:val="00FA6711"/>
    <w:rsid w:val="00FA6713"/>
    <w:rsid w:val="00FA675C"/>
    <w:rsid w:val="00FA67B6"/>
    <w:rsid w:val="00FA6AA9"/>
    <w:rsid w:val="00FA6B9F"/>
    <w:rsid w:val="00FA6C21"/>
    <w:rsid w:val="00FA6CFB"/>
    <w:rsid w:val="00FA6DA6"/>
    <w:rsid w:val="00FA7048"/>
    <w:rsid w:val="00FA7107"/>
    <w:rsid w:val="00FA72C3"/>
    <w:rsid w:val="00FA743C"/>
    <w:rsid w:val="00FA7555"/>
    <w:rsid w:val="00FA782F"/>
    <w:rsid w:val="00FA799A"/>
    <w:rsid w:val="00FA7B08"/>
    <w:rsid w:val="00FA7B0C"/>
    <w:rsid w:val="00FA7B7F"/>
    <w:rsid w:val="00FA7C13"/>
    <w:rsid w:val="00FA7E96"/>
    <w:rsid w:val="00FA7EBC"/>
    <w:rsid w:val="00FB006B"/>
    <w:rsid w:val="00FB0490"/>
    <w:rsid w:val="00FB04CA"/>
    <w:rsid w:val="00FB04F5"/>
    <w:rsid w:val="00FB06C7"/>
    <w:rsid w:val="00FB0752"/>
    <w:rsid w:val="00FB0ABB"/>
    <w:rsid w:val="00FB0AE1"/>
    <w:rsid w:val="00FB0C36"/>
    <w:rsid w:val="00FB0E95"/>
    <w:rsid w:val="00FB10B8"/>
    <w:rsid w:val="00FB1490"/>
    <w:rsid w:val="00FB14E5"/>
    <w:rsid w:val="00FB175A"/>
    <w:rsid w:val="00FB1970"/>
    <w:rsid w:val="00FB1979"/>
    <w:rsid w:val="00FB198A"/>
    <w:rsid w:val="00FB1A50"/>
    <w:rsid w:val="00FB1D64"/>
    <w:rsid w:val="00FB1D8F"/>
    <w:rsid w:val="00FB1FBD"/>
    <w:rsid w:val="00FB2083"/>
    <w:rsid w:val="00FB20B3"/>
    <w:rsid w:val="00FB22B8"/>
    <w:rsid w:val="00FB2541"/>
    <w:rsid w:val="00FB2A04"/>
    <w:rsid w:val="00FB2B35"/>
    <w:rsid w:val="00FB2BF7"/>
    <w:rsid w:val="00FB2C7E"/>
    <w:rsid w:val="00FB2D36"/>
    <w:rsid w:val="00FB2DB3"/>
    <w:rsid w:val="00FB2EA6"/>
    <w:rsid w:val="00FB2EBE"/>
    <w:rsid w:val="00FB2EED"/>
    <w:rsid w:val="00FB34B0"/>
    <w:rsid w:val="00FB34CC"/>
    <w:rsid w:val="00FB35D9"/>
    <w:rsid w:val="00FB3B0D"/>
    <w:rsid w:val="00FB3B74"/>
    <w:rsid w:val="00FB3EE1"/>
    <w:rsid w:val="00FB3FEB"/>
    <w:rsid w:val="00FB400D"/>
    <w:rsid w:val="00FB424D"/>
    <w:rsid w:val="00FB43C8"/>
    <w:rsid w:val="00FB45C6"/>
    <w:rsid w:val="00FB47B7"/>
    <w:rsid w:val="00FB4838"/>
    <w:rsid w:val="00FB4927"/>
    <w:rsid w:val="00FB4C77"/>
    <w:rsid w:val="00FB4D0A"/>
    <w:rsid w:val="00FB4DA6"/>
    <w:rsid w:val="00FB4E5F"/>
    <w:rsid w:val="00FB4F1A"/>
    <w:rsid w:val="00FB4FD5"/>
    <w:rsid w:val="00FB4FEC"/>
    <w:rsid w:val="00FB5092"/>
    <w:rsid w:val="00FB50EA"/>
    <w:rsid w:val="00FB5116"/>
    <w:rsid w:val="00FB5211"/>
    <w:rsid w:val="00FB522F"/>
    <w:rsid w:val="00FB53C6"/>
    <w:rsid w:val="00FB553E"/>
    <w:rsid w:val="00FB554D"/>
    <w:rsid w:val="00FB56C0"/>
    <w:rsid w:val="00FB5719"/>
    <w:rsid w:val="00FB5B93"/>
    <w:rsid w:val="00FB5DF7"/>
    <w:rsid w:val="00FB5F63"/>
    <w:rsid w:val="00FB60CF"/>
    <w:rsid w:val="00FB612C"/>
    <w:rsid w:val="00FB62FB"/>
    <w:rsid w:val="00FB6388"/>
    <w:rsid w:val="00FB6398"/>
    <w:rsid w:val="00FB6567"/>
    <w:rsid w:val="00FB65A2"/>
    <w:rsid w:val="00FB6715"/>
    <w:rsid w:val="00FB69D7"/>
    <w:rsid w:val="00FB6A76"/>
    <w:rsid w:val="00FB6CB3"/>
    <w:rsid w:val="00FB6DA4"/>
    <w:rsid w:val="00FB6F93"/>
    <w:rsid w:val="00FB702E"/>
    <w:rsid w:val="00FB70C7"/>
    <w:rsid w:val="00FB7561"/>
    <w:rsid w:val="00FB78C6"/>
    <w:rsid w:val="00FB7E50"/>
    <w:rsid w:val="00FB7EC2"/>
    <w:rsid w:val="00FC01D1"/>
    <w:rsid w:val="00FC01E6"/>
    <w:rsid w:val="00FC0422"/>
    <w:rsid w:val="00FC0473"/>
    <w:rsid w:val="00FC097A"/>
    <w:rsid w:val="00FC0BC2"/>
    <w:rsid w:val="00FC0C07"/>
    <w:rsid w:val="00FC0F59"/>
    <w:rsid w:val="00FC124C"/>
    <w:rsid w:val="00FC12A2"/>
    <w:rsid w:val="00FC12A8"/>
    <w:rsid w:val="00FC1358"/>
    <w:rsid w:val="00FC14C8"/>
    <w:rsid w:val="00FC161A"/>
    <w:rsid w:val="00FC1AC6"/>
    <w:rsid w:val="00FC1C99"/>
    <w:rsid w:val="00FC1DC5"/>
    <w:rsid w:val="00FC1E1B"/>
    <w:rsid w:val="00FC219F"/>
    <w:rsid w:val="00FC2352"/>
    <w:rsid w:val="00FC253F"/>
    <w:rsid w:val="00FC2669"/>
    <w:rsid w:val="00FC2819"/>
    <w:rsid w:val="00FC283A"/>
    <w:rsid w:val="00FC2C5E"/>
    <w:rsid w:val="00FC2D7C"/>
    <w:rsid w:val="00FC318D"/>
    <w:rsid w:val="00FC34D9"/>
    <w:rsid w:val="00FC34F3"/>
    <w:rsid w:val="00FC360D"/>
    <w:rsid w:val="00FC3936"/>
    <w:rsid w:val="00FC3967"/>
    <w:rsid w:val="00FC39D6"/>
    <w:rsid w:val="00FC404A"/>
    <w:rsid w:val="00FC415D"/>
    <w:rsid w:val="00FC41DD"/>
    <w:rsid w:val="00FC437F"/>
    <w:rsid w:val="00FC4557"/>
    <w:rsid w:val="00FC4636"/>
    <w:rsid w:val="00FC46AD"/>
    <w:rsid w:val="00FC47B6"/>
    <w:rsid w:val="00FC4998"/>
    <w:rsid w:val="00FC4A2E"/>
    <w:rsid w:val="00FC4A32"/>
    <w:rsid w:val="00FC5011"/>
    <w:rsid w:val="00FC5041"/>
    <w:rsid w:val="00FC5269"/>
    <w:rsid w:val="00FC5352"/>
    <w:rsid w:val="00FC536B"/>
    <w:rsid w:val="00FC53D7"/>
    <w:rsid w:val="00FC5424"/>
    <w:rsid w:val="00FC561C"/>
    <w:rsid w:val="00FC5624"/>
    <w:rsid w:val="00FC56B1"/>
    <w:rsid w:val="00FC589A"/>
    <w:rsid w:val="00FC5941"/>
    <w:rsid w:val="00FC5BAE"/>
    <w:rsid w:val="00FC5CB0"/>
    <w:rsid w:val="00FC5D0B"/>
    <w:rsid w:val="00FC5EE3"/>
    <w:rsid w:val="00FC60C0"/>
    <w:rsid w:val="00FC642D"/>
    <w:rsid w:val="00FC6784"/>
    <w:rsid w:val="00FC6928"/>
    <w:rsid w:val="00FC6A51"/>
    <w:rsid w:val="00FC6C77"/>
    <w:rsid w:val="00FC6C7A"/>
    <w:rsid w:val="00FC6D17"/>
    <w:rsid w:val="00FC6D7D"/>
    <w:rsid w:val="00FC7123"/>
    <w:rsid w:val="00FC7148"/>
    <w:rsid w:val="00FC7535"/>
    <w:rsid w:val="00FC7567"/>
    <w:rsid w:val="00FC7704"/>
    <w:rsid w:val="00FC77B8"/>
    <w:rsid w:val="00FC7E07"/>
    <w:rsid w:val="00FC7FC4"/>
    <w:rsid w:val="00FD001D"/>
    <w:rsid w:val="00FD01B8"/>
    <w:rsid w:val="00FD0302"/>
    <w:rsid w:val="00FD0416"/>
    <w:rsid w:val="00FD049E"/>
    <w:rsid w:val="00FD05F0"/>
    <w:rsid w:val="00FD076C"/>
    <w:rsid w:val="00FD09D1"/>
    <w:rsid w:val="00FD0AF5"/>
    <w:rsid w:val="00FD0D58"/>
    <w:rsid w:val="00FD0DEC"/>
    <w:rsid w:val="00FD0E2A"/>
    <w:rsid w:val="00FD0EC1"/>
    <w:rsid w:val="00FD11BF"/>
    <w:rsid w:val="00FD1573"/>
    <w:rsid w:val="00FD167B"/>
    <w:rsid w:val="00FD1BA7"/>
    <w:rsid w:val="00FD1D09"/>
    <w:rsid w:val="00FD1E61"/>
    <w:rsid w:val="00FD21F4"/>
    <w:rsid w:val="00FD227D"/>
    <w:rsid w:val="00FD22CB"/>
    <w:rsid w:val="00FD2468"/>
    <w:rsid w:val="00FD29AB"/>
    <w:rsid w:val="00FD2E24"/>
    <w:rsid w:val="00FD2F34"/>
    <w:rsid w:val="00FD37C1"/>
    <w:rsid w:val="00FD38E0"/>
    <w:rsid w:val="00FD3B5A"/>
    <w:rsid w:val="00FD3F7D"/>
    <w:rsid w:val="00FD3FE0"/>
    <w:rsid w:val="00FD402E"/>
    <w:rsid w:val="00FD4096"/>
    <w:rsid w:val="00FD43FA"/>
    <w:rsid w:val="00FD47F2"/>
    <w:rsid w:val="00FD4A3E"/>
    <w:rsid w:val="00FD4C0F"/>
    <w:rsid w:val="00FD4CAB"/>
    <w:rsid w:val="00FD4F3B"/>
    <w:rsid w:val="00FD542D"/>
    <w:rsid w:val="00FD5626"/>
    <w:rsid w:val="00FD564E"/>
    <w:rsid w:val="00FD5E35"/>
    <w:rsid w:val="00FD5E5D"/>
    <w:rsid w:val="00FD618E"/>
    <w:rsid w:val="00FD62E8"/>
    <w:rsid w:val="00FD66D5"/>
    <w:rsid w:val="00FD6BF0"/>
    <w:rsid w:val="00FD706A"/>
    <w:rsid w:val="00FD7205"/>
    <w:rsid w:val="00FD75ED"/>
    <w:rsid w:val="00FD7747"/>
    <w:rsid w:val="00FD788C"/>
    <w:rsid w:val="00FD7917"/>
    <w:rsid w:val="00FD7930"/>
    <w:rsid w:val="00FD798B"/>
    <w:rsid w:val="00FD79E3"/>
    <w:rsid w:val="00FD7BC8"/>
    <w:rsid w:val="00FD7BD7"/>
    <w:rsid w:val="00FD7FAC"/>
    <w:rsid w:val="00FE003F"/>
    <w:rsid w:val="00FE0095"/>
    <w:rsid w:val="00FE0948"/>
    <w:rsid w:val="00FE0C30"/>
    <w:rsid w:val="00FE0D1C"/>
    <w:rsid w:val="00FE0D56"/>
    <w:rsid w:val="00FE0D81"/>
    <w:rsid w:val="00FE0EAB"/>
    <w:rsid w:val="00FE0F6E"/>
    <w:rsid w:val="00FE10F7"/>
    <w:rsid w:val="00FE11E7"/>
    <w:rsid w:val="00FE13CE"/>
    <w:rsid w:val="00FE1583"/>
    <w:rsid w:val="00FE17F5"/>
    <w:rsid w:val="00FE1B7B"/>
    <w:rsid w:val="00FE1C30"/>
    <w:rsid w:val="00FE1D05"/>
    <w:rsid w:val="00FE2026"/>
    <w:rsid w:val="00FE2074"/>
    <w:rsid w:val="00FE272D"/>
    <w:rsid w:val="00FE27A7"/>
    <w:rsid w:val="00FE2A8A"/>
    <w:rsid w:val="00FE2B20"/>
    <w:rsid w:val="00FE2B5B"/>
    <w:rsid w:val="00FE2C90"/>
    <w:rsid w:val="00FE2DE7"/>
    <w:rsid w:val="00FE2E8C"/>
    <w:rsid w:val="00FE2EDB"/>
    <w:rsid w:val="00FE3164"/>
    <w:rsid w:val="00FE3257"/>
    <w:rsid w:val="00FE325C"/>
    <w:rsid w:val="00FE33B8"/>
    <w:rsid w:val="00FE3A12"/>
    <w:rsid w:val="00FE3D57"/>
    <w:rsid w:val="00FE3E56"/>
    <w:rsid w:val="00FE3F24"/>
    <w:rsid w:val="00FE436F"/>
    <w:rsid w:val="00FE47A9"/>
    <w:rsid w:val="00FE4819"/>
    <w:rsid w:val="00FE4FD5"/>
    <w:rsid w:val="00FE50BA"/>
    <w:rsid w:val="00FE536C"/>
    <w:rsid w:val="00FE5388"/>
    <w:rsid w:val="00FE575F"/>
    <w:rsid w:val="00FE5789"/>
    <w:rsid w:val="00FE57AA"/>
    <w:rsid w:val="00FE60E4"/>
    <w:rsid w:val="00FE6134"/>
    <w:rsid w:val="00FE64D9"/>
    <w:rsid w:val="00FE6574"/>
    <w:rsid w:val="00FE67E0"/>
    <w:rsid w:val="00FE6AF7"/>
    <w:rsid w:val="00FE6BF7"/>
    <w:rsid w:val="00FE6C4A"/>
    <w:rsid w:val="00FE6D18"/>
    <w:rsid w:val="00FE6F76"/>
    <w:rsid w:val="00FE73FA"/>
    <w:rsid w:val="00FE7655"/>
    <w:rsid w:val="00FE7661"/>
    <w:rsid w:val="00FE7B8E"/>
    <w:rsid w:val="00FE7C40"/>
    <w:rsid w:val="00FE7C9A"/>
    <w:rsid w:val="00FF0114"/>
    <w:rsid w:val="00FF0212"/>
    <w:rsid w:val="00FF02AB"/>
    <w:rsid w:val="00FF02BF"/>
    <w:rsid w:val="00FF036B"/>
    <w:rsid w:val="00FF0570"/>
    <w:rsid w:val="00FF0636"/>
    <w:rsid w:val="00FF0792"/>
    <w:rsid w:val="00FF087A"/>
    <w:rsid w:val="00FF08CE"/>
    <w:rsid w:val="00FF0A0C"/>
    <w:rsid w:val="00FF0B21"/>
    <w:rsid w:val="00FF0C1B"/>
    <w:rsid w:val="00FF0D50"/>
    <w:rsid w:val="00FF0F41"/>
    <w:rsid w:val="00FF0FB2"/>
    <w:rsid w:val="00FF1037"/>
    <w:rsid w:val="00FF1756"/>
    <w:rsid w:val="00FF17FA"/>
    <w:rsid w:val="00FF18F0"/>
    <w:rsid w:val="00FF1D2B"/>
    <w:rsid w:val="00FF2131"/>
    <w:rsid w:val="00FF2419"/>
    <w:rsid w:val="00FF246C"/>
    <w:rsid w:val="00FF2588"/>
    <w:rsid w:val="00FF2620"/>
    <w:rsid w:val="00FF26B8"/>
    <w:rsid w:val="00FF2707"/>
    <w:rsid w:val="00FF29CF"/>
    <w:rsid w:val="00FF2A53"/>
    <w:rsid w:val="00FF2C8C"/>
    <w:rsid w:val="00FF2D5C"/>
    <w:rsid w:val="00FF2DF2"/>
    <w:rsid w:val="00FF2E32"/>
    <w:rsid w:val="00FF308B"/>
    <w:rsid w:val="00FF3627"/>
    <w:rsid w:val="00FF36E1"/>
    <w:rsid w:val="00FF3AA6"/>
    <w:rsid w:val="00FF4021"/>
    <w:rsid w:val="00FF410E"/>
    <w:rsid w:val="00FF419A"/>
    <w:rsid w:val="00FF4358"/>
    <w:rsid w:val="00FF4662"/>
    <w:rsid w:val="00FF46E3"/>
    <w:rsid w:val="00FF4725"/>
    <w:rsid w:val="00FF48C2"/>
    <w:rsid w:val="00FF493F"/>
    <w:rsid w:val="00FF4A1F"/>
    <w:rsid w:val="00FF4CA4"/>
    <w:rsid w:val="00FF4D2E"/>
    <w:rsid w:val="00FF4DCC"/>
    <w:rsid w:val="00FF4E35"/>
    <w:rsid w:val="00FF4F28"/>
    <w:rsid w:val="00FF4F4C"/>
    <w:rsid w:val="00FF50A3"/>
    <w:rsid w:val="00FF52B9"/>
    <w:rsid w:val="00FF5490"/>
    <w:rsid w:val="00FF549A"/>
    <w:rsid w:val="00FF558A"/>
    <w:rsid w:val="00FF5622"/>
    <w:rsid w:val="00FF56A5"/>
    <w:rsid w:val="00FF574E"/>
    <w:rsid w:val="00FF5750"/>
    <w:rsid w:val="00FF58E5"/>
    <w:rsid w:val="00FF594A"/>
    <w:rsid w:val="00FF5A23"/>
    <w:rsid w:val="00FF5A29"/>
    <w:rsid w:val="00FF5A96"/>
    <w:rsid w:val="00FF5D24"/>
    <w:rsid w:val="00FF5DA2"/>
    <w:rsid w:val="00FF5ECF"/>
    <w:rsid w:val="00FF608A"/>
    <w:rsid w:val="00FF64DB"/>
    <w:rsid w:val="00FF654E"/>
    <w:rsid w:val="00FF6581"/>
    <w:rsid w:val="00FF6646"/>
    <w:rsid w:val="00FF6732"/>
    <w:rsid w:val="00FF67C3"/>
    <w:rsid w:val="00FF693C"/>
    <w:rsid w:val="00FF69DB"/>
    <w:rsid w:val="00FF6B04"/>
    <w:rsid w:val="00FF6B60"/>
    <w:rsid w:val="00FF6B6B"/>
    <w:rsid w:val="00FF6B8A"/>
    <w:rsid w:val="00FF6C41"/>
    <w:rsid w:val="00FF6D2B"/>
    <w:rsid w:val="00FF7073"/>
    <w:rsid w:val="00FF728F"/>
    <w:rsid w:val="00FF740C"/>
    <w:rsid w:val="00FF7602"/>
    <w:rsid w:val="00FF765C"/>
    <w:rsid w:val="00FF77F8"/>
    <w:rsid w:val="00FF792E"/>
    <w:rsid w:val="00FF7B20"/>
    <w:rsid w:val="00FF7C2D"/>
    <w:rsid w:val="00FF7E6A"/>
    <w:rsid w:val="00FF7E9C"/>
    <w:rsid w:val="00FF7F18"/>
    <w:rsid w:val="00FF7F49"/>
    <w:rsid w:val="00FF7F51"/>
    <w:rsid w:val="00FF7F5C"/>
    <w:rsid w:val="013E54D4"/>
    <w:rsid w:val="01563232"/>
    <w:rsid w:val="017B5688"/>
    <w:rsid w:val="019E7998"/>
    <w:rsid w:val="01AA1F26"/>
    <w:rsid w:val="01CD31E2"/>
    <w:rsid w:val="01D77F38"/>
    <w:rsid w:val="01FB0AAD"/>
    <w:rsid w:val="020016E9"/>
    <w:rsid w:val="02097330"/>
    <w:rsid w:val="02126D67"/>
    <w:rsid w:val="023D118E"/>
    <w:rsid w:val="02401F81"/>
    <w:rsid w:val="028C11CF"/>
    <w:rsid w:val="029B1EC1"/>
    <w:rsid w:val="02A14ACF"/>
    <w:rsid w:val="02CB37F6"/>
    <w:rsid w:val="02D973CD"/>
    <w:rsid w:val="03125EEB"/>
    <w:rsid w:val="031E4A25"/>
    <w:rsid w:val="034037CE"/>
    <w:rsid w:val="0348558D"/>
    <w:rsid w:val="03543432"/>
    <w:rsid w:val="03762579"/>
    <w:rsid w:val="0376568E"/>
    <w:rsid w:val="03851311"/>
    <w:rsid w:val="03975088"/>
    <w:rsid w:val="03AA259B"/>
    <w:rsid w:val="03B9496E"/>
    <w:rsid w:val="03C80C47"/>
    <w:rsid w:val="03F265AD"/>
    <w:rsid w:val="040D1302"/>
    <w:rsid w:val="041A1188"/>
    <w:rsid w:val="04242F34"/>
    <w:rsid w:val="04407636"/>
    <w:rsid w:val="04452BEC"/>
    <w:rsid w:val="045D357A"/>
    <w:rsid w:val="04781336"/>
    <w:rsid w:val="04A171B4"/>
    <w:rsid w:val="04AF3F43"/>
    <w:rsid w:val="04B3738B"/>
    <w:rsid w:val="04BA0275"/>
    <w:rsid w:val="04CF03E2"/>
    <w:rsid w:val="0524337E"/>
    <w:rsid w:val="053150CE"/>
    <w:rsid w:val="053839A4"/>
    <w:rsid w:val="05C15B12"/>
    <w:rsid w:val="05D90132"/>
    <w:rsid w:val="06225021"/>
    <w:rsid w:val="062E7FB6"/>
    <w:rsid w:val="06415130"/>
    <w:rsid w:val="064D6645"/>
    <w:rsid w:val="065D2A4E"/>
    <w:rsid w:val="065E1096"/>
    <w:rsid w:val="068B6525"/>
    <w:rsid w:val="06FC3F13"/>
    <w:rsid w:val="0783581E"/>
    <w:rsid w:val="078A1EE3"/>
    <w:rsid w:val="07A51D5A"/>
    <w:rsid w:val="07A62092"/>
    <w:rsid w:val="081A1C9C"/>
    <w:rsid w:val="08342587"/>
    <w:rsid w:val="0858227F"/>
    <w:rsid w:val="08902AED"/>
    <w:rsid w:val="089E4DDD"/>
    <w:rsid w:val="08F50EB9"/>
    <w:rsid w:val="08F873E1"/>
    <w:rsid w:val="09114381"/>
    <w:rsid w:val="092E0FC2"/>
    <w:rsid w:val="095A2027"/>
    <w:rsid w:val="09645688"/>
    <w:rsid w:val="09740DC1"/>
    <w:rsid w:val="098141EF"/>
    <w:rsid w:val="09816E6D"/>
    <w:rsid w:val="098A46BA"/>
    <w:rsid w:val="099C4867"/>
    <w:rsid w:val="09E26B39"/>
    <w:rsid w:val="09E447B0"/>
    <w:rsid w:val="0A08265F"/>
    <w:rsid w:val="0A3A0E5C"/>
    <w:rsid w:val="0A7A6DE5"/>
    <w:rsid w:val="0A8B585C"/>
    <w:rsid w:val="0B1B47D4"/>
    <w:rsid w:val="0B1D155E"/>
    <w:rsid w:val="0B2F6D70"/>
    <w:rsid w:val="0B54223F"/>
    <w:rsid w:val="0B603655"/>
    <w:rsid w:val="0B614975"/>
    <w:rsid w:val="0B994831"/>
    <w:rsid w:val="0BA9079C"/>
    <w:rsid w:val="0BAF453D"/>
    <w:rsid w:val="0BF51690"/>
    <w:rsid w:val="0C6E5501"/>
    <w:rsid w:val="0C930CC7"/>
    <w:rsid w:val="0CB4543F"/>
    <w:rsid w:val="0CBB102F"/>
    <w:rsid w:val="0CD36748"/>
    <w:rsid w:val="0CE010FC"/>
    <w:rsid w:val="0CE83C34"/>
    <w:rsid w:val="0D1136AD"/>
    <w:rsid w:val="0D4B2F87"/>
    <w:rsid w:val="0DA54FE4"/>
    <w:rsid w:val="0E1E7A5F"/>
    <w:rsid w:val="0E384EC6"/>
    <w:rsid w:val="0E39181F"/>
    <w:rsid w:val="0E554B03"/>
    <w:rsid w:val="0E6E3DD3"/>
    <w:rsid w:val="0E7917D2"/>
    <w:rsid w:val="0E927358"/>
    <w:rsid w:val="0EA325B7"/>
    <w:rsid w:val="0EAF18A0"/>
    <w:rsid w:val="0EBB406E"/>
    <w:rsid w:val="0EBD6C08"/>
    <w:rsid w:val="0ECC1810"/>
    <w:rsid w:val="0EDE6120"/>
    <w:rsid w:val="0EE31171"/>
    <w:rsid w:val="0EEC1973"/>
    <w:rsid w:val="0EFC60C0"/>
    <w:rsid w:val="0F01685B"/>
    <w:rsid w:val="0F0339CB"/>
    <w:rsid w:val="0FD7617F"/>
    <w:rsid w:val="0FDA1587"/>
    <w:rsid w:val="0FE5558D"/>
    <w:rsid w:val="105449C1"/>
    <w:rsid w:val="10901FF4"/>
    <w:rsid w:val="10BB505A"/>
    <w:rsid w:val="10DF3C80"/>
    <w:rsid w:val="10FE680A"/>
    <w:rsid w:val="10FF3B78"/>
    <w:rsid w:val="11417A0C"/>
    <w:rsid w:val="118769DD"/>
    <w:rsid w:val="1191099D"/>
    <w:rsid w:val="11A11BDD"/>
    <w:rsid w:val="11BD6ACB"/>
    <w:rsid w:val="11D6155D"/>
    <w:rsid w:val="11DA29EC"/>
    <w:rsid w:val="11EA509F"/>
    <w:rsid w:val="1214584C"/>
    <w:rsid w:val="125E4936"/>
    <w:rsid w:val="126A7703"/>
    <w:rsid w:val="12A367ED"/>
    <w:rsid w:val="12C624DB"/>
    <w:rsid w:val="12C83CCA"/>
    <w:rsid w:val="12E66908"/>
    <w:rsid w:val="12F0393B"/>
    <w:rsid w:val="13470546"/>
    <w:rsid w:val="13651CF4"/>
    <w:rsid w:val="138441A9"/>
    <w:rsid w:val="13855EF2"/>
    <w:rsid w:val="139444DB"/>
    <w:rsid w:val="139B70EA"/>
    <w:rsid w:val="13B42F3E"/>
    <w:rsid w:val="13B51DB8"/>
    <w:rsid w:val="13C81ADB"/>
    <w:rsid w:val="13CB4443"/>
    <w:rsid w:val="13DD2FC4"/>
    <w:rsid w:val="13E309C8"/>
    <w:rsid w:val="13E453AB"/>
    <w:rsid w:val="13F162E2"/>
    <w:rsid w:val="14083D46"/>
    <w:rsid w:val="14192E34"/>
    <w:rsid w:val="144D4C05"/>
    <w:rsid w:val="146B65E5"/>
    <w:rsid w:val="14A86DFB"/>
    <w:rsid w:val="14B20F69"/>
    <w:rsid w:val="14CD1F71"/>
    <w:rsid w:val="14E95121"/>
    <w:rsid w:val="14F50641"/>
    <w:rsid w:val="14FE38DC"/>
    <w:rsid w:val="15151F75"/>
    <w:rsid w:val="15316DF1"/>
    <w:rsid w:val="15740D1D"/>
    <w:rsid w:val="15893842"/>
    <w:rsid w:val="15927EE1"/>
    <w:rsid w:val="15A426A0"/>
    <w:rsid w:val="15AB0AD0"/>
    <w:rsid w:val="15D83FA7"/>
    <w:rsid w:val="162517EA"/>
    <w:rsid w:val="16314110"/>
    <w:rsid w:val="166C5148"/>
    <w:rsid w:val="167F1FCD"/>
    <w:rsid w:val="169D2B05"/>
    <w:rsid w:val="16A65AD7"/>
    <w:rsid w:val="17050116"/>
    <w:rsid w:val="178163EC"/>
    <w:rsid w:val="17AE022B"/>
    <w:rsid w:val="17B2589D"/>
    <w:rsid w:val="17BC4A7A"/>
    <w:rsid w:val="17DD70FA"/>
    <w:rsid w:val="1806443B"/>
    <w:rsid w:val="188F1C5F"/>
    <w:rsid w:val="189E4123"/>
    <w:rsid w:val="18AC08D6"/>
    <w:rsid w:val="18C12398"/>
    <w:rsid w:val="18E664AA"/>
    <w:rsid w:val="191F46F3"/>
    <w:rsid w:val="19436E47"/>
    <w:rsid w:val="195271C6"/>
    <w:rsid w:val="19797C54"/>
    <w:rsid w:val="197B2473"/>
    <w:rsid w:val="19856C4C"/>
    <w:rsid w:val="198A36C6"/>
    <w:rsid w:val="1994533D"/>
    <w:rsid w:val="19A46E95"/>
    <w:rsid w:val="19F36D8E"/>
    <w:rsid w:val="1A2939B0"/>
    <w:rsid w:val="1A303FD6"/>
    <w:rsid w:val="1A4B559B"/>
    <w:rsid w:val="1A5368FB"/>
    <w:rsid w:val="1ABA3727"/>
    <w:rsid w:val="1ABC5AA3"/>
    <w:rsid w:val="1B0E390C"/>
    <w:rsid w:val="1B1F2802"/>
    <w:rsid w:val="1B222279"/>
    <w:rsid w:val="1B606CD8"/>
    <w:rsid w:val="1B7E4CAC"/>
    <w:rsid w:val="1BAB292C"/>
    <w:rsid w:val="1BAD1748"/>
    <w:rsid w:val="1BCF0577"/>
    <w:rsid w:val="1BEA11B1"/>
    <w:rsid w:val="1C0F4B41"/>
    <w:rsid w:val="1C102907"/>
    <w:rsid w:val="1C1744FB"/>
    <w:rsid w:val="1C256819"/>
    <w:rsid w:val="1C9F35F8"/>
    <w:rsid w:val="1CC526E9"/>
    <w:rsid w:val="1CD8799B"/>
    <w:rsid w:val="1D0F5489"/>
    <w:rsid w:val="1D2F7822"/>
    <w:rsid w:val="1D6116AA"/>
    <w:rsid w:val="1D6764B5"/>
    <w:rsid w:val="1D6C728A"/>
    <w:rsid w:val="1D771A0A"/>
    <w:rsid w:val="1D7E5979"/>
    <w:rsid w:val="1D831790"/>
    <w:rsid w:val="1D8C5864"/>
    <w:rsid w:val="1DA0126C"/>
    <w:rsid w:val="1DA47E88"/>
    <w:rsid w:val="1DEB307C"/>
    <w:rsid w:val="1E146926"/>
    <w:rsid w:val="1E1B192D"/>
    <w:rsid w:val="1E374307"/>
    <w:rsid w:val="1E5D3FDF"/>
    <w:rsid w:val="1EA335BF"/>
    <w:rsid w:val="1EBE7236"/>
    <w:rsid w:val="1EDB34BC"/>
    <w:rsid w:val="1F0D71B7"/>
    <w:rsid w:val="1F3A6B2C"/>
    <w:rsid w:val="1F8E013A"/>
    <w:rsid w:val="1F8E1CA6"/>
    <w:rsid w:val="1FBD7BDF"/>
    <w:rsid w:val="1FC60440"/>
    <w:rsid w:val="1FD83058"/>
    <w:rsid w:val="200308CB"/>
    <w:rsid w:val="200B3F68"/>
    <w:rsid w:val="20455CB8"/>
    <w:rsid w:val="205B7BE6"/>
    <w:rsid w:val="20672573"/>
    <w:rsid w:val="209E23A2"/>
    <w:rsid w:val="20AD4C26"/>
    <w:rsid w:val="20E9653C"/>
    <w:rsid w:val="20F24B7C"/>
    <w:rsid w:val="212C6412"/>
    <w:rsid w:val="215018EE"/>
    <w:rsid w:val="215E4EE8"/>
    <w:rsid w:val="216A1E3D"/>
    <w:rsid w:val="216F0227"/>
    <w:rsid w:val="2188552B"/>
    <w:rsid w:val="21891169"/>
    <w:rsid w:val="21A66CCA"/>
    <w:rsid w:val="21D90BC7"/>
    <w:rsid w:val="21E05016"/>
    <w:rsid w:val="22045A6C"/>
    <w:rsid w:val="22556882"/>
    <w:rsid w:val="229A0FED"/>
    <w:rsid w:val="229B7D58"/>
    <w:rsid w:val="22A163A5"/>
    <w:rsid w:val="22CA25A9"/>
    <w:rsid w:val="22CF5267"/>
    <w:rsid w:val="22E419FA"/>
    <w:rsid w:val="230C5E8F"/>
    <w:rsid w:val="232665D2"/>
    <w:rsid w:val="237D7C33"/>
    <w:rsid w:val="237E7EAF"/>
    <w:rsid w:val="23BB399E"/>
    <w:rsid w:val="23DE1C53"/>
    <w:rsid w:val="23FC6E2E"/>
    <w:rsid w:val="240834CF"/>
    <w:rsid w:val="24387BED"/>
    <w:rsid w:val="24562973"/>
    <w:rsid w:val="245B5FA1"/>
    <w:rsid w:val="24751999"/>
    <w:rsid w:val="24E82F47"/>
    <w:rsid w:val="25227EA9"/>
    <w:rsid w:val="256625F0"/>
    <w:rsid w:val="25B44FEF"/>
    <w:rsid w:val="25C21A11"/>
    <w:rsid w:val="25FC44A0"/>
    <w:rsid w:val="265F7343"/>
    <w:rsid w:val="26670687"/>
    <w:rsid w:val="26742BB4"/>
    <w:rsid w:val="2678430C"/>
    <w:rsid w:val="269475C9"/>
    <w:rsid w:val="26D03519"/>
    <w:rsid w:val="26D9283D"/>
    <w:rsid w:val="27146ED7"/>
    <w:rsid w:val="2729330D"/>
    <w:rsid w:val="272C6959"/>
    <w:rsid w:val="273326D1"/>
    <w:rsid w:val="275910E7"/>
    <w:rsid w:val="27B65870"/>
    <w:rsid w:val="280244DF"/>
    <w:rsid w:val="283C0BBD"/>
    <w:rsid w:val="286B280C"/>
    <w:rsid w:val="288179B4"/>
    <w:rsid w:val="28896A35"/>
    <w:rsid w:val="28AD2FE7"/>
    <w:rsid w:val="28AE30E2"/>
    <w:rsid w:val="28CE3DD6"/>
    <w:rsid w:val="28E23E7C"/>
    <w:rsid w:val="29040C57"/>
    <w:rsid w:val="290E4695"/>
    <w:rsid w:val="291C5553"/>
    <w:rsid w:val="29BE185D"/>
    <w:rsid w:val="29C54003"/>
    <w:rsid w:val="29E95EE9"/>
    <w:rsid w:val="29FA724C"/>
    <w:rsid w:val="2A1A6C86"/>
    <w:rsid w:val="2A220E52"/>
    <w:rsid w:val="2A3B328F"/>
    <w:rsid w:val="2AA40836"/>
    <w:rsid w:val="2AF105CB"/>
    <w:rsid w:val="2B121097"/>
    <w:rsid w:val="2B286F40"/>
    <w:rsid w:val="2B553578"/>
    <w:rsid w:val="2BCC6C1A"/>
    <w:rsid w:val="2BD45CCA"/>
    <w:rsid w:val="2BDD0D19"/>
    <w:rsid w:val="2BDE3F9A"/>
    <w:rsid w:val="2BE74640"/>
    <w:rsid w:val="2C0F3ACE"/>
    <w:rsid w:val="2C2D0539"/>
    <w:rsid w:val="2C646FEB"/>
    <w:rsid w:val="2C7035C2"/>
    <w:rsid w:val="2C767A36"/>
    <w:rsid w:val="2CA6260E"/>
    <w:rsid w:val="2CE54C20"/>
    <w:rsid w:val="2D393BC5"/>
    <w:rsid w:val="2D566B5D"/>
    <w:rsid w:val="2D90103C"/>
    <w:rsid w:val="2DAE6A51"/>
    <w:rsid w:val="2DBC06A0"/>
    <w:rsid w:val="2E18403F"/>
    <w:rsid w:val="2E1C116F"/>
    <w:rsid w:val="2E2A0564"/>
    <w:rsid w:val="2E2A75B6"/>
    <w:rsid w:val="2E3B7262"/>
    <w:rsid w:val="2E5E42D1"/>
    <w:rsid w:val="2E624A24"/>
    <w:rsid w:val="2E66602D"/>
    <w:rsid w:val="2E7C6418"/>
    <w:rsid w:val="2EA87B75"/>
    <w:rsid w:val="2EB3170E"/>
    <w:rsid w:val="2F3E74D8"/>
    <w:rsid w:val="2FAC3B81"/>
    <w:rsid w:val="2FCD138B"/>
    <w:rsid w:val="2FD4741F"/>
    <w:rsid w:val="2FDD3FE3"/>
    <w:rsid w:val="3006307E"/>
    <w:rsid w:val="30194959"/>
    <w:rsid w:val="302503E9"/>
    <w:rsid w:val="303C0D09"/>
    <w:rsid w:val="307765A1"/>
    <w:rsid w:val="309317F7"/>
    <w:rsid w:val="30AC3499"/>
    <w:rsid w:val="30C97071"/>
    <w:rsid w:val="313B19E9"/>
    <w:rsid w:val="31B634A0"/>
    <w:rsid w:val="31BC040F"/>
    <w:rsid w:val="31D74DEE"/>
    <w:rsid w:val="31DA3682"/>
    <w:rsid w:val="31F90E8D"/>
    <w:rsid w:val="32256F37"/>
    <w:rsid w:val="323A7B9B"/>
    <w:rsid w:val="3246740A"/>
    <w:rsid w:val="329F2921"/>
    <w:rsid w:val="32B44C25"/>
    <w:rsid w:val="32C2087D"/>
    <w:rsid w:val="32CD314E"/>
    <w:rsid w:val="33435798"/>
    <w:rsid w:val="334B1961"/>
    <w:rsid w:val="33522D9E"/>
    <w:rsid w:val="33564EB3"/>
    <w:rsid w:val="335A33A4"/>
    <w:rsid w:val="335C6818"/>
    <w:rsid w:val="33711495"/>
    <w:rsid w:val="33864719"/>
    <w:rsid w:val="338A39EC"/>
    <w:rsid w:val="338F3DFB"/>
    <w:rsid w:val="33A61841"/>
    <w:rsid w:val="33BB68E9"/>
    <w:rsid w:val="340C6700"/>
    <w:rsid w:val="344572AC"/>
    <w:rsid w:val="344701DF"/>
    <w:rsid w:val="3487405C"/>
    <w:rsid w:val="34C82E52"/>
    <w:rsid w:val="35521B28"/>
    <w:rsid w:val="3560403F"/>
    <w:rsid w:val="35A30C2A"/>
    <w:rsid w:val="35B277B6"/>
    <w:rsid w:val="35E020A1"/>
    <w:rsid w:val="35E36D7D"/>
    <w:rsid w:val="36050AA1"/>
    <w:rsid w:val="364138D4"/>
    <w:rsid w:val="3694793A"/>
    <w:rsid w:val="36C53B18"/>
    <w:rsid w:val="36FA6E13"/>
    <w:rsid w:val="370877BC"/>
    <w:rsid w:val="370A6D30"/>
    <w:rsid w:val="370E6520"/>
    <w:rsid w:val="37574419"/>
    <w:rsid w:val="375E58D2"/>
    <w:rsid w:val="37615847"/>
    <w:rsid w:val="377C457A"/>
    <w:rsid w:val="377F7AF6"/>
    <w:rsid w:val="378A00A4"/>
    <w:rsid w:val="37971E5D"/>
    <w:rsid w:val="37A764F7"/>
    <w:rsid w:val="38477D4A"/>
    <w:rsid w:val="38514471"/>
    <w:rsid w:val="38EE5B31"/>
    <w:rsid w:val="38F96042"/>
    <w:rsid w:val="390F6D6E"/>
    <w:rsid w:val="395774FF"/>
    <w:rsid w:val="39803209"/>
    <w:rsid w:val="39B225AE"/>
    <w:rsid w:val="39BE6340"/>
    <w:rsid w:val="39C16767"/>
    <w:rsid w:val="39C719A6"/>
    <w:rsid w:val="3A2766CE"/>
    <w:rsid w:val="3A323632"/>
    <w:rsid w:val="3A46794D"/>
    <w:rsid w:val="3A4D3D03"/>
    <w:rsid w:val="3A51271A"/>
    <w:rsid w:val="3A551FA1"/>
    <w:rsid w:val="3AA37FA4"/>
    <w:rsid w:val="3AA71430"/>
    <w:rsid w:val="3AC020C3"/>
    <w:rsid w:val="3AF16147"/>
    <w:rsid w:val="3B2C4D22"/>
    <w:rsid w:val="3B3835BC"/>
    <w:rsid w:val="3B4723E0"/>
    <w:rsid w:val="3B542F3D"/>
    <w:rsid w:val="3BA72620"/>
    <w:rsid w:val="3BB64B9F"/>
    <w:rsid w:val="3C1311A3"/>
    <w:rsid w:val="3C154010"/>
    <w:rsid w:val="3C902227"/>
    <w:rsid w:val="3C9F0591"/>
    <w:rsid w:val="3CA20800"/>
    <w:rsid w:val="3CF80435"/>
    <w:rsid w:val="3D52360C"/>
    <w:rsid w:val="3D5D1D52"/>
    <w:rsid w:val="3D7A0490"/>
    <w:rsid w:val="3DA54ABA"/>
    <w:rsid w:val="3E036928"/>
    <w:rsid w:val="3E1C197F"/>
    <w:rsid w:val="3E6500D2"/>
    <w:rsid w:val="3E6E1943"/>
    <w:rsid w:val="3E795FB4"/>
    <w:rsid w:val="3E7D6451"/>
    <w:rsid w:val="3EA0654D"/>
    <w:rsid w:val="3EA33D12"/>
    <w:rsid w:val="3EAB1E75"/>
    <w:rsid w:val="3EDF70F1"/>
    <w:rsid w:val="3EF57865"/>
    <w:rsid w:val="3F5517D5"/>
    <w:rsid w:val="3F871481"/>
    <w:rsid w:val="3FAB1675"/>
    <w:rsid w:val="3FAD2175"/>
    <w:rsid w:val="3FC45529"/>
    <w:rsid w:val="3FD61700"/>
    <w:rsid w:val="400E127C"/>
    <w:rsid w:val="40126FEE"/>
    <w:rsid w:val="404F2A45"/>
    <w:rsid w:val="40521807"/>
    <w:rsid w:val="405B5DFE"/>
    <w:rsid w:val="405F6D32"/>
    <w:rsid w:val="407E7C1B"/>
    <w:rsid w:val="4098049F"/>
    <w:rsid w:val="40A61F81"/>
    <w:rsid w:val="40BE0F76"/>
    <w:rsid w:val="40CD6614"/>
    <w:rsid w:val="40D32738"/>
    <w:rsid w:val="40E439A9"/>
    <w:rsid w:val="415A7D8C"/>
    <w:rsid w:val="41890AFF"/>
    <w:rsid w:val="41CB1B4A"/>
    <w:rsid w:val="41CF350D"/>
    <w:rsid w:val="41E11134"/>
    <w:rsid w:val="41F20BF8"/>
    <w:rsid w:val="42016D8A"/>
    <w:rsid w:val="42405C65"/>
    <w:rsid w:val="425864F8"/>
    <w:rsid w:val="42656714"/>
    <w:rsid w:val="42EC59EF"/>
    <w:rsid w:val="42FD0DF8"/>
    <w:rsid w:val="42FD3D37"/>
    <w:rsid w:val="43217BB1"/>
    <w:rsid w:val="43267804"/>
    <w:rsid w:val="43392E69"/>
    <w:rsid w:val="43573C3E"/>
    <w:rsid w:val="43846CBD"/>
    <w:rsid w:val="438E2402"/>
    <w:rsid w:val="43976F59"/>
    <w:rsid w:val="43A20A82"/>
    <w:rsid w:val="43A34DE0"/>
    <w:rsid w:val="43B51079"/>
    <w:rsid w:val="43C536A8"/>
    <w:rsid w:val="43E31E90"/>
    <w:rsid w:val="44737D0F"/>
    <w:rsid w:val="44D22619"/>
    <w:rsid w:val="44DD1721"/>
    <w:rsid w:val="454113EE"/>
    <w:rsid w:val="456530A1"/>
    <w:rsid w:val="456A55EB"/>
    <w:rsid w:val="45C344D5"/>
    <w:rsid w:val="45DB4EA0"/>
    <w:rsid w:val="45DC3F64"/>
    <w:rsid w:val="46413ED8"/>
    <w:rsid w:val="466F1F67"/>
    <w:rsid w:val="46893E4C"/>
    <w:rsid w:val="468A56FD"/>
    <w:rsid w:val="46A6226C"/>
    <w:rsid w:val="46F030A7"/>
    <w:rsid w:val="46FE64E5"/>
    <w:rsid w:val="47004FB1"/>
    <w:rsid w:val="4734269A"/>
    <w:rsid w:val="475844D4"/>
    <w:rsid w:val="47F95D33"/>
    <w:rsid w:val="48055CF8"/>
    <w:rsid w:val="483628DB"/>
    <w:rsid w:val="483E71A4"/>
    <w:rsid w:val="48452D2E"/>
    <w:rsid w:val="485F3031"/>
    <w:rsid w:val="48621FAB"/>
    <w:rsid w:val="488F6CB1"/>
    <w:rsid w:val="48AD6F05"/>
    <w:rsid w:val="48E409EA"/>
    <w:rsid w:val="48F36E7F"/>
    <w:rsid w:val="49110BDC"/>
    <w:rsid w:val="49250ACA"/>
    <w:rsid w:val="49261002"/>
    <w:rsid w:val="493636DD"/>
    <w:rsid w:val="494920C7"/>
    <w:rsid w:val="49B40DFB"/>
    <w:rsid w:val="49D12B39"/>
    <w:rsid w:val="49E50870"/>
    <w:rsid w:val="49EA1CDC"/>
    <w:rsid w:val="49ED5A17"/>
    <w:rsid w:val="49EF45A5"/>
    <w:rsid w:val="4A004CC6"/>
    <w:rsid w:val="4A4E21CF"/>
    <w:rsid w:val="4A795CA4"/>
    <w:rsid w:val="4A993782"/>
    <w:rsid w:val="4AA42C9F"/>
    <w:rsid w:val="4AAA3D7D"/>
    <w:rsid w:val="4AAE4E32"/>
    <w:rsid w:val="4B0460B2"/>
    <w:rsid w:val="4B1A7278"/>
    <w:rsid w:val="4B2772B4"/>
    <w:rsid w:val="4B367902"/>
    <w:rsid w:val="4B5C1BF4"/>
    <w:rsid w:val="4BA11CF5"/>
    <w:rsid w:val="4BB072A9"/>
    <w:rsid w:val="4BEB7D05"/>
    <w:rsid w:val="4BF60FC6"/>
    <w:rsid w:val="4BFF4CCF"/>
    <w:rsid w:val="4C353FC6"/>
    <w:rsid w:val="4C6D477D"/>
    <w:rsid w:val="4CFF46FD"/>
    <w:rsid w:val="4D0D2783"/>
    <w:rsid w:val="4D24718C"/>
    <w:rsid w:val="4D353CE6"/>
    <w:rsid w:val="4D48312A"/>
    <w:rsid w:val="4D65334A"/>
    <w:rsid w:val="4D6F13C6"/>
    <w:rsid w:val="4DAB75A6"/>
    <w:rsid w:val="4DAC072D"/>
    <w:rsid w:val="4E1D4CFB"/>
    <w:rsid w:val="4E2112CF"/>
    <w:rsid w:val="4E4F75C4"/>
    <w:rsid w:val="4E52380B"/>
    <w:rsid w:val="4E53462B"/>
    <w:rsid w:val="4E66315D"/>
    <w:rsid w:val="4EAE2C02"/>
    <w:rsid w:val="4ECF03F7"/>
    <w:rsid w:val="4ED10C83"/>
    <w:rsid w:val="4F1A481A"/>
    <w:rsid w:val="4F244FD9"/>
    <w:rsid w:val="4F351017"/>
    <w:rsid w:val="4F63279F"/>
    <w:rsid w:val="4F6526D2"/>
    <w:rsid w:val="4F672375"/>
    <w:rsid w:val="4F743B58"/>
    <w:rsid w:val="4F806F93"/>
    <w:rsid w:val="4F8B396C"/>
    <w:rsid w:val="4FAC534C"/>
    <w:rsid w:val="4FC149B3"/>
    <w:rsid w:val="4FE314C5"/>
    <w:rsid w:val="4FF87D9E"/>
    <w:rsid w:val="500522B4"/>
    <w:rsid w:val="501867C4"/>
    <w:rsid w:val="50275024"/>
    <w:rsid w:val="503F5856"/>
    <w:rsid w:val="504C3B76"/>
    <w:rsid w:val="505B6F0B"/>
    <w:rsid w:val="507E7976"/>
    <w:rsid w:val="5083747D"/>
    <w:rsid w:val="50AE1A69"/>
    <w:rsid w:val="50ED3F31"/>
    <w:rsid w:val="51372701"/>
    <w:rsid w:val="51526853"/>
    <w:rsid w:val="51751778"/>
    <w:rsid w:val="517B6EF9"/>
    <w:rsid w:val="520D032F"/>
    <w:rsid w:val="52430903"/>
    <w:rsid w:val="52692CC2"/>
    <w:rsid w:val="528159C6"/>
    <w:rsid w:val="528543BC"/>
    <w:rsid w:val="528D5323"/>
    <w:rsid w:val="52B66899"/>
    <w:rsid w:val="53404A03"/>
    <w:rsid w:val="536F402F"/>
    <w:rsid w:val="536F7A4A"/>
    <w:rsid w:val="53815E2C"/>
    <w:rsid w:val="53C722D2"/>
    <w:rsid w:val="54516F0E"/>
    <w:rsid w:val="54831A4F"/>
    <w:rsid w:val="54924045"/>
    <w:rsid w:val="54B7466F"/>
    <w:rsid w:val="54BD437D"/>
    <w:rsid w:val="54E6652D"/>
    <w:rsid w:val="551C2A10"/>
    <w:rsid w:val="552E1082"/>
    <w:rsid w:val="559502A7"/>
    <w:rsid w:val="55B21A04"/>
    <w:rsid w:val="55E13A55"/>
    <w:rsid w:val="561B4830"/>
    <w:rsid w:val="561D2C4A"/>
    <w:rsid w:val="56260146"/>
    <w:rsid w:val="562D488C"/>
    <w:rsid w:val="563F7DFD"/>
    <w:rsid w:val="565D381D"/>
    <w:rsid w:val="566302BC"/>
    <w:rsid w:val="56832363"/>
    <w:rsid w:val="56C5444C"/>
    <w:rsid w:val="573F23CB"/>
    <w:rsid w:val="577A41A0"/>
    <w:rsid w:val="577D5EA0"/>
    <w:rsid w:val="578F2F08"/>
    <w:rsid w:val="5816513A"/>
    <w:rsid w:val="58207536"/>
    <w:rsid w:val="5855585C"/>
    <w:rsid w:val="585810F9"/>
    <w:rsid w:val="587A7C9E"/>
    <w:rsid w:val="58816FA0"/>
    <w:rsid w:val="589831E1"/>
    <w:rsid w:val="5899696B"/>
    <w:rsid w:val="58A10FC7"/>
    <w:rsid w:val="58AD1003"/>
    <w:rsid w:val="58AE3749"/>
    <w:rsid w:val="58BA7CAA"/>
    <w:rsid w:val="58DB49D7"/>
    <w:rsid w:val="58E412B0"/>
    <w:rsid w:val="59094990"/>
    <w:rsid w:val="59112A48"/>
    <w:rsid w:val="591250FF"/>
    <w:rsid w:val="59436988"/>
    <w:rsid w:val="596C5A53"/>
    <w:rsid w:val="597F497F"/>
    <w:rsid w:val="598C75FF"/>
    <w:rsid w:val="59C04BD0"/>
    <w:rsid w:val="5A0802B0"/>
    <w:rsid w:val="5A225577"/>
    <w:rsid w:val="5A265C8F"/>
    <w:rsid w:val="5A823ABA"/>
    <w:rsid w:val="5A9912A0"/>
    <w:rsid w:val="5AA24498"/>
    <w:rsid w:val="5AE825BC"/>
    <w:rsid w:val="5AFF7B03"/>
    <w:rsid w:val="5B526263"/>
    <w:rsid w:val="5B6B4F9B"/>
    <w:rsid w:val="5B762CC5"/>
    <w:rsid w:val="5B883A7C"/>
    <w:rsid w:val="5BB03E75"/>
    <w:rsid w:val="5BB66216"/>
    <w:rsid w:val="5BBF1ADC"/>
    <w:rsid w:val="5BBF1B55"/>
    <w:rsid w:val="5BDC5036"/>
    <w:rsid w:val="5BFD518E"/>
    <w:rsid w:val="5C4F0418"/>
    <w:rsid w:val="5C622F25"/>
    <w:rsid w:val="5C6C0A46"/>
    <w:rsid w:val="5C720CD3"/>
    <w:rsid w:val="5C86208C"/>
    <w:rsid w:val="5C980B8D"/>
    <w:rsid w:val="5CF40E1D"/>
    <w:rsid w:val="5D431525"/>
    <w:rsid w:val="5D6D1FC0"/>
    <w:rsid w:val="5D797051"/>
    <w:rsid w:val="5D7A1423"/>
    <w:rsid w:val="5D7F19F1"/>
    <w:rsid w:val="5D977566"/>
    <w:rsid w:val="5DE008A9"/>
    <w:rsid w:val="5DE82573"/>
    <w:rsid w:val="5E1127BE"/>
    <w:rsid w:val="5E4111E0"/>
    <w:rsid w:val="5E6A0D7D"/>
    <w:rsid w:val="5EA34FDF"/>
    <w:rsid w:val="5F00622C"/>
    <w:rsid w:val="5F1D5168"/>
    <w:rsid w:val="5F3F50E9"/>
    <w:rsid w:val="5F642C7B"/>
    <w:rsid w:val="5FA37A1E"/>
    <w:rsid w:val="6040201B"/>
    <w:rsid w:val="6044789F"/>
    <w:rsid w:val="604C5059"/>
    <w:rsid w:val="605912AA"/>
    <w:rsid w:val="606006A8"/>
    <w:rsid w:val="609334A5"/>
    <w:rsid w:val="60D945CD"/>
    <w:rsid w:val="60FB27B9"/>
    <w:rsid w:val="61192D9D"/>
    <w:rsid w:val="616D7AD5"/>
    <w:rsid w:val="61860438"/>
    <w:rsid w:val="61913119"/>
    <w:rsid w:val="61A87E2A"/>
    <w:rsid w:val="61DC7C42"/>
    <w:rsid w:val="62422661"/>
    <w:rsid w:val="62586279"/>
    <w:rsid w:val="628D0A61"/>
    <w:rsid w:val="628D3536"/>
    <w:rsid w:val="629107D3"/>
    <w:rsid w:val="62976818"/>
    <w:rsid w:val="629820D8"/>
    <w:rsid w:val="62985A52"/>
    <w:rsid w:val="62C124D6"/>
    <w:rsid w:val="63154AA1"/>
    <w:rsid w:val="63207637"/>
    <w:rsid w:val="634A0234"/>
    <w:rsid w:val="63505603"/>
    <w:rsid w:val="63585347"/>
    <w:rsid w:val="636B2EEA"/>
    <w:rsid w:val="63754F9F"/>
    <w:rsid w:val="637B7D99"/>
    <w:rsid w:val="63E12300"/>
    <w:rsid w:val="63E15DFA"/>
    <w:rsid w:val="64173F72"/>
    <w:rsid w:val="64186388"/>
    <w:rsid w:val="64401BC5"/>
    <w:rsid w:val="64630F05"/>
    <w:rsid w:val="64634522"/>
    <w:rsid w:val="647008E4"/>
    <w:rsid w:val="648743C6"/>
    <w:rsid w:val="64A07A63"/>
    <w:rsid w:val="64D51DE8"/>
    <w:rsid w:val="64E56C59"/>
    <w:rsid w:val="64E738E4"/>
    <w:rsid w:val="64EB734B"/>
    <w:rsid w:val="6534615B"/>
    <w:rsid w:val="656660D1"/>
    <w:rsid w:val="65674F99"/>
    <w:rsid w:val="656B0779"/>
    <w:rsid w:val="658E0714"/>
    <w:rsid w:val="658E2574"/>
    <w:rsid w:val="659F7D1B"/>
    <w:rsid w:val="65A52444"/>
    <w:rsid w:val="65A55AA1"/>
    <w:rsid w:val="65BE217E"/>
    <w:rsid w:val="65C7476F"/>
    <w:rsid w:val="65CD0D2C"/>
    <w:rsid w:val="65E13DE3"/>
    <w:rsid w:val="660645E4"/>
    <w:rsid w:val="661010A9"/>
    <w:rsid w:val="661E00E3"/>
    <w:rsid w:val="66302593"/>
    <w:rsid w:val="6644571A"/>
    <w:rsid w:val="6646562C"/>
    <w:rsid w:val="66671A46"/>
    <w:rsid w:val="6677686C"/>
    <w:rsid w:val="66BF5D82"/>
    <w:rsid w:val="66EC1C60"/>
    <w:rsid w:val="670921E5"/>
    <w:rsid w:val="671204D3"/>
    <w:rsid w:val="678956F0"/>
    <w:rsid w:val="678D79CF"/>
    <w:rsid w:val="67A40A90"/>
    <w:rsid w:val="67E02CBA"/>
    <w:rsid w:val="67E51BF1"/>
    <w:rsid w:val="67F20404"/>
    <w:rsid w:val="686A009B"/>
    <w:rsid w:val="686A4474"/>
    <w:rsid w:val="68F06F64"/>
    <w:rsid w:val="69211770"/>
    <w:rsid w:val="69367165"/>
    <w:rsid w:val="695A6109"/>
    <w:rsid w:val="698161F9"/>
    <w:rsid w:val="69BA5F9A"/>
    <w:rsid w:val="69C146AB"/>
    <w:rsid w:val="69F23041"/>
    <w:rsid w:val="69F86BB7"/>
    <w:rsid w:val="6A4A3D1A"/>
    <w:rsid w:val="6A924857"/>
    <w:rsid w:val="6AB27A33"/>
    <w:rsid w:val="6AB31A37"/>
    <w:rsid w:val="6ABB3C02"/>
    <w:rsid w:val="6B165898"/>
    <w:rsid w:val="6B1C2D2E"/>
    <w:rsid w:val="6B335F99"/>
    <w:rsid w:val="6B4B0D7A"/>
    <w:rsid w:val="6B987E10"/>
    <w:rsid w:val="6BA76007"/>
    <w:rsid w:val="6BB107A8"/>
    <w:rsid w:val="6BB6178D"/>
    <w:rsid w:val="6C1C0A46"/>
    <w:rsid w:val="6C227C74"/>
    <w:rsid w:val="6C634B1D"/>
    <w:rsid w:val="6C867440"/>
    <w:rsid w:val="6CC70D6C"/>
    <w:rsid w:val="6CE526F4"/>
    <w:rsid w:val="6D2B17A5"/>
    <w:rsid w:val="6DB8403A"/>
    <w:rsid w:val="6DC00F2D"/>
    <w:rsid w:val="6DCC1C13"/>
    <w:rsid w:val="6DF517A6"/>
    <w:rsid w:val="6E364F94"/>
    <w:rsid w:val="6E424E9F"/>
    <w:rsid w:val="6EA45B31"/>
    <w:rsid w:val="6EC01157"/>
    <w:rsid w:val="6ECB6936"/>
    <w:rsid w:val="6ECF6973"/>
    <w:rsid w:val="6EE86508"/>
    <w:rsid w:val="6EEB1579"/>
    <w:rsid w:val="6EFD73B0"/>
    <w:rsid w:val="6F2179F2"/>
    <w:rsid w:val="6F5A5DDA"/>
    <w:rsid w:val="6F7550C1"/>
    <w:rsid w:val="6F7E3EBC"/>
    <w:rsid w:val="6F8B154D"/>
    <w:rsid w:val="6FA2095E"/>
    <w:rsid w:val="6FC15A1A"/>
    <w:rsid w:val="6FF35377"/>
    <w:rsid w:val="70047F5C"/>
    <w:rsid w:val="7021064B"/>
    <w:rsid w:val="70233F28"/>
    <w:rsid w:val="702A2BC9"/>
    <w:rsid w:val="702C77EA"/>
    <w:rsid w:val="70471CA6"/>
    <w:rsid w:val="7060279C"/>
    <w:rsid w:val="706A5414"/>
    <w:rsid w:val="70854900"/>
    <w:rsid w:val="70995A8B"/>
    <w:rsid w:val="70A3545C"/>
    <w:rsid w:val="70BD5B34"/>
    <w:rsid w:val="70CE694A"/>
    <w:rsid w:val="71124768"/>
    <w:rsid w:val="711B4CC2"/>
    <w:rsid w:val="712A6962"/>
    <w:rsid w:val="714D09F8"/>
    <w:rsid w:val="717464B1"/>
    <w:rsid w:val="71CB12E6"/>
    <w:rsid w:val="71EC3749"/>
    <w:rsid w:val="724C1BD9"/>
    <w:rsid w:val="7250212B"/>
    <w:rsid w:val="726B4CF9"/>
    <w:rsid w:val="727C5A6E"/>
    <w:rsid w:val="729E45D0"/>
    <w:rsid w:val="729E47E5"/>
    <w:rsid w:val="72BD45C4"/>
    <w:rsid w:val="72DA3B34"/>
    <w:rsid w:val="72E5529A"/>
    <w:rsid w:val="72FA1A35"/>
    <w:rsid w:val="7314566A"/>
    <w:rsid w:val="73595630"/>
    <w:rsid w:val="736E672C"/>
    <w:rsid w:val="7392518C"/>
    <w:rsid w:val="73A53A36"/>
    <w:rsid w:val="73AD5CF9"/>
    <w:rsid w:val="73F32A5E"/>
    <w:rsid w:val="73F66FCE"/>
    <w:rsid w:val="74095801"/>
    <w:rsid w:val="741F684C"/>
    <w:rsid w:val="742A5C5F"/>
    <w:rsid w:val="743E693E"/>
    <w:rsid w:val="74536137"/>
    <w:rsid w:val="746C4B8E"/>
    <w:rsid w:val="746E4EE5"/>
    <w:rsid w:val="74724C63"/>
    <w:rsid w:val="74803314"/>
    <w:rsid w:val="749D7206"/>
    <w:rsid w:val="74D37FBD"/>
    <w:rsid w:val="751B755A"/>
    <w:rsid w:val="757D0F84"/>
    <w:rsid w:val="75C556E6"/>
    <w:rsid w:val="75DD46CA"/>
    <w:rsid w:val="75E87D2E"/>
    <w:rsid w:val="76094F92"/>
    <w:rsid w:val="760B39B7"/>
    <w:rsid w:val="76784C41"/>
    <w:rsid w:val="767C394F"/>
    <w:rsid w:val="76A37BE4"/>
    <w:rsid w:val="76C97ECF"/>
    <w:rsid w:val="77461FD0"/>
    <w:rsid w:val="774E3E16"/>
    <w:rsid w:val="77864FD7"/>
    <w:rsid w:val="779B38B9"/>
    <w:rsid w:val="77A74C80"/>
    <w:rsid w:val="77C14257"/>
    <w:rsid w:val="77C63B0A"/>
    <w:rsid w:val="77F27B7C"/>
    <w:rsid w:val="77F325C4"/>
    <w:rsid w:val="78017BCA"/>
    <w:rsid w:val="78317FD0"/>
    <w:rsid w:val="785A4732"/>
    <w:rsid w:val="786951E9"/>
    <w:rsid w:val="788404CB"/>
    <w:rsid w:val="78CC2EDA"/>
    <w:rsid w:val="78E96D1F"/>
    <w:rsid w:val="78ED434E"/>
    <w:rsid w:val="792227BA"/>
    <w:rsid w:val="792F658E"/>
    <w:rsid w:val="793E5314"/>
    <w:rsid w:val="79426E3A"/>
    <w:rsid w:val="798D7C33"/>
    <w:rsid w:val="79A447D9"/>
    <w:rsid w:val="79A76158"/>
    <w:rsid w:val="79B825A6"/>
    <w:rsid w:val="79BE6D36"/>
    <w:rsid w:val="79ED1E90"/>
    <w:rsid w:val="7A315B3F"/>
    <w:rsid w:val="7A57076C"/>
    <w:rsid w:val="7A64502A"/>
    <w:rsid w:val="7A982578"/>
    <w:rsid w:val="7AAB0116"/>
    <w:rsid w:val="7AC61A91"/>
    <w:rsid w:val="7ACE4D1E"/>
    <w:rsid w:val="7AE00762"/>
    <w:rsid w:val="7AE61A24"/>
    <w:rsid w:val="7AFF100B"/>
    <w:rsid w:val="7B1465F1"/>
    <w:rsid w:val="7B34068D"/>
    <w:rsid w:val="7B41037C"/>
    <w:rsid w:val="7B43762C"/>
    <w:rsid w:val="7B486035"/>
    <w:rsid w:val="7B616731"/>
    <w:rsid w:val="7B6A0FC4"/>
    <w:rsid w:val="7B7B1DCF"/>
    <w:rsid w:val="7B963516"/>
    <w:rsid w:val="7BBB4B24"/>
    <w:rsid w:val="7C1F175E"/>
    <w:rsid w:val="7C2D1A2D"/>
    <w:rsid w:val="7C9D24AD"/>
    <w:rsid w:val="7CC70BD3"/>
    <w:rsid w:val="7CE326E3"/>
    <w:rsid w:val="7D2267DE"/>
    <w:rsid w:val="7DB52379"/>
    <w:rsid w:val="7DBB71CA"/>
    <w:rsid w:val="7DCC6DA0"/>
    <w:rsid w:val="7E0C7AC0"/>
    <w:rsid w:val="7E134122"/>
    <w:rsid w:val="7E147F08"/>
    <w:rsid w:val="7E1C41A7"/>
    <w:rsid w:val="7E2C1153"/>
    <w:rsid w:val="7E312938"/>
    <w:rsid w:val="7E4669AA"/>
    <w:rsid w:val="7E947E7A"/>
    <w:rsid w:val="7E9769F6"/>
    <w:rsid w:val="7E9D4D60"/>
    <w:rsid w:val="7EBC3DB6"/>
    <w:rsid w:val="7ED04C75"/>
    <w:rsid w:val="7ED95359"/>
    <w:rsid w:val="7F002872"/>
    <w:rsid w:val="7F08472B"/>
    <w:rsid w:val="7F1F1795"/>
    <w:rsid w:val="7F3E7FD2"/>
    <w:rsid w:val="7F610527"/>
    <w:rsid w:val="7F8500A3"/>
    <w:rsid w:val="7FCB7C32"/>
    <w:rsid w:val="7FF217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99" w:semiHidden="0" w:name="table of authorities"/>
    <w:lsdException w:qFormat="1" w:unhideWhenUsed="0" w:uiPriority="0" w:name="macro"/>
    <w:lsdException w:qFormat="1" w:unhideWhenUsed="0" w:uiPriority="99" w:semiHidden="0" w:name="toa heading"/>
    <w:lsdException w:qFormat="1" w:unhideWhenUsed="0" w:uiPriority="99"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99"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iPriority="0" w:semiHidden="0" w:name="Body Text Indent 2"/>
    <w:lsdException w:qFormat="1"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iPriority="99" w:semiHidden="0" w:name="Normal (Web)"/>
    <w:lsdException w:qFormat="1" w:unhideWhenUsed="0" w:uiPriority="0" w:semiHidden="0" w:name="HTML Acronym"/>
    <w:lsdException w:qFormat="1" w:unhideWhenUsed="0" w:uiPriority="0" w:semiHidden="0"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nhideWhenUsed="0" w:uiPriority="0" w:semiHidden="0" w:name="HTML Typewriter"/>
    <w:lsdException w:qFormat="1" w:uiPriority="0" w:semiHidden="0" w:name="HTML Variable"/>
    <w:lsdException w:qFormat="1" w:uiPriority="99" w:name="Normal Table"/>
    <w:lsdException w:qFormat="1" w:unhideWhenUsed="0" w:uiPriority="99" w:semiHidden="0" w:name="annotation subject"/>
    <w:lsdException w:qFormat="1" w:unhideWhenUsed="0" w:uiPriority="0" w:name="Table Simple 1"/>
    <w:lsdException w:uiPriority="99" w:name="Table Simple 2"/>
    <w:lsdException w:qFormat="1" w:unhideWhenUsed="0" w:uiPriority="0" w:semiHidden="0"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qFormat="1" w:unhideWhenUsed="0" w:uiPriority="0" w:semiHidden="0"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qFormat="1" w:unhideWhenUsed="0" w:uiPriority="0" w:semiHidden="0"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iPriority="0" w:semiHidden="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kern w:val="2"/>
      <w:sz w:val="21"/>
      <w:szCs w:val="22"/>
      <w:lang w:val="en-US" w:eastAsia="zh-CN" w:bidi="ar-SA"/>
    </w:rPr>
  </w:style>
  <w:style w:type="paragraph" w:styleId="5">
    <w:name w:val="heading 1"/>
    <w:basedOn w:val="1"/>
    <w:next w:val="1"/>
    <w:link w:val="120"/>
    <w:qFormat/>
    <w:uiPriority w:val="9"/>
    <w:pPr>
      <w:keepNext/>
      <w:keepLines/>
      <w:numPr>
        <w:ilvl w:val="0"/>
        <w:numId w:val="1"/>
      </w:numPr>
      <w:spacing w:before="160" w:after="160" w:line="360" w:lineRule="auto"/>
      <w:jc w:val="both"/>
      <w:outlineLvl w:val="0"/>
    </w:pPr>
    <w:rPr>
      <w:rFonts w:ascii="Times New Roman" w:hAnsi="Times New Roman" w:eastAsia="黑体"/>
      <w:bCs/>
      <w:kern w:val="44"/>
      <w:sz w:val="32"/>
      <w:szCs w:val="44"/>
    </w:rPr>
  </w:style>
  <w:style w:type="paragraph" w:styleId="6">
    <w:name w:val="heading 2"/>
    <w:basedOn w:val="1"/>
    <w:next w:val="1"/>
    <w:link w:val="119"/>
    <w:qFormat/>
    <w:uiPriority w:val="0"/>
    <w:pPr>
      <w:keepNext/>
      <w:keepLines/>
      <w:numPr>
        <w:ilvl w:val="1"/>
        <w:numId w:val="1"/>
      </w:numPr>
      <w:tabs>
        <w:tab w:val="left" w:pos="525"/>
      </w:tabs>
      <w:spacing w:before="102" w:beforeLines="30" w:after="68" w:afterLines="20" w:line="360" w:lineRule="auto"/>
      <w:jc w:val="both"/>
      <w:outlineLvl w:val="1"/>
    </w:pPr>
    <w:rPr>
      <w:rFonts w:ascii="宋体" w:hAnsi="宋体"/>
      <w:b/>
      <w:bCs/>
      <w:sz w:val="30"/>
      <w:szCs w:val="32"/>
    </w:rPr>
  </w:style>
  <w:style w:type="paragraph" w:styleId="7">
    <w:name w:val="heading 3"/>
    <w:basedOn w:val="1"/>
    <w:next w:val="1"/>
    <w:link w:val="121"/>
    <w:qFormat/>
    <w:uiPriority w:val="9"/>
    <w:pPr>
      <w:keepNext/>
      <w:keepLines/>
      <w:numPr>
        <w:ilvl w:val="2"/>
        <w:numId w:val="1"/>
      </w:numPr>
      <w:tabs>
        <w:tab w:val="left" w:pos="630"/>
      </w:tabs>
      <w:spacing w:before="102" w:beforeLines="30" w:after="68" w:afterLines="20" w:line="360" w:lineRule="auto"/>
      <w:jc w:val="both"/>
      <w:outlineLvl w:val="2"/>
    </w:pPr>
    <w:rPr>
      <w:rFonts w:ascii="Times New Roman" w:hAnsi="Times New Roman"/>
      <w:b/>
      <w:bCs/>
      <w:sz w:val="28"/>
      <w:szCs w:val="28"/>
    </w:rPr>
  </w:style>
  <w:style w:type="paragraph" w:styleId="3">
    <w:name w:val="heading 4"/>
    <w:basedOn w:val="1"/>
    <w:next w:val="1"/>
    <w:link w:val="122"/>
    <w:qFormat/>
    <w:uiPriority w:val="9"/>
    <w:pPr>
      <w:keepNext/>
      <w:keepLines/>
      <w:numPr>
        <w:ilvl w:val="3"/>
        <w:numId w:val="1"/>
      </w:numPr>
      <w:spacing w:line="360" w:lineRule="auto"/>
      <w:jc w:val="both"/>
      <w:outlineLvl w:val="3"/>
    </w:pPr>
    <w:rPr>
      <w:rFonts w:ascii="Times New Roman" w:hAnsi="Times New Roman"/>
      <w:b/>
      <w:bCs/>
      <w:sz w:val="24"/>
      <w:szCs w:val="28"/>
    </w:rPr>
  </w:style>
  <w:style w:type="paragraph" w:styleId="8">
    <w:name w:val="heading 5"/>
    <w:basedOn w:val="1"/>
    <w:next w:val="1"/>
    <w:link w:val="123"/>
    <w:qFormat/>
    <w:uiPriority w:val="9"/>
    <w:pPr>
      <w:keepNext/>
      <w:keepLines/>
      <w:numPr>
        <w:ilvl w:val="4"/>
        <w:numId w:val="1"/>
      </w:numPr>
      <w:spacing w:line="360" w:lineRule="auto"/>
      <w:outlineLvl w:val="4"/>
    </w:pPr>
    <w:rPr>
      <w:rFonts w:ascii="Times New Roman" w:hAnsi="Times New Roman"/>
      <w:b/>
      <w:bCs/>
      <w:sz w:val="28"/>
      <w:szCs w:val="28"/>
    </w:rPr>
  </w:style>
  <w:style w:type="paragraph" w:styleId="9">
    <w:name w:val="heading 6"/>
    <w:basedOn w:val="1"/>
    <w:next w:val="1"/>
    <w:link w:val="124"/>
    <w:qFormat/>
    <w:uiPriority w:val="0"/>
    <w:pPr>
      <w:keepNext/>
      <w:keepLines/>
      <w:numPr>
        <w:ilvl w:val="5"/>
        <w:numId w:val="1"/>
      </w:numPr>
      <w:spacing w:line="360" w:lineRule="auto"/>
      <w:outlineLvl w:val="5"/>
    </w:pPr>
    <w:rPr>
      <w:rFonts w:ascii="Times New Roman" w:hAnsi="Times New Roman"/>
      <w:b/>
      <w:bCs/>
      <w:sz w:val="30"/>
      <w:szCs w:val="24"/>
    </w:rPr>
  </w:style>
  <w:style w:type="paragraph" w:styleId="10">
    <w:name w:val="heading 7"/>
    <w:basedOn w:val="1"/>
    <w:next w:val="1"/>
    <w:link w:val="125"/>
    <w:qFormat/>
    <w:uiPriority w:val="0"/>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126"/>
    <w:qFormat/>
    <w:uiPriority w:val="0"/>
    <w:pPr>
      <w:keepNext/>
      <w:keepLines/>
      <w:numPr>
        <w:ilvl w:val="7"/>
        <w:numId w:val="1"/>
      </w:numPr>
      <w:adjustRightInd w:val="0"/>
      <w:snapToGrid w:val="0"/>
      <w:spacing w:before="240" w:after="64" w:line="320" w:lineRule="auto"/>
      <w:outlineLvl w:val="7"/>
    </w:pPr>
    <w:rPr>
      <w:rFonts w:ascii="Arial" w:hAnsi="Arial" w:eastAsia="黑体"/>
      <w:sz w:val="24"/>
      <w:szCs w:val="24"/>
    </w:rPr>
  </w:style>
  <w:style w:type="paragraph" w:styleId="12">
    <w:name w:val="heading 9"/>
    <w:basedOn w:val="1"/>
    <w:next w:val="1"/>
    <w:link w:val="127"/>
    <w:qFormat/>
    <w:uiPriority w:val="0"/>
    <w:pPr>
      <w:keepNext/>
      <w:keepLines/>
      <w:numPr>
        <w:ilvl w:val="8"/>
        <w:numId w:val="1"/>
      </w:numPr>
      <w:adjustRightInd w:val="0"/>
      <w:snapToGrid w:val="0"/>
      <w:spacing w:before="240" w:after="64" w:line="320" w:lineRule="auto"/>
      <w:outlineLvl w:val="8"/>
    </w:pPr>
    <w:rPr>
      <w:rFonts w:ascii="Arial" w:hAnsi="Arial" w:eastAsia="黑体"/>
      <w:sz w:val="24"/>
      <w:szCs w:val="21"/>
    </w:rPr>
  </w:style>
  <w:style w:type="character" w:default="1" w:styleId="101">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131"/>
    <w:unhideWhenUsed/>
    <w:qFormat/>
    <w:uiPriority w:val="0"/>
    <w:pPr>
      <w:ind w:firstLine="420" w:firstLineChars="200"/>
    </w:pPr>
  </w:style>
  <w:style w:type="paragraph" w:styleId="4">
    <w:name w:val="macro"/>
    <w:link w:val="128"/>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3">
    <w:name w:val="List 3"/>
    <w:basedOn w:val="1"/>
    <w:qFormat/>
    <w:uiPriority w:val="0"/>
    <w:pPr>
      <w:spacing w:line="360" w:lineRule="auto"/>
      <w:ind w:left="100" w:leftChars="400" w:hanging="200" w:hangingChars="200"/>
    </w:pPr>
    <w:rPr>
      <w:rFonts w:ascii="宋体" w:hAnsi="宋体" w:cs="宋体"/>
      <w:kern w:val="0"/>
      <w:sz w:val="24"/>
    </w:rPr>
  </w:style>
  <w:style w:type="paragraph" w:styleId="14">
    <w:name w:val="toc 7"/>
    <w:basedOn w:val="1"/>
    <w:next w:val="1"/>
    <w:qFormat/>
    <w:uiPriority w:val="39"/>
    <w:pPr>
      <w:ind w:left="1260"/>
    </w:pPr>
    <w:rPr>
      <w:sz w:val="18"/>
      <w:szCs w:val="18"/>
    </w:rPr>
  </w:style>
  <w:style w:type="paragraph" w:styleId="15">
    <w:name w:val="List Number 2"/>
    <w:basedOn w:val="1"/>
    <w:qFormat/>
    <w:uiPriority w:val="0"/>
    <w:pPr>
      <w:widowControl w:val="0"/>
      <w:tabs>
        <w:tab w:val="left" w:pos="780"/>
      </w:tabs>
      <w:ind w:left="780" w:leftChars="200" w:hanging="420"/>
      <w:jc w:val="both"/>
    </w:pPr>
    <w:rPr>
      <w:rFonts w:ascii="Times New Roman" w:hAnsi="Times New Roman"/>
      <w:b/>
      <w:sz w:val="28"/>
      <w:szCs w:val="24"/>
    </w:rPr>
  </w:style>
  <w:style w:type="paragraph" w:styleId="16">
    <w:name w:val="table of authorities"/>
    <w:basedOn w:val="1"/>
    <w:next w:val="1"/>
    <w:qFormat/>
    <w:uiPriority w:val="99"/>
    <w:pPr>
      <w:ind w:left="420" w:leftChars="200"/>
    </w:pPr>
    <w:rPr>
      <w:rFonts w:ascii="Times New Roman" w:hAnsi="Times New Roman"/>
      <w:szCs w:val="24"/>
    </w:rPr>
  </w:style>
  <w:style w:type="paragraph" w:styleId="17">
    <w:name w:val="Note Heading"/>
    <w:basedOn w:val="1"/>
    <w:next w:val="1"/>
    <w:link w:val="129"/>
    <w:qFormat/>
    <w:uiPriority w:val="0"/>
    <w:pPr>
      <w:jc w:val="center"/>
    </w:pPr>
    <w:rPr>
      <w:rFonts w:ascii="Times New Roman" w:hAnsi="Times New Roman"/>
      <w:szCs w:val="20"/>
    </w:rPr>
  </w:style>
  <w:style w:type="paragraph" w:styleId="18">
    <w:name w:val="List Bullet 4"/>
    <w:basedOn w:val="1"/>
    <w:qFormat/>
    <w:uiPriority w:val="0"/>
    <w:pPr>
      <w:tabs>
        <w:tab w:val="left" w:pos="1620"/>
      </w:tabs>
      <w:spacing w:line="360" w:lineRule="auto"/>
    </w:pPr>
    <w:rPr>
      <w:rFonts w:ascii="宋体" w:hAnsi="宋体" w:cs="宋体"/>
      <w:kern w:val="0"/>
      <w:sz w:val="24"/>
      <w:szCs w:val="24"/>
    </w:rPr>
  </w:style>
  <w:style w:type="paragraph" w:styleId="19">
    <w:name w:val="index 8"/>
    <w:basedOn w:val="1"/>
    <w:next w:val="1"/>
    <w:semiHidden/>
    <w:qFormat/>
    <w:uiPriority w:val="0"/>
    <w:pPr>
      <w:adjustRightInd w:val="0"/>
      <w:snapToGrid w:val="0"/>
      <w:spacing w:line="360" w:lineRule="auto"/>
      <w:ind w:left="2940" w:firstLine="480"/>
    </w:pPr>
    <w:rPr>
      <w:rFonts w:ascii="Times New Roman" w:hAnsi="Times New Roman"/>
      <w:sz w:val="24"/>
      <w:szCs w:val="20"/>
    </w:rPr>
  </w:style>
  <w:style w:type="paragraph" w:styleId="20">
    <w:name w:val="E-mail Signature"/>
    <w:basedOn w:val="1"/>
    <w:link w:val="130"/>
    <w:qFormat/>
    <w:uiPriority w:val="0"/>
    <w:pPr>
      <w:spacing w:line="520" w:lineRule="exact"/>
      <w:ind w:firstLine="200" w:firstLineChars="200"/>
    </w:pPr>
    <w:rPr>
      <w:rFonts w:ascii="仿宋_GB2312" w:hAnsi="Times New Roman" w:eastAsia="仿宋_GB2312"/>
      <w:sz w:val="28"/>
      <w:szCs w:val="28"/>
    </w:rPr>
  </w:style>
  <w:style w:type="paragraph" w:styleId="21">
    <w:name w:val="List Number"/>
    <w:basedOn w:val="1"/>
    <w:qFormat/>
    <w:uiPriority w:val="0"/>
    <w:pPr>
      <w:tabs>
        <w:tab w:val="left" w:pos="360"/>
      </w:tabs>
      <w:spacing w:line="520" w:lineRule="exact"/>
      <w:ind w:left="360" w:hanging="360" w:hangingChars="200"/>
    </w:pPr>
    <w:rPr>
      <w:rFonts w:ascii="仿宋_GB2312" w:hAnsi="Times New Roman" w:eastAsia="仿宋_GB2312"/>
      <w:sz w:val="28"/>
      <w:szCs w:val="28"/>
    </w:rPr>
  </w:style>
  <w:style w:type="paragraph" w:styleId="22">
    <w:name w:val="caption"/>
    <w:basedOn w:val="1"/>
    <w:next w:val="1"/>
    <w:link w:val="132"/>
    <w:qFormat/>
    <w:uiPriority w:val="0"/>
    <w:pPr>
      <w:widowControl w:val="0"/>
      <w:spacing w:line="360" w:lineRule="auto"/>
      <w:ind w:firstLine="482" w:firstLineChars="200"/>
      <w:jc w:val="both"/>
    </w:pPr>
    <w:rPr>
      <w:rFonts w:ascii="Times New Roman" w:hAnsi="Times New Roman"/>
      <w:b/>
      <w:bCs/>
      <w:sz w:val="24"/>
      <w:szCs w:val="24"/>
    </w:rPr>
  </w:style>
  <w:style w:type="paragraph" w:styleId="23">
    <w:name w:val="index 5"/>
    <w:basedOn w:val="1"/>
    <w:next w:val="1"/>
    <w:semiHidden/>
    <w:qFormat/>
    <w:uiPriority w:val="0"/>
    <w:pPr>
      <w:adjustRightInd w:val="0"/>
      <w:snapToGrid w:val="0"/>
      <w:spacing w:line="360" w:lineRule="auto"/>
      <w:ind w:left="1680" w:firstLine="480"/>
    </w:pPr>
    <w:rPr>
      <w:rFonts w:ascii="Times New Roman" w:hAnsi="Times New Roman"/>
      <w:sz w:val="24"/>
      <w:szCs w:val="20"/>
    </w:rPr>
  </w:style>
  <w:style w:type="paragraph" w:styleId="24">
    <w:name w:val="List Bullet"/>
    <w:basedOn w:val="1"/>
    <w:qFormat/>
    <w:uiPriority w:val="0"/>
    <w:pPr>
      <w:tabs>
        <w:tab w:val="left" w:pos="432"/>
      </w:tabs>
      <w:spacing w:line="490" w:lineRule="exact"/>
      <w:ind w:left="432" w:hanging="432"/>
    </w:pPr>
    <w:rPr>
      <w:rFonts w:ascii="Times New Roman" w:hAnsi="Times New Roman" w:eastAsia="仿宋_GB2312"/>
      <w:sz w:val="28"/>
      <w:szCs w:val="20"/>
    </w:rPr>
  </w:style>
  <w:style w:type="paragraph" w:styleId="25">
    <w:name w:val="envelope address"/>
    <w:basedOn w:val="1"/>
    <w:qFormat/>
    <w:uiPriority w:val="0"/>
    <w:pPr>
      <w:snapToGrid w:val="0"/>
      <w:spacing w:line="360" w:lineRule="auto"/>
      <w:ind w:left="100" w:leftChars="1400" w:firstLine="1500" w:firstLineChars="625"/>
    </w:pPr>
    <w:rPr>
      <w:rFonts w:ascii="Arial" w:hAnsi="Arial" w:cs="Arial"/>
      <w:kern w:val="0"/>
      <w:sz w:val="24"/>
      <w:szCs w:val="24"/>
    </w:rPr>
  </w:style>
  <w:style w:type="paragraph" w:styleId="26">
    <w:name w:val="Document Map"/>
    <w:basedOn w:val="1"/>
    <w:link w:val="133"/>
    <w:unhideWhenUsed/>
    <w:qFormat/>
    <w:uiPriority w:val="99"/>
    <w:rPr>
      <w:rFonts w:ascii="宋体"/>
      <w:sz w:val="18"/>
      <w:szCs w:val="18"/>
    </w:rPr>
  </w:style>
  <w:style w:type="paragraph" w:styleId="27">
    <w:name w:val="toa heading"/>
    <w:basedOn w:val="1"/>
    <w:next w:val="1"/>
    <w:qFormat/>
    <w:uiPriority w:val="99"/>
    <w:pPr>
      <w:spacing w:before="120"/>
    </w:pPr>
    <w:rPr>
      <w:rFonts w:ascii="Arial" w:hAnsi="Arial" w:cs="Arial"/>
      <w:sz w:val="24"/>
      <w:szCs w:val="24"/>
    </w:rPr>
  </w:style>
  <w:style w:type="paragraph" w:styleId="28">
    <w:name w:val="annotation text"/>
    <w:basedOn w:val="1"/>
    <w:link w:val="134"/>
    <w:qFormat/>
    <w:uiPriority w:val="99"/>
    <w:rPr>
      <w:rFonts w:ascii="Times New Roman" w:hAnsi="Times New Roman"/>
      <w:szCs w:val="24"/>
    </w:rPr>
  </w:style>
  <w:style w:type="paragraph" w:styleId="29">
    <w:name w:val="index 6"/>
    <w:basedOn w:val="1"/>
    <w:next w:val="1"/>
    <w:semiHidden/>
    <w:qFormat/>
    <w:uiPriority w:val="0"/>
    <w:pPr>
      <w:adjustRightInd w:val="0"/>
      <w:snapToGrid w:val="0"/>
      <w:spacing w:line="360" w:lineRule="auto"/>
      <w:ind w:left="2100" w:firstLine="480"/>
    </w:pPr>
    <w:rPr>
      <w:rFonts w:ascii="Times New Roman" w:hAnsi="Times New Roman"/>
      <w:sz w:val="24"/>
      <w:szCs w:val="20"/>
    </w:rPr>
  </w:style>
  <w:style w:type="paragraph" w:styleId="30">
    <w:name w:val="Salutation"/>
    <w:basedOn w:val="1"/>
    <w:next w:val="1"/>
    <w:link w:val="135"/>
    <w:qFormat/>
    <w:uiPriority w:val="0"/>
    <w:pPr>
      <w:adjustRightInd w:val="0"/>
      <w:spacing w:line="360" w:lineRule="atLeast"/>
      <w:textAlignment w:val="baseline"/>
    </w:pPr>
    <w:rPr>
      <w:rFonts w:ascii="Times New Roman" w:hAnsi="楷体" w:eastAsia="楷体"/>
      <w:kern w:val="0"/>
      <w:sz w:val="28"/>
      <w:szCs w:val="20"/>
    </w:rPr>
  </w:style>
  <w:style w:type="paragraph" w:styleId="31">
    <w:name w:val="Body Text 3"/>
    <w:basedOn w:val="1"/>
    <w:link w:val="136"/>
    <w:qFormat/>
    <w:uiPriority w:val="0"/>
    <w:pPr>
      <w:adjustRightInd w:val="0"/>
      <w:jc w:val="center"/>
      <w:textAlignment w:val="baseline"/>
    </w:pPr>
    <w:rPr>
      <w:rFonts w:ascii="Times New Roman" w:hAnsi="Times New Roman"/>
      <w:kern w:val="0"/>
      <w:sz w:val="18"/>
      <w:szCs w:val="20"/>
    </w:rPr>
  </w:style>
  <w:style w:type="paragraph" w:styleId="32">
    <w:name w:val="Closing"/>
    <w:basedOn w:val="1"/>
    <w:link w:val="137"/>
    <w:qFormat/>
    <w:uiPriority w:val="0"/>
    <w:pPr>
      <w:adjustRightInd w:val="0"/>
      <w:spacing w:line="360" w:lineRule="atLeast"/>
      <w:ind w:left="100" w:leftChars="2100"/>
      <w:textAlignment w:val="baseline"/>
    </w:pPr>
    <w:rPr>
      <w:rFonts w:ascii="Times New Roman" w:hAnsi="楷体" w:eastAsia="楷体"/>
      <w:kern w:val="0"/>
      <w:sz w:val="28"/>
      <w:szCs w:val="20"/>
    </w:rPr>
  </w:style>
  <w:style w:type="paragraph" w:styleId="33">
    <w:name w:val="List Bullet 3"/>
    <w:basedOn w:val="1"/>
    <w:qFormat/>
    <w:uiPriority w:val="0"/>
    <w:pPr>
      <w:widowControl w:val="0"/>
      <w:tabs>
        <w:tab w:val="left" w:pos="1200"/>
      </w:tabs>
      <w:ind w:left="1200" w:leftChars="400" w:hanging="420"/>
      <w:jc w:val="both"/>
    </w:pPr>
    <w:rPr>
      <w:rFonts w:ascii="Times New Roman" w:hAnsi="Times New Roman"/>
      <w:b/>
      <w:sz w:val="28"/>
      <w:szCs w:val="24"/>
    </w:rPr>
  </w:style>
  <w:style w:type="paragraph" w:styleId="34">
    <w:name w:val="Body Text"/>
    <w:basedOn w:val="1"/>
    <w:next w:val="1"/>
    <w:link w:val="138"/>
    <w:unhideWhenUsed/>
    <w:qFormat/>
    <w:uiPriority w:val="99"/>
    <w:pPr>
      <w:spacing w:after="120"/>
    </w:pPr>
  </w:style>
  <w:style w:type="paragraph" w:styleId="35">
    <w:name w:val="Body Text Indent"/>
    <w:basedOn w:val="1"/>
    <w:next w:val="36"/>
    <w:link w:val="142"/>
    <w:qFormat/>
    <w:uiPriority w:val="0"/>
    <w:pPr>
      <w:adjustRightInd w:val="0"/>
      <w:spacing w:after="120" w:line="360" w:lineRule="atLeast"/>
      <w:ind w:left="420" w:leftChars="200"/>
      <w:textAlignment w:val="baseline"/>
    </w:pPr>
    <w:rPr>
      <w:rFonts w:ascii="Times New Roman" w:hAnsi="Times New Roman"/>
      <w:kern w:val="0"/>
      <w:sz w:val="24"/>
      <w:szCs w:val="20"/>
    </w:rPr>
  </w:style>
  <w:style w:type="paragraph" w:styleId="36">
    <w:name w:val="header"/>
    <w:basedOn w:val="1"/>
    <w:next w:val="37"/>
    <w:link w:val="141"/>
    <w:qFormat/>
    <w:uiPriority w:val="99"/>
    <w:pPr>
      <w:pBdr>
        <w:bottom w:val="single" w:color="auto" w:sz="6" w:space="1"/>
      </w:pBdr>
      <w:tabs>
        <w:tab w:val="center" w:pos="4153"/>
        <w:tab w:val="right" w:pos="8306"/>
      </w:tabs>
      <w:adjustRightInd w:val="0"/>
      <w:spacing w:line="240" w:lineRule="atLeast"/>
      <w:ind w:firstLine="510"/>
      <w:jc w:val="center"/>
      <w:textAlignment w:val="baseline"/>
    </w:pPr>
    <w:rPr>
      <w:rFonts w:ascii="Times New Roman" w:hAnsi="Times New Roman"/>
      <w:kern w:val="0"/>
      <w:sz w:val="20"/>
      <w:szCs w:val="20"/>
    </w:rPr>
  </w:style>
  <w:style w:type="paragraph" w:customStyle="1" w:styleId="37">
    <w:name w:val="样式5"/>
    <w:basedOn w:val="38"/>
    <w:link w:val="140"/>
    <w:qFormat/>
    <w:uiPriority w:val="0"/>
    <w:pPr>
      <w:tabs>
        <w:tab w:val="left" w:pos="1247"/>
        <w:tab w:val="left" w:pos="1534"/>
      </w:tabs>
      <w:snapToGrid w:val="0"/>
      <w:spacing w:line="440" w:lineRule="atLeast"/>
      <w:ind w:left="284" w:firstLine="170"/>
    </w:pPr>
    <w:rPr>
      <w:rFonts w:ascii="宋体"/>
      <w:snapToGrid w:val="0"/>
    </w:rPr>
  </w:style>
  <w:style w:type="paragraph" w:customStyle="1" w:styleId="38">
    <w:name w:val="样式3"/>
    <w:basedOn w:val="39"/>
    <w:next w:val="34"/>
    <w:link w:val="139"/>
    <w:qFormat/>
    <w:uiPriority w:val="0"/>
    <w:pPr>
      <w:spacing w:line="490" w:lineRule="exact"/>
    </w:pPr>
    <w:rPr>
      <w:rFonts w:ascii="仿宋_GB2312"/>
    </w:rPr>
  </w:style>
  <w:style w:type="paragraph" w:styleId="39">
    <w:name w:val="List"/>
    <w:basedOn w:val="1"/>
    <w:qFormat/>
    <w:uiPriority w:val="99"/>
    <w:pPr>
      <w:adjustRightInd w:val="0"/>
      <w:spacing w:line="460" w:lineRule="exact"/>
      <w:ind w:left="1276" w:hanging="425"/>
      <w:textAlignment w:val="baseline"/>
    </w:pPr>
    <w:rPr>
      <w:rFonts w:ascii="Times New Roman" w:hAnsi="Times New Roman"/>
      <w:kern w:val="0"/>
      <w:sz w:val="24"/>
      <w:szCs w:val="20"/>
    </w:rPr>
  </w:style>
  <w:style w:type="paragraph" w:styleId="40">
    <w:name w:val="List Number 3"/>
    <w:basedOn w:val="1"/>
    <w:qFormat/>
    <w:uiPriority w:val="0"/>
    <w:pPr>
      <w:widowControl w:val="0"/>
      <w:tabs>
        <w:tab w:val="left" w:pos="1200"/>
      </w:tabs>
      <w:ind w:left="1200" w:leftChars="400" w:hanging="420"/>
      <w:jc w:val="both"/>
    </w:pPr>
    <w:rPr>
      <w:rFonts w:ascii="Times New Roman" w:hAnsi="Times New Roman"/>
      <w:b/>
      <w:sz w:val="28"/>
      <w:szCs w:val="24"/>
    </w:rPr>
  </w:style>
  <w:style w:type="paragraph" w:styleId="41">
    <w:name w:val="List 2"/>
    <w:basedOn w:val="1"/>
    <w:qFormat/>
    <w:uiPriority w:val="0"/>
    <w:pPr>
      <w:spacing w:line="490" w:lineRule="exact"/>
      <w:ind w:left="100" w:leftChars="200" w:hanging="200" w:hangingChars="200"/>
    </w:pPr>
    <w:rPr>
      <w:rFonts w:ascii="Times New Roman" w:hAnsi="Times New Roman" w:eastAsia="仿宋_GB2312"/>
      <w:sz w:val="28"/>
      <w:szCs w:val="20"/>
    </w:rPr>
  </w:style>
  <w:style w:type="paragraph" w:styleId="42">
    <w:name w:val="List Continue"/>
    <w:basedOn w:val="1"/>
    <w:qFormat/>
    <w:uiPriority w:val="0"/>
    <w:pPr>
      <w:spacing w:after="120"/>
      <w:ind w:left="420" w:leftChars="200"/>
    </w:pPr>
    <w:rPr>
      <w:rFonts w:ascii="Times New Roman" w:hAnsi="Times New Roman"/>
      <w:szCs w:val="24"/>
    </w:rPr>
  </w:style>
  <w:style w:type="paragraph" w:styleId="43">
    <w:name w:val="Block Text"/>
    <w:basedOn w:val="1"/>
    <w:qFormat/>
    <w:uiPriority w:val="0"/>
    <w:pPr>
      <w:ind w:left="113" w:right="113"/>
      <w:jc w:val="center"/>
    </w:pPr>
    <w:rPr>
      <w:rFonts w:ascii="Times New Roman" w:hAnsi="Times New Roman"/>
      <w:b/>
      <w:bCs/>
      <w:sz w:val="18"/>
      <w:szCs w:val="24"/>
    </w:rPr>
  </w:style>
  <w:style w:type="paragraph" w:styleId="44">
    <w:name w:val="List Bullet 2"/>
    <w:basedOn w:val="1"/>
    <w:qFormat/>
    <w:uiPriority w:val="0"/>
    <w:pPr>
      <w:spacing w:line="490" w:lineRule="exact"/>
      <w:ind w:left="425" w:hanging="425"/>
    </w:pPr>
    <w:rPr>
      <w:rFonts w:ascii="Times New Roman" w:hAnsi="Times New Roman" w:eastAsia="仿宋_GB2312"/>
      <w:sz w:val="28"/>
      <w:szCs w:val="20"/>
    </w:rPr>
  </w:style>
  <w:style w:type="paragraph" w:styleId="45">
    <w:name w:val="HTML Address"/>
    <w:basedOn w:val="1"/>
    <w:link w:val="1293"/>
    <w:qFormat/>
    <w:uiPriority w:val="0"/>
    <w:pPr>
      <w:spacing w:line="360" w:lineRule="auto"/>
      <w:ind w:firstLine="1500" w:firstLineChars="625"/>
    </w:pPr>
    <w:rPr>
      <w:rFonts w:ascii="宋体" w:hAnsi="宋体" w:cs="宋体"/>
      <w:i/>
      <w:iCs/>
      <w:kern w:val="0"/>
      <w:sz w:val="24"/>
      <w:szCs w:val="24"/>
    </w:rPr>
  </w:style>
  <w:style w:type="paragraph" w:styleId="46">
    <w:name w:val="index 4"/>
    <w:basedOn w:val="1"/>
    <w:next w:val="1"/>
    <w:semiHidden/>
    <w:qFormat/>
    <w:uiPriority w:val="0"/>
    <w:pPr>
      <w:adjustRightInd w:val="0"/>
      <w:snapToGrid w:val="0"/>
      <w:spacing w:line="360" w:lineRule="auto"/>
      <w:ind w:left="1260" w:firstLine="480"/>
    </w:pPr>
    <w:rPr>
      <w:rFonts w:ascii="Times New Roman" w:hAnsi="Times New Roman"/>
      <w:sz w:val="24"/>
      <w:szCs w:val="20"/>
    </w:rPr>
  </w:style>
  <w:style w:type="paragraph" w:styleId="47">
    <w:name w:val="toc 5"/>
    <w:basedOn w:val="1"/>
    <w:next w:val="1"/>
    <w:qFormat/>
    <w:uiPriority w:val="39"/>
    <w:pPr>
      <w:ind w:left="840"/>
    </w:pPr>
    <w:rPr>
      <w:sz w:val="18"/>
      <w:szCs w:val="18"/>
    </w:rPr>
  </w:style>
  <w:style w:type="paragraph" w:styleId="48">
    <w:name w:val="toc 3"/>
    <w:basedOn w:val="1"/>
    <w:next w:val="1"/>
    <w:unhideWhenUsed/>
    <w:qFormat/>
    <w:uiPriority w:val="39"/>
    <w:pPr>
      <w:ind w:left="420"/>
    </w:pPr>
    <w:rPr>
      <w:i/>
      <w:iCs/>
      <w:sz w:val="20"/>
      <w:szCs w:val="20"/>
    </w:rPr>
  </w:style>
  <w:style w:type="paragraph" w:styleId="49">
    <w:name w:val="Plain Text"/>
    <w:basedOn w:val="1"/>
    <w:link w:val="143"/>
    <w:qFormat/>
    <w:uiPriority w:val="0"/>
    <w:pPr>
      <w:tabs>
        <w:tab w:val="left" w:pos="420"/>
        <w:tab w:val="left" w:pos="675"/>
      </w:tabs>
      <w:spacing w:line="460" w:lineRule="atLeast"/>
      <w:textAlignment w:val="center"/>
    </w:pPr>
    <w:rPr>
      <w:rFonts w:ascii="宋体" w:hAnsi="Courier New"/>
      <w:szCs w:val="20"/>
    </w:rPr>
  </w:style>
  <w:style w:type="paragraph" w:styleId="50">
    <w:name w:val="List Bullet 5"/>
    <w:basedOn w:val="1"/>
    <w:qFormat/>
    <w:uiPriority w:val="0"/>
    <w:pPr>
      <w:tabs>
        <w:tab w:val="left" w:pos="425"/>
        <w:tab w:val="left" w:pos="2040"/>
      </w:tabs>
      <w:spacing w:line="360" w:lineRule="auto"/>
      <w:ind w:left="425"/>
    </w:pPr>
    <w:rPr>
      <w:rFonts w:ascii="宋体" w:hAnsi="宋体" w:cs="宋体"/>
      <w:kern w:val="0"/>
      <w:sz w:val="24"/>
      <w:szCs w:val="24"/>
    </w:rPr>
  </w:style>
  <w:style w:type="paragraph" w:styleId="51">
    <w:name w:val="List Number 4"/>
    <w:basedOn w:val="1"/>
    <w:qFormat/>
    <w:uiPriority w:val="0"/>
    <w:pPr>
      <w:tabs>
        <w:tab w:val="left" w:pos="1620"/>
        <w:tab w:val="left" w:pos="2040"/>
      </w:tabs>
      <w:spacing w:line="360" w:lineRule="auto"/>
      <w:ind w:left="2040"/>
    </w:pPr>
    <w:rPr>
      <w:rFonts w:ascii="宋体" w:hAnsi="宋体" w:cs="宋体"/>
      <w:kern w:val="0"/>
      <w:sz w:val="24"/>
      <w:szCs w:val="24"/>
    </w:rPr>
  </w:style>
  <w:style w:type="paragraph" w:styleId="52">
    <w:name w:val="toc 8"/>
    <w:basedOn w:val="1"/>
    <w:next w:val="1"/>
    <w:qFormat/>
    <w:uiPriority w:val="39"/>
    <w:pPr>
      <w:ind w:left="1470"/>
    </w:pPr>
    <w:rPr>
      <w:sz w:val="18"/>
      <w:szCs w:val="18"/>
    </w:rPr>
  </w:style>
  <w:style w:type="paragraph" w:styleId="53">
    <w:name w:val="index 3"/>
    <w:basedOn w:val="1"/>
    <w:next w:val="1"/>
    <w:semiHidden/>
    <w:qFormat/>
    <w:uiPriority w:val="0"/>
    <w:pPr>
      <w:adjustRightInd w:val="0"/>
      <w:snapToGrid w:val="0"/>
      <w:spacing w:line="360" w:lineRule="auto"/>
      <w:ind w:left="840" w:firstLine="480"/>
    </w:pPr>
    <w:rPr>
      <w:rFonts w:ascii="Times New Roman" w:hAnsi="Times New Roman"/>
      <w:sz w:val="24"/>
      <w:szCs w:val="20"/>
    </w:rPr>
  </w:style>
  <w:style w:type="paragraph" w:styleId="54">
    <w:name w:val="Date"/>
    <w:basedOn w:val="1"/>
    <w:next w:val="1"/>
    <w:link w:val="144"/>
    <w:qFormat/>
    <w:uiPriority w:val="99"/>
    <w:pPr>
      <w:ind w:left="100" w:leftChars="2500"/>
    </w:pPr>
    <w:rPr>
      <w:rFonts w:ascii="Times New Roman" w:hAnsi="Times New Roman"/>
      <w:szCs w:val="24"/>
    </w:rPr>
  </w:style>
  <w:style w:type="paragraph" w:styleId="55">
    <w:name w:val="Body Text Indent 2"/>
    <w:basedOn w:val="1"/>
    <w:next w:val="56"/>
    <w:link w:val="146"/>
    <w:unhideWhenUsed/>
    <w:qFormat/>
    <w:uiPriority w:val="0"/>
    <w:pPr>
      <w:spacing w:after="120" w:line="480" w:lineRule="auto"/>
      <w:ind w:left="420" w:leftChars="200"/>
    </w:pPr>
  </w:style>
  <w:style w:type="paragraph" w:styleId="56">
    <w:name w:val="Body Text First Indent 2"/>
    <w:basedOn w:val="1"/>
    <w:next w:val="1"/>
    <w:link w:val="145"/>
    <w:qFormat/>
    <w:uiPriority w:val="0"/>
    <w:pPr>
      <w:ind w:firstLine="420" w:firstLineChars="200"/>
      <w:jc w:val="both"/>
    </w:pPr>
  </w:style>
  <w:style w:type="paragraph" w:styleId="57">
    <w:name w:val="endnote text"/>
    <w:basedOn w:val="1"/>
    <w:link w:val="147"/>
    <w:qFormat/>
    <w:uiPriority w:val="0"/>
    <w:pPr>
      <w:snapToGrid w:val="0"/>
    </w:pPr>
    <w:rPr>
      <w:rFonts w:ascii="Times New Roman" w:hAnsi="Times New Roman"/>
      <w:szCs w:val="24"/>
    </w:rPr>
  </w:style>
  <w:style w:type="paragraph" w:styleId="58">
    <w:name w:val="List Continue 5"/>
    <w:basedOn w:val="1"/>
    <w:qFormat/>
    <w:uiPriority w:val="0"/>
    <w:pPr>
      <w:widowControl w:val="0"/>
      <w:tabs>
        <w:tab w:val="left" w:pos="420"/>
      </w:tabs>
      <w:spacing w:after="120"/>
      <w:ind w:left="2100" w:leftChars="1000"/>
      <w:jc w:val="both"/>
    </w:pPr>
    <w:rPr>
      <w:rFonts w:ascii="Times New Roman" w:hAnsi="Times New Roman"/>
      <w:b/>
      <w:sz w:val="28"/>
      <w:szCs w:val="24"/>
    </w:rPr>
  </w:style>
  <w:style w:type="paragraph" w:styleId="59">
    <w:name w:val="Balloon Text"/>
    <w:basedOn w:val="1"/>
    <w:link w:val="148"/>
    <w:qFormat/>
    <w:uiPriority w:val="0"/>
    <w:rPr>
      <w:rFonts w:ascii="Times New Roman" w:hAnsi="Times New Roman"/>
      <w:sz w:val="18"/>
      <w:szCs w:val="18"/>
    </w:rPr>
  </w:style>
  <w:style w:type="paragraph" w:styleId="60">
    <w:name w:val="footer"/>
    <w:basedOn w:val="1"/>
    <w:link w:val="149"/>
    <w:qFormat/>
    <w:uiPriority w:val="99"/>
    <w:pPr>
      <w:tabs>
        <w:tab w:val="center" w:pos="4153"/>
        <w:tab w:val="right" w:pos="8306"/>
      </w:tabs>
      <w:adjustRightInd w:val="0"/>
      <w:spacing w:line="240" w:lineRule="atLeast"/>
      <w:ind w:firstLine="510"/>
      <w:textAlignment w:val="baseline"/>
    </w:pPr>
    <w:rPr>
      <w:rFonts w:ascii="Times New Roman" w:hAnsi="Times New Roman"/>
      <w:kern w:val="0"/>
      <w:sz w:val="18"/>
      <w:szCs w:val="20"/>
    </w:rPr>
  </w:style>
  <w:style w:type="paragraph" w:styleId="61">
    <w:name w:val="envelope return"/>
    <w:basedOn w:val="1"/>
    <w:qFormat/>
    <w:uiPriority w:val="0"/>
    <w:pPr>
      <w:snapToGrid w:val="0"/>
      <w:spacing w:line="360" w:lineRule="auto"/>
      <w:ind w:firstLine="1500" w:firstLineChars="625"/>
    </w:pPr>
    <w:rPr>
      <w:rFonts w:ascii="Arial" w:hAnsi="Arial" w:cs="Arial"/>
      <w:kern w:val="0"/>
      <w:sz w:val="24"/>
      <w:szCs w:val="24"/>
    </w:rPr>
  </w:style>
  <w:style w:type="paragraph" w:styleId="62">
    <w:name w:val="Signature"/>
    <w:basedOn w:val="1"/>
    <w:link w:val="1294"/>
    <w:qFormat/>
    <w:uiPriority w:val="0"/>
    <w:pPr>
      <w:spacing w:line="360" w:lineRule="auto"/>
      <w:ind w:left="100" w:leftChars="2100" w:firstLine="1500" w:firstLineChars="625"/>
    </w:pPr>
    <w:rPr>
      <w:rFonts w:ascii="宋体" w:hAnsi="宋体" w:cs="宋体"/>
      <w:kern w:val="0"/>
      <w:sz w:val="24"/>
      <w:szCs w:val="24"/>
    </w:rPr>
  </w:style>
  <w:style w:type="paragraph" w:styleId="63">
    <w:name w:val="toc 1"/>
    <w:basedOn w:val="1"/>
    <w:next w:val="1"/>
    <w:unhideWhenUsed/>
    <w:qFormat/>
    <w:uiPriority w:val="39"/>
    <w:pPr>
      <w:spacing w:before="120" w:after="120"/>
    </w:pPr>
    <w:rPr>
      <w:rFonts w:ascii="Times New Roman" w:hAnsi="Times New Roman"/>
      <w:b/>
      <w:bCs/>
      <w:caps/>
      <w:sz w:val="24"/>
      <w:szCs w:val="20"/>
    </w:rPr>
  </w:style>
  <w:style w:type="paragraph" w:styleId="64">
    <w:name w:val="List Continue 4"/>
    <w:basedOn w:val="1"/>
    <w:qFormat/>
    <w:uiPriority w:val="0"/>
    <w:pPr>
      <w:widowControl w:val="0"/>
      <w:spacing w:after="120"/>
      <w:ind w:left="1680" w:leftChars="800"/>
      <w:jc w:val="both"/>
    </w:pPr>
    <w:rPr>
      <w:rFonts w:ascii="Times New Roman" w:hAnsi="Times New Roman"/>
      <w:b/>
      <w:sz w:val="28"/>
      <w:szCs w:val="24"/>
    </w:rPr>
  </w:style>
  <w:style w:type="paragraph" w:styleId="65">
    <w:name w:val="toc 4"/>
    <w:basedOn w:val="1"/>
    <w:next w:val="1"/>
    <w:qFormat/>
    <w:uiPriority w:val="39"/>
    <w:pPr>
      <w:ind w:left="630"/>
    </w:pPr>
    <w:rPr>
      <w:sz w:val="18"/>
      <w:szCs w:val="18"/>
    </w:rPr>
  </w:style>
  <w:style w:type="paragraph" w:styleId="66">
    <w:name w:val="index heading"/>
    <w:basedOn w:val="1"/>
    <w:next w:val="67"/>
    <w:qFormat/>
    <w:uiPriority w:val="0"/>
    <w:pPr>
      <w:adjustRightInd w:val="0"/>
      <w:spacing w:line="460" w:lineRule="exact"/>
      <w:ind w:firstLine="510"/>
      <w:textAlignment w:val="baseline"/>
    </w:pPr>
    <w:rPr>
      <w:rFonts w:ascii="Times New Roman" w:hAnsi="Times New Roman"/>
      <w:kern w:val="0"/>
      <w:sz w:val="24"/>
      <w:szCs w:val="24"/>
    </w:rPr>
  </w:style>
  <w:style w:type="paragraph" w:styleId="67">
    <w:name w:val="index 1"/>
    <w:basedOn w:val="1"/>
    <w:next w:val="1"/>
    <w:semiHidden/>
    <w:qFormat/>
    <w:uiPriority w:val="0"/>
    <w:pPr>
      <w:jc w:val="center"/>
    </w:pPr>
    <w:rPr>
      <w:rFonts w:ascii="宋体" w:hAnsi="宋体"/>
      <w:szCs w:val="20"/>
    </w:rPr>
  </w:style>
  <w:style w:type="paragraph" w:styleId="68">
    <w:name w:val="Subtitle"/>
    <w:basedOn w:val="1"/>
    <w:next w:val="1"/>
    <w:link w:val="150"/>
    <w:qFormat/>
    <w:uiPriority w:val="0"/>
    <w:pPr>
      <w:adjustRightInd w:val="0"/>
      <w:spacing w:before="240" w:after="60" w:line="312" w:lineRule="atLeast"/>
      <w:jc w:val="center"/>
      <w:textAlignment w:val="baseline"/>
      <w:outlineLvl w:val="1"/>
    </w:pPr>
    <w:rPr>
      <w:rFonts w:ascii="Cambria" w:hAnsi="Cambria"/>
      <w:b/>
      <w:bCs/>
      <w:kern w:val="28"/>
      <w:sz w:val="32"/>
      <w:szCs w:val="32"/>
    </w:rPr>
  </w:style>
  <w:style w:type="paragraph" w:styleId="69">
    <w:name w:val="List Number 5"/>
    <w:basedOn w:val="1"/>
    <w:qFormat/>
    <w:uiPriority w:val="0"/>
    <w:pPr>
      <w:tabs>
        <w:tab w:val="left" w:pos="2040"/>
      </w:tabs>
      <w:spacing w:line="360" w:lineRule="auto"/>
      <w:ind w:left="786"/>
    </w:pPr>
    <w:rPr>
      <w:rFonts w:ascii="宋体" w:hAnsi="宋体" w:cs="宋体"/>
      <w:kern w:val="0"/>
      <w:sz w:val="24"/>
      <w:szCs w:val="24"/>
    </w:rPr>
  </w:style>
  <w:style w:type="paragraph" w:styleId="70">
    <w:name w:val="footnote text"/>
    <w:basedOn w:val="1"/>
    <w:link w:val="151"/>
    <w:qFormat/>
    <w:uiPriority w:val="0"/>
    <w:pPr>
      <w:snapToGrid w:val="0"/>
    </w:pPr>
    <w:rPr>
      <w:rFonts w:ascii="Times New Roman" w:hAnsi="Times New Roman"/>
      <w:sz w:val="18"/>
      <w:szCs w:val="18"/>
    </w:rPr>
  </w:style>
  <w:style w:type="paragraph" w:styleId="71">
    <w:name w:val="toc 6"/>
    <w:basedOn w:val="1"/>
    <w:next w:val="1"/>
    <w:unhideWhenUsed/>
    <w:qFormat/>
    <w:uiPriority w:val="39"/>
    <w:pPr>
      <w:ind w:left="1050"/>
    </w:pPr>
    <w:rPr>
      <w:sz w:val="18"/>
      <w:szCs w:val="18"/>
    </w:rPr>
  </w:style>
  <w:style w:type="paragraph" w:styleId="72">
    <w:name w:val="List 5"/>
    <w:basedOn w:val="1"/>
    <w:qFormat/>
    <w:uiPriority w:val="0"/>
    <w:pPr>
      <w:widowControl w:val="0"/>
      <w:ind w:left="100" w:leftChars="800" w:hanging="200"/>
      <w:jc w:val="both"/>
    </w:pPr>
    <w:rPr>
      <w:rFonts w:ascii="Times New Roman" w:hAnsi="Times New Roman"/>
      <w:b/>
      <w:sz w:val="28"/>
      <w:szCs w:val="24"/>
    </w:rPr>
  </w:style>
  <w:style w:type="paragraph" w:styleId="73">
    <w:name w:val="Body Text Indent 3"/>
    <w:basedOn w:val="1"/>
    <w:link w:val="152"/>
    <w:unhideWhenUsed/>
    <w:qFormat/>
    <w:uiPriority w:val="0"/>
    <w:pPr>
      <w:spacing w:after="120"/>
      <w:ind w:left="420" w:leftChars="200"/>
    </w:pPr>
    <w:rPr>
      <w:sz w:val="16"/>
      <w:szCs w:val="16"/>
    </w:rPr>
  </w:style>
  <w:style w:type="paragraph" w:styleId="74">
    <w:name w:val="index 7"/>
    <w:basedOn w:val="1"/>
    <w:next w:val="1"/>
    <w:semiHidden/>
    <w:qFormat/>
    <w:uiPriority w:val="0"/>
    <w:pPr>
      <w:adjustRightInd w:val="0"/>
      <w:spacing w:line="460" w:lineRule="exact"/>
      <w:ind w:left="1200" w:leftChars="1200"/>
      <w:textAlignment w:val="baseline"/>
    </w:pPr>
    <w:rPr>
      <w:rFonts w:ascii="Times New Roman" w:hAnsi="Times New Roman"/>
      <w:kern w:val="0"/>
      <w:sz w:val="24"/>
      <w:szCs w:val="20"/>
    </w:rPr>
  </w:style>
  <w:style w:type="paragraph" w:styleId="75">
    <w:name w:val="index 9"/>
    <w:basedOn w:val="1"/>
    <w:next w:val="1"/>
    <w:semiHidden/>
    <w:qFormat/>
    <w:uiPriority w:val="0"/>
    <w:pPr>
      <w:adjustRightInd w:val="0"/>
      <w:snapToGrid w:val="0"/>
      <w:spacing w:line="360" w:lineRule="auto"/>
      <w:ind w:left="3360" w:firstLine="480"/>
    </w:pPr>
    <w:rPr>
      <w:rFonts w:ascii="Times New Roman" w:hAnsi="Times New Roman"/>
      <w:sz w:val="24"/>
      <w:szCs w:val="20"/>
    </w:rPr>
  </w:style>
  <w:style w:type="paragraph" w:styleId="76">
    <w:name w:val="table of figures"/>
    <w:basedOn w:val="1"/>
    <w:next w:val="1"/>
    <w:qFormat/>
    <w:uiPriority w:val="0"/>
    <w:pPr>
      <w:tabs>
        <w:tab w:val="left" w:pos="510"/>
      </w:tabs>
      <w:adjustRightInd w:val="0"/>
      <w:snapToGrid w:val="0"/>
      <w:spacing w:line="240" w:lineRule="atLeast"/>
      <w:textAlignment w:val="baseline"/>
    </w:pPr>
    <w:rPr>
      <w:rFonts w:ascii="Times New Roman" w:hAnsi="Times New Roman"/>
      <w:kern w:val="0"/>
      <w:sz w:val="24"/>
      <w:szCs w:val="20"/>
    </w:rPr>
  </w:style>
  <w:style w:type="paragraph" w:styleId="77">
    <w:name w:val="toc 2"/>
    <w:basedOn w:val="1"/>
    <w:next w:val="1"/>
    <w:unhideWhenUsed/>
    <w:qFormat/>
    <w:uiPriority w:val="39"/>
    <w:pPr>
      <w:ind w:left="210"/>
    </w:pPr>
    <w:rPr>
      <w:rFonts w:ascii="Times New Roman" w:hAnsi="Times New Roman"/>
      <w:smallCaps/>
      <w:szCs w:val="20"/>
    </w:rPr>
  </w:style>
  <w:style w:type="paragraph" w:styleId="78">
    <w:name w:val="toc 9"/>
    <w:basedOn w:val="1"/>
    <w:next w:val="1"/>
    <w:qFormat/>
    <w:uiPriority w:val="39"/>
    <w:pPr>
      <w:ind w:left="1680"/>
    </w:pPr>
    <w:rPr>
      <w:sz w:val="18"/>
      <w:szCs w:val="18"/>
    </w:rPr>
  </w:style>
  <w:style w:type="paragraph" w:styleId="79">
    <w:name w:val="Body Text 2"/>
    <w:basedOn w:val="1"/>
    <w:link w:val="153"/>
    <w:unhideWhenUsed/>
    <w:qFormat/>
    <w:uiPriority w:val="0"/>
    <w:pPr>
      <w:spacing w:after="120" w:line="480" w:lineRule="auto"/>
    </w:pPr>
  </w:style>
  <w:style w:type="paragraph" w:styleId="80">
    <w:name w:val="List 4"/>
    <w:basedOn w:val="1"/>
    <w:qFormat/>
    <w:uiPriority w:val="0"/>
    <w:pPr>
      <w:spacing w:before="15" w:beforeLines="15" w:after="15" w:afterLines="15"/>
      <w:ind w:left="1680" w:hanging="420" w:firstLineChars="200"/>
      <w:textAlignment w:val="baseline"/>
    </w:pPr>
    <w:rPr>
      <w:rFonts w:ascii="Times New Roman" w:hAnsi="Times New Roman"/>
      <w:kern w:val="0"/>
      <w:sz w:val="28"/>
      <w:szCs w:val="20"/>
    </w:rPr>
  </w:style>
  <w:style w:type="paragraph" w:styleId="81">
    <w:name w:val="List Continue 2"/>
    <w:basedOn w:val="1"/>
    <w:qFormat/>
    <w:uiPriority w:val="0"/>
    <w:pPr>
      <w:spacing w:after="120" w:line="360" w:lineRule="auto"/>
      <w:ind w:left="840" w:leftChars="400" w:firstLine="1500" w:firstLineChars="625"/>
    </w:pPr>
    <w:rPr>
      <w:rFonts w:ascii="宋体" w:hAnsi="宋体" w:cs="宋体"/>
      <w:kern w:val="0"/>
      <w:sz w:val="24"/>
      <w:szCs w:val="24"/>
    </w:rPr>
  </w:style>
  <w:style w:type="paragraph" w:styleId="82">
    <w:name w:val="Message Header"/>
    <w:basedOn w:val="34"/>
    <w:link w:val="154"/>
    <w:qFormat/>
    <w:uiPriority w:val="0"/>
    <w:pPr>
      <w:keepLines/>
      <w:tabs>
        <w:tab w:val="left" w:pos="720"/>
        <w:tab w:val="left" w:pos="4320"/>
        <w:tab w:val="left" w:pos="5040"/>
        <w:tab w:val="right" w:pos="8640"/>
      </w:tabs>
      <w:spacing w:after="40" w:line="440" w:lineRule="atLeast"/>
      <w:ind w:left="720" w:hanging="720"/>
    </w:pPr>
    <w:rPr>
      <w:rFonts w:ascii="Arial" w:hAnsi="Arial"/>
      <w:spacing w:val="-5"/>
      <w:kern w:val="0"/>
      <w:sz w:val="20"/>
      <w:szCs w:val="20"/>
      <w:lang w:bidi="he-IL"/>
    </w:rPr>
  </w:style>
  <w:style w:type="paragraph" w:styleId="83">
    <w:name w:val="HTML Preformatted"/>
    <w:basedOn w:val="1"/>
    <w:link w:val="155"/>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kern w:val="0"/>
      <w:sz w:val="24"/>
      <w:szCs w:val="24"/>
    </w:rPr>
  </w:style>
  <w:style w:type="paragraph" w:styleId="84">
    <w:name w:val="Normal (Web)"/>
    <w:basedOn w:val="1"/>
    <w:unhideWhenUsed/>
    <w:qFormat/>
    <w:uiPriority w:val="99"/>
    <w:pPr>
      <w:spacing w:before="100" w:beforeAutospacing="1" w:after="100" w:afterAutospacing="1"/>
    </w:pPr>
    <w:rPr>
      <w:rFonts w:ascii="宋体" w:hAnsi="宋体" w:cs="宋体"/>
      <w:kern w:val="0"/>
      <w:sz w:val="24"/>
      <w:szCs w:val="24"/>
    </w:rPr>
  </w:style>
  <w:style w:type="paragraph" w:styleId="85">
    <w:name w:val="List Continue 3"/>
    <w:basedOn w:val="1"/>
    <w:qFormat/>
    <w:uiPriority w:val="0"/>
    <w:pPr>
      <w:spacing w:after="120" w:line="360" w:lineRule="auto"/>
      <w:ind w:left="1260" w:leftChars="600" w:firstLine="1500" w:firstLineChars="625"/>
    </w:pPr>
    <w:rPr>
      <w:rFonts w:ascii="宋体" w:hAnsi="宋体" w:cs="宋体"/>
      <w:kern w:val="0"/>
      <w:sz w:val="24"/>
      <w:szCs w:val="24"/>
    </w:rPr>
  </w:style>
  <w:style w:type="paragraph" w:styleId="86">
    <w:name w:val="index 2"/>
    <w:basedOn w:val="1"/>
    <w:next w:val="1"/>
    <w:semiHidden/>
    <w:qFormat/>
    <w:uiPriority w:val="0"/>
    <w:pPr>
      <w:adjustRightInd w:val="0"/>
      <w:snapToGrid w:val="0"/>
      <w:spacing w:line="360" w:lineRule="auto"/>
      <w:ind w:left="420" w:firstLine="480"/>
    </w:pPr>
    <w:rPr>
      <w:rFonts w:ascii="Times New Roman" w:hAnsi="Times New Roman"/>
      <w:sz w:val="24"/>
      <w:szCs w:val="20"/>
    </w:rPr>
  </w:style>
  <w:style w:type="paragraph" w:styleId="87">
    <w:name w:val="Title"/>
    <w:basedOn w:val="1"/>
    <w:link w:val="156"/>
    <w:qFormat/>
    <w:uiPriority w:val="0"/>
    <w:pPr>
      <w:spacing w:before="160" w:after="160" w:line="360" w:lineRule="auto"/>
      <w:outlineLvl w:val="0"/>
    </w:pPr>
    <w:rPr>
      <w:rFonts w:ascii="Times New Roman" w:hAnsi="Times New Roman"/>
      <w:b/>
      <w:bCs/>
      <w:sz w:val="32"/>
      <w:szCs w:val="32"/>
    </w:rPr>
  </w:style>
  <w:style w:type="paragraph" w:styleId="88">
    <w:name w:val="annotation subject"/>
    <w:basedOn w:val="28"/>
    <w:next w:val="1"/>
    <w:link w:val="157"/>
    <w:qFormat/>
    <w:uiPriority w:val="99"/>
    <w:pPr>
      <w:adjustRightInd w:val="0"/>
      <w:spacing w:line="460" w:lineRule="exact"/>
      <w:ind w:firstLine="510"/>
      <w:textAlignment w:val="baseline"/>
    </w:pPr>
    <w:rPr>
      <w:b/>
      <w:bCs/>
      <w:sz w:val="24"/>
    </w:rPr>
  </w:style>
  <w:style w:type="paragraph" w:styleId="89">
    <w:name w:val="Body Text First Indent"/>
    <w:basedOn w:val="34"/>
    <w:next w:val="1"/>
    <w:link w:val="158"/>
    <w:unhideWhenUsed/>
    <w:qFormat/>
    <w:uiPriority w:val="0"/>
    <w:pPr>
      <w:ind w:firstLine="420" w:firstLineChars="100"/>
    </w:pPr>
  </w:style>
  <w:style w:type="table" w:styleId="91">
    <w:name w:val="Table Grid"/>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Elegant"/>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4">
    <w:name w:val="Table Simple 1"/>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5">
    <w:name w:val="Table Simple 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List 8"/>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97">
    <w:name w:val="Table Grid 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8">
    <w:name w:val="Table Grid 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9">
    <w:name w:val="Table Grid 7"/>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0">
    <w:name w:val="Table Web 3"/>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character" w:styleId="102">
    <w:name w:val="Strong"/>
    <w:qFormat/>
    <w:uiPriority w:val="22"/>
    <w:rPr>
      <w:b/>
      <w:bCs/>
    </w:rPr>
  </w:style>
  <w:style w:type="character" w:styleId="103">
    <w:name w:val="endnote reference"/>
    <w:qFormat/>
    <w:uiPriority w:val="0"/>
    <w:rPr>
      <w:vertAlign w:val="superscript"/>
    </w:rPr>
  </w:style>
  <w:style w:type="character" w:styleId="104">
    <w:name w:val="page number"/>
    <w:basedOn w:val="101"/>
    <w:qFormat/>
    <w:uiPriority w:val="0"/>
  </w:style>
  <w:style w:type="character" w:styleId="105">
    <w:name w:val="FollowedHyperlink"/>
    <w:qFormat/>
    <w:uiPriority w:val="0"/>
    <w:rPr>
      <w:color w:val="800080"/>
      <w:u w:val="single"/>
    </w:rPr>
  </w:style>
  <w:style w:type="character" w:styleId="106">
    <w:name w:val="Emphasis"/>
    <w:qFormat/>
    <w:uiPriority w:val="0"/>
    <w:rPr>
      <w:i/>
      <w:iCs/>
    </w:rPr>
  </w:style>
  <w:style w:type="character" w:styleId="107">
    <w:name w:val="line number"/>
    <w:basedOn w:val="101"/>
    <w:qFormat/>
    <w:uiPriority w:val="0"/>
  </w:style>
  <w:style w:type="character" w:styleId="108">
    <w:name w:val="HTML Definition"/>
    <w:basedOn w:val="101"/>
    <w:unhideWhenUsed/>
    <w:qFormat/>
    <w:uiPriority w:val="0"/>
  </w:style>
  <w:style w:type="character" w:styleId="109">
    <w:name w:val="HTML Typewriter"/>
    <w:basedOn w:val="101"/>
    <w:qFormat/>
    <w:uiPriority w:val="0"/>
    <w:rPr>
      <w:rFonts w:ascii="Courier New" w:hAnsi="Courier New" w:cs="Courier New"/>
      <w:sz w:val="20"/>
      <w:szCs w:val="20"/>
    </w:rPr>
  </w:style>
  <w:style w:type="character" w:styleId="110">
    <w:name w:val="HTML Acronym"/>
    <w:basedOn w:val="101"/>
    <w:qFormat/>
    <w:uiPriority w:val="0"/>
  </w:style>
  <w:style w:type="character" w:styleId="111">
    <w:name w:val="HTML Variable"/>
    <w:basedOn w:val="101"/>
    <w:unhideWhenUsed/>
    <w:qFormat/>
    <w:uiPriority w:val="0"/>
  </w:style>
  <w:style w:type="character" w:styleId="112">
    <w:name w:val="Hyperlink"/>
    <w:unhideWhenUsed/>
    <w:qFormat/>
    <w:uiPriority w:val="99"/>
    <w:rPr>
      <w:color w:val="0000FF"/>
      <w:u w:val="single"/>
    </w:rPr>
  </w:style>
  <w:style w:type="character" w:styleId="113">
    <w:name w:val="HTML Code"/>
    <w:basedOn w:val="101"/>
    <w:unhideWhenUsed/>
    <w:qFormat/>
    <w:uiPriority w:val="0"/>
    <w:rPr>
      <w:rFonts w:ascii="serif" w:hAnsi="serif" w:eastAsia="serif" w:cs="serif"/>
      <w:sz w:val="21"/>
      <w:szCs w:val="21"/>
    </w:rPr>
  </w:style>
  <w:style w:type="character" w:styleId="114">
    <w:name w:val="annotation reference"/>
    <w:qFormat/>
    <w:uiPriority w:val="99"/>
    <w:rPr>
      <w:sz w:val="21"/>
      <w:szCs w:val="21"/>
    </w:rPr>
  </w:style>
  <w:style w:type="character" w:styleId="115">
    <w:name w:val="HTML Cite"/>
    <w:basedOn w:val="101"/>
    <w:unhideWhenUsed/>
    <w:qFormat/>
    <w:uiPriority w:val="0"/>
  </w:style>
  <w:style w:type="character" w:styleId="116">
    <w:name w:val="footnote reference"/>
    <w:qFormat/>
    <w:uiPriority w:val="0"/>
    <w:rPr>
      <w:vertAlign w:val="superscript"/>
    </w:rPr>
  </w:style>
  <w:style w:type="character" w:styleId="117">
    <w:name w:val="HTML Keyboard"/>
    <w:basedOn w:val="101"/>
    <w:unhideWhenUsed/>
    <w:qFormat/>
    <w:uiPriority w:val="0"/>
    <w:rPr>
      <w:rFonts w:hint="default" w:ascii="serif" w:hAnsi="serif" w:eastAsia="serif" w:cs="serif"/>
      <w:sz w:val="21"/>
      <w:szCs w:val="21"/>
    </w:rPr>
  </w:style>
  <w:style w:type="character" w:styleId="118">
    <w:name w:val="HTML Sample"/>
    <w:basedOn w:val="101"/>
    <w:unhideWhenUsed/>
    <w:qFormat/>
    <w:uiPriority w:val="0"/>
    <w:rPr>
      <w:rFonts w:hint="default" w:ascii="serif" w:hAnsi="serif" w:eastAsia="serif" w:cs="serif"/>
      <w:sz w:val="21"/>
      <w:szCs w:val="21"/>
    </w:rPr>
  </w:style>
  <w:style w:type="character" w:customStyle="1" w:styleId="119">
    <w:name w:val="标题 2 Char"/>
    <w:link w:val="6"/>
    <w:qFormat/>
    <w:uiPriority w:val="0"/>
    <w:rPr>
      <w:rFonts w:ascii="宋体" w:hAnsi="宋体"/>
      <w:b/>
      <w:bCs/>
      <w:kern w:val="2"/>
      <w:sz w:val="30"/>
      <w:szCs w:val="32"/>
    </w:rPr>
  </w:style>
  <w:style w:type="character" w:customStyle="1" w:styleId="120">
    <w:name w:val="标题 1 Char"/>
    <w:link w:val="5"/>
    <w:qFormat/>
    <w:uiPriority w:val="0"/>
    <w:rPr>
      <w:rFonts w:ascii="Times New Roman" w:hAnsi="Times New Roman" w:eastAsia="黑体"/>
      <w:bCs/>
      <w:kern w:val="44"/>
      <w:sz w:val="32"/>
      <w:szCs w:val="44"/>
    </w:rPr>
  </w:style>
  <w:style w:type="character" w:customStyle="1" w:styleId="121">
    <w:name w:val="标题 3 Char"/>
    <w:link w:val="7"/>
    <w:qFormat/>
    <w:uiPriority w:val="9"/>
    <w:rPr>
      <w:rFonts w:ascii="Times New Roman" w:hAnsi="Times New Roman"/>
      <w:b/>
      <w:bCs/>
      <w:kern w:val="2"/>
      <w:sz w:val="28"/>
      <w:szCs w:val="28"/>
    </w:rPr>
  </w:style>
  <w:style w:type="character" w:customStyle="1" w:styleId="122">
    <w:name w:val="标题 4 Char"/>
    <w:link w:val="3"/>
    <w:qFormat/>
    <w:uiPriority w:val="9"/>
    <w:rPr>
      <w:b/>
      <w:bCs/>
      <w:kern w:val="2"/>
      <w:sz w:val="24"/>
      <w:szCs w:val="28"/>
    </w:rPr>
  </w:style>
  <w:style w:type="character" w:customStyle="1" w:styleId="123">
    <w:name w:val="标题 5 Char"/>
    <w:link w:val="8"/>
    <w:qFormat/>
    <w:uiPriority w:val="0"/>
    <w:rPr>
      <w:rFonts w:ascii="Times New Roman" w:hAnsi="Times New Roman"/>
      <w:b/>
      <w:bCs/>
      <w:kern w:val="2"/>
      <w:sz w:val="28"/>
      <w:szCs w:val="28"/>
    </w:rPr>
  </w:style>
  <w:style w:type="character" w:customStyle="1" w:styleId="124">
    <w:name w:val="标题 6 Char"/>
    <w:link w:val="9"/>
    <w:qFormat/>
    <w:uiPriority w:val="0"/>
    <w:rPr>
      <w:rFonts w:ascii="Times New Roman" w:hAnsi="Times New Roman"/>
      <w:b/>
      <w:bCs/>
      <w:kern w:val="2"/>
      <w:sz w:val="30"/>
      <w:szCs w:val="24"/>
    </w:rPr>
  </w:style>
  <w:style w:type="character" w:customStyle="1" w:styleId="125">
    <w:name w:val="标题 7 Char"/>
    <w:link w:val="10"/>
    <w:qFormat/>
    <w:uiPriority w:val="0"/>
    <w:rPr>
      <w:b/>
      <w:bCs/>
      <w:kern w:val="2"/>
      <w:sz w:val="24"/>
      <w:szCs w:val="24"/>
    </w:rPr>
  </w:style>
  <w:style w:type="character" w:customStyle="1" w:styleId="126">
    <w:name w:val="标题 8 Char"/>
    <w:link w:val="11"/>
    <w:qFormat/>
    <w:uiPriority w:val="0"/>
    <w:rPr>
      <w:rFonts w:ascii="Arial" w:hAnsi="Arial" w:eastAsia="黑体"/>
      <w:kern w:val="2"/>
      <w:sz w:val="24"/>
      <w:szCs w:val="24"/>
    </w:rPr>
  </w:style>
  <w:style w:type="character" w:customStyle="1" w:styleId="127">
    <w:name w:val="标题 9 Char"/>
    <w:link w:val="12"/>
    <w:qFormat/>
    <w:uiPriority w:val="0"/>
    <w:rPr>
      <w:rFonts w:ascii="Arial" w:hAnsi="Arial" w:eastAsia="黑体"/>
      <w:kern w:val="2"/>
      <w:sz w:val="24"/>
      <w:szCs w:val="21"/>
    </w:rPr>
  </w:style>
  <w:style w:type="character" w:customStyle="1" w:styleId="128">
    <w:name w:val="宏文本 Char"/>
    <w:link w:val="4"/>
    <w:semiHidden/>
    <w:qFormat/>
    <w:uiPriority w:val="0"/>
    <w:rPr>
      <w:rFonts w:ascii="Courier New" w:hAnsi="Courier New" w:cs="Courier New"/>
      <w:kern w:val="2"/>
      <w:sz w:val="24"/>
      <w:szCs w:val="24"/>
      <w:lang w:val="en-US" w:eastAsia="zh-CN" w:bidi="ar-SA"/>
    </w:rPr>
  </w:style>
  <w:style w:type="character" w:customStyle="1" w:styleId="129">
    <w:name w:val="注释标题 Char"/>
    <w:link w:val="17"/>
    <w:qFormat/>
    <w:uiPriority w:val="0"/>
    <w:rPr>
      <w:rFonts w:ascii="Times New Roman" w:hAnsi="Times New Roman"/>
      <w:kern w:val="2"/>
      <w:sz w:val="21"/>
    </w:rPr>
  </w:style>
  <w:style w:type="character" w:customStyle="1" w:styleId="130">
    <w:name w:val="电子邮件签名 Char"/>
    <w:link w:val="20"/>
    <w:qFormat/>
    <w:uiPriority w:val="0"/>
    <w:rPr>
      <w:rFonts w:ascii="仿宋_GB2312" w:hAnsi="Times New Roman" w:eastAsia="仿宋_GB2312"/>
      <w:kern w:val="2"/>
      <w:sz w:val="28"/>
      <w:szCs w:val="28"/>
    </w:rPr>
  </w:style>
  <w:style w:type="character" w:customStyle="1" w:styleId="131">
    <w:name w:val="正文缩进 Char"/>
    <w:link w:val="2"/>
    <w:qFormat/>
    <w:uiPriority w:val="0"/>
    <w:rPr>
      <w:kern w:val="2"/>
      <w:sz w:val="21"/>
      <w:szCs w:val="22"/>
    </w:rPr>
  </w:style>
  <w:style w:type="character" w:customStyle="1" w:styleId="132">
    <w:name w:val="题注 Char"/>
    <w:link w:val="22"/>
    <w:qFormat/>
    <w:uiPriority w:val="0"/>
    <w:rPr>
      <w:rFonts w:ascii="Times New Roman" w:hAnsi="Times New Roman"/>
      <w:b/>
      <w:bCs/>
      <w:kern w:val="2"/>
      <w:sz w:val="24"/>
      <w:szCs w:val="24"/>
    </w:rPr>
  </w:style>
  <w:style w:type="character" w:customStyle="1" w:styleId="133">
    <w:name w:val="文档结构图 Char"/>
    <w:link w:val="26"/>
    <w:qFormat/>
    <w:uiPriority w:val="99"/>
    <w:rPr>
      <w:rFonts w:ascii="宋体"/>
      <w:kern w:val="2"/>
      <w:sz w:val="18"/>
      <w:szCs w:val="18"/>
    </w:rPr>
  </w:style>
  <w:style w:type="character" w:customStyle="1" w:styleId="134">
    <w:name w:val="批注文字 Char"/>
    <w:link w:val="28"/>
    <w:qFormat/>
    <w:uiPriority w:val="99"/>
    <w:rPr>
      <w:rFonts w:ascii="Times New Roman" w:hAnsi="Times New Roman"/>
      <w:kern w:val="2"/>
      <w:sz w:val="21"/>
      <w:szCs w:val="24"/>
    </w:rPr>
  </w:style>
  <w:style w:type="character" w:customStyle="1" w:styleId="135">
    <w:name w:val="称呼 Char"/>
    <w:link w:val="30"/>
    <w:qFormat/>
    <w:uiPriority w:val="0"/>
    <w:rPr>
      <w:rFonts w:ascii="Times New Roman" w:hAnsi="楷体" w:eastAsia="楷体"/>
      <w:sz w:val="28"/>
    </w:rPr>
  </w:style>
  <w:style w:type="character" w:customStyle="1" w:styleId="136">
    <w:name w:val="正文文本 3 Char"/>
    <w:link w:val="31"/>
    <w:qFormat/>
    <w:uiPriority w:val="0"/>
    <w:rPr>
      <w:rFonts w:ascii="Times New Roman" w:hAnsi="Times New Roman"/>
      <w:sz w:val="18"/>
    </w:rPr>
  </w:style>
  <w:style w:type="character" w:customStyle="1" w:styleId="137">
    <w:name w:val="结束语 Char"/>
    <w:link w:val="32"/>
    <w:qFormat/>
    <w:uiPriority w:val="0"/>
    <w:rPr>
      <w:rFonts w:ascii="Times New Roman" w:hAnsi="楷体" w:eastAsia="楷体"/>
      <w:sz w:val="28"/>
    </w:rPr>
  </w:style>
  <w:style w:type="character" w:customStyle="1" w:styleId="138">
    <w:name w:val="正文文本 Char"/>
    <w:link w:val="34"/>
    <w:qFormat/>
    <w:uiPriority w:val="99"/>
    <w:rPr>
      <w:kern w:val="2"/>
      <w:sz w:val="21"/>
      <w:szCs w:val="22"/>
    </w:rPr>
  </w:style>
  <w:style w:type="character" w:customStyle="1" w:styleId="139">
    <w:name w:val="样式3 Char"/>
    <w:link w:val="38"/>
    <w:qFormat/>
    <w:uiPriority w:val="0"/>
    <w:rPr>
      <w:rFonts w:ascii="仿宋_GB2312"/>
      <w:sz w:val="24"/>
    </w:rPr>
  </w:style>
  <w:style w:type="character" w:customStyle="1" w:styleId="140">
    <w:name w:val="样式5 Char"/>
    <w:link w:val="37"/>
    <w:qFormat/>
    <w:uiPriority w:val="0"/>
    <w:rPr>
      <w:rFonts w:ascii="宋体" w:hAnsi="Times New Roman"/>
      <w:b/>
      <w:snapToGrid w:val="0"/>
      <w:sz w:val="24"/>
    </w:rPr>
  </w:style>
  <w:style w:type="character" w:customStyle="1" w:styleId="141">
    <w:name w:val="页眉 Char"/>
    <w:link w:val="36"/>
    <w:qFormat/>
    <w:uiPriority w:val="99"/>
    <w:rPr>
      <w:rFonts w:ascii="Times New Roman" w:hAnsi="Times New Roman"/>
    </w:rPr>
  </w:style>
  <w:style w:type="character" w:customStyle="1" w:styleId="142">
    <w:name w:val="正文文本缩进 Char"/>
    <w:link w:val="35"/>
    <w:qFormat/>
    <w:uiPriority w:val="0"/>
    <w:rPr>
      <w:rFonts w:ascii="Times New Roman" w:hAnsi="Times New Roman"/>
      <w:sz w:val="24"/>
    </w:rPr>
  </w:style>
  <w:style w:type="character" w:customStyle="1" w:styleId="143">
    <w:name w:val="纯文本 Char"/>
    <w:link w:val="49"/>
    <w:qFormat/>
    <w:uiPriority w:val="0"/>
    <w:rPr>
      <w:rFonts w:ascii="宋体" w:hAnsi="Courier New"/>
      <w:kern w:val="2"/>
      <w:sz w:val="21"/>
    </w:rPr>
  </w:style>
  <w:style w:type="character" w:customStyle="1" w:styleId="144">
    <w:name w:val="日期 Char"/>
    <w:link w:val="54"/>
    <w:qFormat/>
    <w:uiPriority w:val="0"/>
    <w:rPr>
      <w:rFonts w:ascii="Times New Roman" w:hAnsi="Times New Roman"/>
      <w:kern w:val="2"/>
      <w:sz w:val="21"/>
      <w:szCs w:val="24"/>
    </w:rPr>
  </w:style>
  <w:style w:type="character" w:customStyle="1" w:styleId="145">
    <w:name w:val="正文首行缩进 2 Char"/>
    <w:link w:val="56"/>
    <w:qFormat/>
    <w:uiPriority w:val="0"/>
    <w:rPr>
      <w:rFonts w:ascii="Times New Roman" w:hAnsi="Times New Roman"/>
      <w:kern w:val="2"/>
      <w:sz w:val="21"/>
    </w:rPr>
  </w:style>
  <w:style w:type="character" w:customStyle="1" w:styleId="146">
    <w:name w:val="正文文本缩进 2 Char"/>
    <w:link w:val="55"/>
    <w:qFormat/>
    <w:uiPriority w:val="0"/>
    <w:rPr>
      <w:kern w:val="2"/>
      <w:sz w:val="21"/>
      <w:szCs w:val="22"/>
    </w:rPr>
  </w:style>
  <w:style w:type="character" w:customStyle="1" w:styleId="147">
    <w:name w:val="尾注文本 Char"/>
    <w:link w:val="57"/>
    <w:qFormat/>
    <w:uiPriority w:val="0"/>
    <w:rPr>
      <w:rFonts w:ascii="Times New Roman" w:hAnsi="Times New Roman"/>
      <w:kern w:val="2"/>
      <w:sz w:val="21"/>
      <w:szCs w:val="24"/>
    </w:rPr>
  </w:style>
  <w:style w:type="character" w:customStyle="1" w:styleId="148">
    <w:name w:val="批注框文本 Char"/>
    <w:link w:val="59"/>
    <w:qFormat/>
    <w:uiPriority w:val="0"/>
    <w:rPr>
      <w:rFonts w:ascii="Times New Roman" w:hAnsi="Times New Roman"/>
      <w:kern w:val="2"/>
      <w:sz w:val="18"/>
      <w:szCs w:val="18"/>
    </w:rPr>
  </w:style>
  <w:style w:type="character" w:customStyle="1" w:styleId="149">
    <w:name w:val="页脚 Char2"/>
    <w:link w:val="60"/>
    <w:qFormat/>
    <w:uiPriority w:val="0"/>
    <w:rPr>
      <w:rFonts w:ascii="Times New Roman" w:hAnsi="Times New Roman"/>
      <w:sz w:val="18"/>
    </w:rPr>
  </w:style>
  <w:style w:type="character" w:customStyle="1" w:styleId="150">
    <w:name w:val="副标题 Char"/>
    <w:link w:val="68"/>
    <w:qFormat/>
    <w:uiPriority w:val="0"/>
    <w:rPr>
      <w:rFonts w:ascii="Cambria" w:hAnsi="Cambria"/>
      <w:b/>
      <w:bCs/>
      <w:kern w:val="28"/>
      <w:sz w:val="32"/>
      <w:szCs w:val="32"/>
    </w:rPr>
  </w:style>
  <w:style w:type="character" w:customStyle="1" w:styleId="151">
    <w:name w:val="脚注文本 Char"/>
    <w:link w:val="70"/>
    <w:qFormat/>
    <w:uiPriority w:val="0"/>
    <w:rPr>
      <w:rFonts w:ascii="Times New Roman" w:hAnsi="Times New Roman"/>
      <w:kern w:val="2"/>
      <w:sz w:val="18"/>
      <w:szCs w:val="18"/>
    </w:rPr>
  </w:style>
  <w:style w:type="character" w:customStyle="1" w:styleId="152">
    <w:name w:val="正文文本缩进 3 Char"/>
    <w:link w:val="73"/>
    <w:qFormat/>
    <w:uiPriority w:val="0"/>
    <w:rPr>
      <w:kern w:val="2"/>
      <w:sz w:val="16"/>
      <w:szCs w:val="16"/>
    </w:rPr>
  </w:style>
  <w:style w:type="character" w:customStyle="1" w:styleId="153">
    <w:name w:val="正文文本 2 Char"/>
    <w:link w:val="79"/>
    <w:qFormat/>
    <w:uiPriority w:val="0"/>
    <w:rPr>
      <w:kern w:val="2"/>
      <w:sz w:val="21"/>
      <w:szCs w:val="22"/>
    </w:rPr>
  </w:style>
  <w:style w:type="character" w:customStyle="1" w:styleId="154">
    <w:name w:val="信息标题 Char"/>
    <w:link w:val="82"/>
    <w:qFormat/>
    <w:uiPriority w:val="0"/>
    <w:rPr>
      <w:rFonts w:ascii="Arial" w:hAnsi="Arial"/>
      <w:spacing w:val="-5"/>
      <w:lang w:bidi="he-IL"/>
    </w:rPr>
  </w:style>
  <w:style w:type="character" w:customStyle="1" w:styleId="155">
    <w:name w:val="HTML 预设格式 Char"/>
    <w:link w:val="83"/>
    <w:qFormat/>
    <w:uiPriority w:val="0"/>
    <w:rPr>
      <w:rFonts w:ascii="Arial" w:hAnsi="Arial" w:cs="Arial"/>
      <w:sz w:val="24"/>
      <w:szCs w:val="24"/>
    </w:rPr>
  </w:style>
  <w:style w:type="character" w:customStyle="1" w:styleId="156">
    <w:name w:val="标题 Char"/>
    <w:link w:val="87"/>
    <w:qFormat/>
    <w:uiPriority w:val="0"/>
    <w:rPr>
      <w:rFonts w:ascii="Times New Roman" w:hAnsi="Times New Roman" w:cs="Arial"/>
      <w:b/>
      <w:bCs/>
      <w:kern w:val="2"/>
      <w:sz w:val="32"/>
      <w:szCs w:val="32"/>
    </w:rPr>
  </w:style>
  <w:style w:type="character" w:customStyle="1" w:styleId="157">
    <w:name w:val="批注主题 Char"/>
    <w:link w:val="88"/>
    <w:qFormat/>
    <w:uiPriority w:val="99"/>
    <w:rPr>
      <w:rFonts w:ascii="Times New Roman" w:hAnsi="Times New Roman"/>
      <w:b/>
      <w:bCs/>
      <w:kern w:val="2"/>
      <w:sz w:val="24"/>
      <w:szCs w:val="24"/>
    </w:rPr>
  </w:style>
  <w:style w:type="character" w:customStyle="1" w:styleId="158">
    <w:name w:val="正文首行缩进 Char"/>
    <w:basedOn w:val="138"/>
    <w:link w:val="89"/>
    <w:qFormat/>
    <w:uiPriority w:val="99"/>
    <w:rPr>
      <w:kern w:val="2"/>
      <w:sz w:val="21"/>
      <w:szCs w:val="22"/>
    </w:rPr>
  </w:style>
  <w:style w:type="paragraph" w:customStyle="1" w:styleId="159">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6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61">
    <w:name w:val="页脚 Char"/>
    <w:qFormat/>
    <w:uiPriority w:val="99"/>
    <w:rPr>
      <w:kern w:val="2"/>
      <w:sz w:val="18"/>
      <w:szCs w:val="18"/>
    </w:rPr>
  </w:style>
  <w:style w:type="character" w:customStyle="1" w:styleId="162">
    <w:name w:val="line21"/>
    <w:qFormat/>
    <w:uiPriority w:val="0"/>
  </w:style>
  <w:style w:type="character" w:customStyle="1" w:styleId="163">
    <w:name w:val="apple-converted-space"/>
    <w:basedOn w:val="101"/>
    <w:qFormat/>
    <w:uiPriority w:val="0"/>
  </w:style>
  <w:style w:type="character" w:customStyle="1" w:styleId="164">
    <w:name w:val="表头 Char Char"/>
    <w:qFormat/>
    <w:uiPriority w:val="0"/>
    <w:rPr>
      <w:rFonts w:ascii="黑体" w:eastAsia="黑体"/>
      <w:snapToGrid w:val="0"/>
      <w:kern w:val="2"/>
      <w:sz w:val="24"/>
      <w:szCs w:val="24"/>
      <w:lang w:val="en-US" w:eastAsia="zh-CN" w:bidi="ar-SA"/>
    </w:rPr>
  </w:style>
  <w:style w:type="character" w:customStyle="1" w:styleId="165">
    <w:name w:val="xiaodong1"/>
    <w:qFormat/>
    <w:uiPriority w:val="0"/>
    <w:rPr>
      <w:sz w:val="22"/>
      <w:szCs w:val="22"/>
    </w:rPr>
  </w:style>
  <w:style w:type="character" w:customStyle="1" w:styleId="166">
    <w:name w:val="日期 Char1"/>
    <w:qFormat/>
    <w:uiPriority w:val="0"/>
    <w:rPr>
      <w:kern w:val="2"/>
      <w:sz w:val="21"/>
      <w:szCs w:val="22"/>
    </w:rPr>
  </w:style>
  <w:style w:type="character" w:customStyle="1" w:styleId="167">
    <w:name w:val="页眉 Char1"/>
    <w:qFormat/>
    <w:uiPriority w:val="0"/>
    <w:rPr>
      <w:rFonts w:ascii="Times New Roman" w:hAnsi="Times New Roman" w:eastAsia="宋体" w:cs="Times New Roman"/>
      <w:sz w:val="18"/>
      <w:szCs w:val="18"/>
    </w:rPr>
  </w:style>
  <w:style w:type="character" w:customStyle="1" w:styleId="168">
    <w:name w:val="样式 正文缩进s4 + 首行缩进:  2 字符 Char"/>
    <w:qFormat/>
    <w:uiPriority w:val="0"/>
    <w:rPr>
      <w:rFonts w:ascii="宋体" w:hAnsi="宋体" w:eastAsia="宋体" w:cs="宋体"/>
      <w:b/>
      <w:bCs/>
      <w:kern w:val="2"/>
      <w:sz w:val="24"/>
      <w:szCs w:val="32"/>
      <w:lang w:val="en-US" w:eastAsia="zh-CN" w:bidi="ar-SA"/>
    </w:rPr>
  </w:style>
  <w:style w:type="character" w:customStyle="1" w:styleId="169">
    <w:name w:val="正文样式1 Char"/>
    <w:link w:val="170"/>
    <w:qFormat/>
    <w:uiPriority w:val="0"/>
    <w:rPr>
      <w:rFonts w:ascii="Times New Roman" w:hAnsi="Times New Roman"/>
      <w:sz w:val="24"/>
    </w:rPr>
  </w:style>
  <w:style w:type="paragraph" w:customStyle="1" w:styleId="170">
    <w:name w:val="正文样式1"/>
    <w:basedOn w:val="1"/>
    <w:link w:val="169"/>
    <w:qFormat/>
    <w:uiPriority w:val="0"/>
    <w:pPr>
      <w:adjustRightInd w:val="0"/>
      <w:snapToGrid w:val="0"/>
      <w:spacing w:line="360" w:lineRule="auto"/>
      <w:ind w:firstLine="482"/>
      <w:textAlignment w:val="baseline"/>
    </w:pPr>
    <w:rPr>
      <w:rFonts w:ascii="Times New Roman" w:hAnsi="Times New Roman"/>
      <w:kern w:val="0"/>
      <w:sz w:val="24"/>
      <w:szCs w:val="20"/>
    </w:rPr>
  </w:style>
  <w:style w:type="character" w:customStyle="1" w:styleId="171">
    <w:name w:val="unnamed11"/>
    <w:qFormat/>
    <w:uiPriority w:val="0"/>
  </w:style>
  <w:style w:type="character" w:customStyle="1" w:styleId="172">
    <w:name w:val="标题 3 Char3"/>
    <w:qFormat/>
    <w:uiPriority w:val="0"/>
    <w:rPr>
      <w:sz w:val="24"/>
    </w:rPr>
  </w:style>
  <w:style w:type="character" w:customStyle="1" w:styleId="173">
    <w:name w:val="Char Char"/>
    <w:link w:val="174"/>
    <w:qFormat/>
    <w:uiPriority w:val="0"/>
    <w:rPr>
      <w:rFonts w:ascii="Times New Roman" w:hAnsi="Times New Roman"/>
      <w:kern w:val="2"/>
      <w:sz w:val="21"/>
      <w:szCs w:val="24"/>
    </w:rPr>
  </w:style>
  <w:style w:type="paragraph" w:customStyle="1" w:styleId="174">
    <w:name w:val="Char3"/>
    <w:basedOn w:val="1"/>
    <w:link w:val="173"/>
    <w:qFormat/>
    <w:uiPriority w:val="0"/>
    <w:pPr>
      <w:pageBreakBefore/>
    </w:pPr>
    <w:rPr>
      <w:rFonts w:ascii="Times New Roman" w:hAnsi="Times New Roman"/>
      <w:szCs w:val="24"/>
    </w:rPr>
  </w:style>
  <w:style w:type="character" w:customStyle="1" w:styleId="175">
    <w:name w:val="批注文字 Char1"/>
    <w:qFormat/>
    <w:uiPriority w:val="0"/>
    <w:rPr>
      <w:rFonts w:ascii="Times New Roman" w:hAnsi="Times New Roman" w:eastAsia="宋体" w:cs="Times New Roman"/>
      <w:szCs w:val="24"/>
    </w:rPr>
  </w:style>
  <w:style w:type="character" w:customStyle="1" w:styleId="176">
    <w:name w:val="正文文本 3 Char2"/>
    <w:semiHidden/>
    <w:qFormat/>
    <w:uiPriority w:val="99"/>
    <w:rPr>
      <w:rFonts w:ascii="Times New Roman" w:hAnsi="Times New Roman" w:eastAsia="宋体" w:cs="Times New Roman"/>
      <w:sz w:val="16"/>
      <w:szCs w:val="16"/>
    </w:rPr>
  </w:style>
  <w:style w:type="character" w:customStyle="1" w:styleId="177">
    <w:name w:val="weby1"/>
    <w:qFormat/>
    <w:uiPriority w:val="0"/>
    <w:rPr>
      <w:color w:val="003300"/>
      <w:sz w:val="18"/>
      <w:szCs w:val="18"/>
    </w:rPr>
  </w:style>
  <w:style w:type="character" w:customStyle="1" w:styleId="178">
    <w:name w:val="表题 Char"/>
    <w:link w:val="179"/>
    <w:qFormat/>
    <w:uiPriority w:val="0"/>
    <w:rPr>
      <w:b/>
    </w:rPr>
  </w:style>
  <w:style w:type="paragraph" w:customStyle="1" w:styleId="179">
    <w:name w:val="表题"/>
    <w:basedOn w:val="22"/>
    <w:link w:val="178"/>
    <w:qFormat/>
    <w:uiPriority w:val="0"/>
    <w:pPr>
      <w:tabs>
        <w:tab w:val="left" w:pos="720"/>
      </w:tabs>
      <w:ind w:firstLine="0" w:firstLineChars="0"/>
    </w:pPr>
    <w:rPr>
      <w:rFonts w:ascii="Calibri" w:hAnsi="Calibri"/>
      <w:b w:val="0"/>
      <w:sz w:val="20"/>
      <w:szCs w:val="20"/>
    </w:rPr>
  </w:style>
  <w:style w:type="character" w:customStyle="1" w:styleId="180">
    <w:name w:val="Message Header Label"/>
    <w:qFormat/>
    <w:uiPriority w:val="0"/>
    <w:rPr>
      <w:rFonts w:ascii="Arial Black" w:hAnsi="Arial Black"/>
      <w:sz w:val="18"/>
    </w:rPr>
  </w:style>
  <w:style w:type="character" w:customStyle="1" w:styleId="181">
    <w:name w:val="不明显参考1"/>
    <w:qFormat/>
    <w:uiPriority w:val="31"/>
    <w:rPr>
      <w:smallCaps/>
      <w:color w:val="C0504D"/>
      <w:u w:val="single"/>
    </w:rPr>
  </w:style>
  <w:style w:type="character" w:customStyle="1" w:styleId="182">
    <w:name w:val="we1"/>
    <w:basedOn w:val="101"/>
    <w:qFormat/>
    <w:uiPriority w:val="0"/>
  </w:style>
  <w:style w:type="character" w:customStyle="1" w:styleId="183">
    <w:name w:val="tpc_content1"/>
    <w:qFormat/>
    <w:uiPriority w:val="0"/>
    <w:rPr>
      <w:sz w:val="18"/>
      <w:szCs w:val="18"/>
    </w:rPr>
  </w:style>
  <w:style w:type="character" w:customStyle="1" w:styleId="184">
    <w:name w:val="pt10-2"/>
    <w:qFormat/>
    <w:uiPriority w:val="0"/>
    <w:rPr>
      <w:rFonts w:ascii="宋体" w:hAnsi="宋体" w:eastAsia="宋体" w:cs="宋体"/>
      <w:b/>
      <w:bCs/>
      <w:kern w:val="44"/>
      <w:sz w:val="32"/>
      <w:szCs w:val="32"/>
      <w:lang w:val="en-US" w:eastAsia="zh-CN" w:bidi="ar-SA"/>
    </w:rPr>
  </w:style>
  <w:style w:type="character" w:customStyle="1" w:styleId="185">
    <w:name w:val="xygk11"/>
    <w:qFormat/>
    <w:uiPriority w:val="0"/>
    <w:rPr>
      <w:rFonts w:hint="default" w:eastAsia="宋体" w:cs="宋体"/>
      <w:b/>
      <w:bCs/>
      <w:kern w:val="44"/>
      <w:sz w:val="21"/>
      <w:szCs w:val="21"/>
      <w:lang w:val="en-US" w:eastAsia="zh-CN" w:bidi="ar-SA"/>
    </w:rPr>
  </w:style>
  <w:style w:type="character" w:customStyle="1" w:styleId="186">
    <w:name w:val="表格 Char"/>
    <w:link w:val="187"/>
    <w:qFormat/>
    <w:uiPriority w:val="0"/>
    <w:rPr>
      <w:rFonts w:ascii="Times New Roman" w:hAnsi="Times New Roman"/>
      <w:kern w:val="2"/>
      <w:sz w:val="21"/>
    </w:rPr>
  </w:style>
  <w:style w:type="paragraph" w:customStyle="1" w:styleId="187">
    <w:name w:val="表格"/>
    <w:basedOn w:val="1"/>
    <w:next w:val="1"/>
    <w:link w:val="186"/>
    <w:qFormat/>
    <w:uiPriority w:val="0"/>
    <w:pPr>
      <w:spacing w:line="360" w:lineRule="auto"/>
      <w:jc w:val="center"/>
    </w:pPr>
    <w:rPr>
      <w:rFonts w:ascii="Times New Roman" w:hAnsi="Times New Roman"/>
      <w:szCs w:val="20"/>
    </w:rPr>
  </w:style>
  <w:style w:type="character" w:customStyle="1" w:styleId="188">
    <w:name w:val="表格文字 Char"/>
    <w:link w:val="189"/>
    <w:qFormat/>
    <w:uiPriority w:val="0"/>
    <w:rPr>
      <w:rFonts w:ascii="宋体" w:hAnsi="宋体"/>
      <w:kern w:val="2"/>
      <w:sz w:val="21"/>
    </w:rPr>
  </w:style>
  <w:style w:type="paragraph" w:customStyle="1" w:styleId="189">
    <w:name w:val="表格文字"/>
    <w:basedOn w:val="190"/>
    <w:next w:val="1"/>
    <w:link w:val="188"/>
    <w:qFormat/>
    <w:uiPriority w:val="0"/>
    <w:pPr>
      <w:tabs>
        <w:tab w:val="left" w:pos="3720"/>
      </w:tabs>
      <w:autoSpaceDE w:val="0"/>
      <w:autoSpaceDN w:val="0"/>
      <w:adjustRightInd w:val="0"/>
      <w:spacing w:line="315" w:lineRule="exact"/>
      <w:jc w:val="center"/>
    </w:pPr>
    <w:rPr>
      <w:rFonts w:ascii="宋体" w:hAnsi="宋体"/>
      <w:szCs w:val="20"/>
    </w:rPr>
  </w:style>
  <w:style w:type="paragraph" w:customStyle="1" w:styleId="190">
    <w:name w:val="报告书 正文"/>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character" w:customStyle="1" w:styleId="191">
    <w:name w:val="style141"/>
    <w:qFormat/>
    <w:uiPriority w:val="0"/>
    <w:rPr>
      <w:sz w:val="27"/>
      <w:szCs w:val="27"/>
    </w:rPr>
  </w:style>
  <w:style w:type="character" w:customStyle="1" w:styleId="192">
    <w:name w:val="正文.tx Char"/>
    <w:link w:val="193"/>
    <w:qFormat/>
    <w:uiPriority w:val="0"/>
    <w:rPr>
      <w:rFonts w:ascii="Times New Roman" w:hAnsi="Times New Roman"/>
      <w:kern w:val="2"/>
      <w:sz w:val="28"/>
      <w:szCs w:val="28"/>
    </w:rPr>
  </w:style>
  <w:style w:type="paragraph" w:customStyle="1" w:styleId="193">
    <w:name w:val="正文.tx"/>
    <w:basedOn w:val="1"/>
    <w:link w:val="192"/>
    <w:qFormat/>
    <w:uiPriority w:val="0"/>
    <w:pPr>
      <w:topLinePunct/>
      <w:spacing w:before="120" w:beforeLines="50" w:after="120" w:afterLines="50" w:line="520" w:lineRule="exact"/>
      <w:ind w:firstLine="560" w:firstLineChars="200"/>
    </w:pPr>
    <w:rPr>
      <w:rFonts w:ascii="Times New Roman" w:hAnsi="Times New Roman"/>
      <w:sz w:val="28"/>
      <w:szCs w:val="28"/>
    </w:rPr>
  </w:style>
  <w:style w:type="character" w:customStyle="1" w:styleId="194">
    <w:name w:val="表名 Char"/>
    <w:link w:val="195"/>
    <w:qFormat/>
    <w:uiPriority w:val="0"/>
    <w:rPr>
      <w:rFonts w:ascii="Times New Roman" w:hAnsi="Times New Roman" w:eastAsia="黑体"/>
      <w:kern w:val="2"/>
      <w:sz w:val="28"/>
    </w:rPr>
  </w:style>
  <w:style w:type="paragraph" w:customStyle="1" w:styleId="195">
    <w:name w:val="表名"/>
    <w:basedOn w:val="1"/>
    <w:link w:val="194"/>
    <w:qFormat/>
    <w:uiPriority w:val="0"/>
    <w:pPr>
      <w:overflowPunct w:val="0"/>
      <w:spacing w:before="120" w:line="300" w:lineRule="exact"/>
      <w:textAlignment w:val="baseline"/>
    </w:pPr>
    <w:rPr>
      <w:rFonts w:ascii="Times New Roman" w:hAnsi="Times New Roman" w:eastAsia="黑体"/>
      <w:sz w:val="28"/>
      <w:szCs w:val="20"/>
    </w:rPr>
  </w:style>
  <w:style w:type="character" w:customStyle="1" w:styleId="196">
    <w:name w:val="表文 Char Char"/>
    <w:link w:val="197"/>
    <w:qFormat/>
    <w:uiPriority w:val="0"/>
    <w:rPr>
      <w:rFonts w:ascii="Times New Roman" w:hAnsi="Times New Roman"/>
      <w:kern w:val="2"/>
      <w:sz w:val="24"/>
    </w:rPr>
  </w:style>
  <w:style w:type="paragraph" w:customStyle="1" w:styleId="197">
    <w:name w:val="表文 Char"/>
    <w:basedOn w:val="1"/>
    <w:link w:val="196"/>
    <w:qFormat/>
    <w:uiPriority w:val="0"/>
    <w:pPr>
      <w:overflowPunct w:val="0"/>
      <w:jc w:val="center"/>
      <w:textAlignment w:val="baseline"/>
    </w:pPr>
    <w:rPr>
      <w:rFonts w:ascii="Times New Roman" w:hAnsi="Times New Roman"/>
      <w:sz w:val="24"/>
      <w:szCs w:val="20"/>
    </w:rPr>
  </w:style>
  <w:style w:type="character" w:customStyle="1" w:styleId="198">
    <w:name w:val="标题 53"/>
    <w:qFormat/>
    <w:uiPriority w:val="0"/>
    <w:rPr>
      <w:rFonts w:eastAsia="宋体"/>
      <w:sz w:val="24"/>
      <w:lang w:val="en-US" w:eastAsia="zh-CN" w:bidi="ar-SA"/>
    </w:rPr>
  </w:style>
  <w:style w:type="character" w:customStyle="1" w:styleId="199">
    <w:name w:val="表名 Char Char"/>
    <w:qFormat/>
    <w:uiPriority w:val="0"/>
    <w:rPr>
      <w:rFonts w:ascii="黑体" w:hAnsi="Arial" w:eastAsia="黑体"/>
      <w:kern w:val="2"/>
      <w:sz w:val="28"/>
      <w:lang w:val="en-US" w:eastAsia="zh-CN" w:bidi="ar-SA"/>
    </w:rPr>
  </w:style>
  <w:style w:type="character" w:customStyle="1" w:styleId="200">
    <w:name w:val="a21"/>
    <w:qFormat/>
    <w:uiPriority w:val="0"/>
    <w:rPr>
      <w:rFonts w:hint="default" w:ascii="Geneva" w:hAnsi="Geneva"/>
      <w:color w:val="000000"/>
      <w:sz w:val="23"/>
      <w:szCs w:val="23"/>
      <w:u w:val="none"/>
    </w:rPr>
  </w:style>
  <w:style w:type="character" w:customStyle="1" w:styleId="201">
    <w:name w:val="标题 41"/>
    <w:qFormat/>
    <w:uiPriority w:val="0"/>
    <w:rPr>
      <w:rFonts w:eastAsia="宋体"/>
      <w:sz w:val="24"/>
      <w:lang w:val="en-US" w:eastAsia="zh-CN" w:bidi="ar-SA"/>
    </w:rPr>
  </w:style>
  <w:style w:type="character" w:customStyle="1" w:styleId="202">
    <w:name w:val="样式12q Char"/>
    <w:link w:val="203"/>
    <w:qFormat/>
    <w:uiPriority w:val="0"/>
    <w:rPr>
      <w:rFonts w:ascii="Times New Roman" w:hAnsi="Times New Roman"/>
      <w:kern w:val="2"/>
      <w:sz w:val="28"/>
      <w:szCs w:val="28"/>
    </w:rPr>
  </w:style>
  <w:style w:type="paragraph" w:customStyle="1" w:styleId="203">
    <w:name w:val="样式12q"/>
    <w:basedOn w:val="1"/>
    <w:link w:val="202"/>
    <w:qFormat/>
    <w:uiPriority w:val="0"/>
    <w:pPr>
      <w:spacing w:line="360" w:lineRule="auto"/>
      <w:ind w:firstLine="560" w:firstLineChars="200"/>
    </w:pPr>
    <w:rPr>
      <w:rFonts w:ascii="Times New Roman" w:hAnsi="Times New Roman"/>
      <w:sz w:val="28"/>
      <w:szCs w:val="28"/>
    </w:rPr>
  </w:style>
  <w:style w:type="character" w:customStyle="1" w:styleId="204">
    <w:name w:val="duan1"/>
    <w:qFormat/>
    <w:uiPriority w:val="0"/>
    <w:rPr>
      <w:rFonts w:hint="default" w:ascii="ˎ̥" w:hAnsi="ˎ̥"/>
      <w:sz w:val="20"/>
      <w:szCs w:val="20"/>
    </w:rPr>
  </w:style>
  <w:style w:type="character" w:customStyle="1" w:styleId="205">
    <w:name w:val="样式 标题 1 Char"/>
    <w:link w:val="206"/>
    <w:qFormat/>
    <w:uiPriority w:val="0"/>
    <w:rPr>
      <w:rFonts w:ascii="Times New Roman" w:hAnsi="Times New Roman" w:eastAsia="黑体"/>
      <w:b/>
      <w:bCs/>
      <w:kern w:val="44"/>
      <w:sz w:val="32"/>
    </w:rPr>
  </w:style>
  <w:style w:type="paragraph" w:customStyle="1" w:styleId="206">
    <w:name w:val="样式 标题 1"/>
    <w:basedOn w:val="5"/>
    <w:link w:val="205"/>
    <w:qFormat/>
    <w:uiPriority w:val="0"/>
    <w:pPr>
      <w:snapToGrid w:val="0"/>
      <w:spacing w:before="0" w:after="0"/>
    </w:pPr>
    <w:rPr>
      <w:b/>
      <w:szCs w:val="20"/>
    </w:rPr>
  </w:style>
  <w:style w:type="character" w:customStyle="1" w:styleId="207">
    <w:name w:val="black91"/>
    <w:qFormat/>
    <w:uiPriority w:val="0"/>
    <w:rPr>
      <w:color w:val="000000"/>
      <w:sz w:val="18"/>
      <w:szCs w:val="18"/>
    </w:rPr>
  </w:style>
  <w:style w:type="character" w:customStyle="1" w:styleId="208">
    <w:name w:val="lm1"/>
    <w:qFormat/>
    <w:uiPriority w:val="0"/>
    <w:rPr>
      <w:sz w:val="20"/>
      <w:szCs w:val="20"/>
    </w:rPr>
  </w:style>
  <w:style w:type="character" w:customStyle="1" w:styleId="209">
    <w:name w:val="pt11"/>
    <w:qFormat/>
    <w:uiPriority w:val="0"/>
    <w:rPr>
      <w:rFonts w:ascii="宋体" w:hAnsi="宋体" w:eastAsia="宋体" w:cs="宋体"/>
      <w:b/>
      <w:bCs/>
      <w:kern w:val="44"/>
      <w:sz w:val="32"/>
      <w:szCs w:val="32"/>
      <w:lang w:val="en-US" w:eastAsia="zh-CN" w:bidi="ar-SA"/>
    </w:rPr>
  </w:style>
  <w:style w:type="character" w:customStyle="1" w:styleId="210">
    <w:name w:val="apple-style-span"/>
    <w:basedOn w:val="101"/>
    <w:qFormat/>
    <w:uiPriority w:val="0"/>
  </w:style>
  <w:style w:type="character" w:customStyle="1" w:styleId="211">
    <w:name w:val="style111"/>
    <w:qFormat/>
    <w:uiPriority w:val="0"/>
    <w:rPr>
      <w:b/>
      <w:bCs/>
      <w:color w:val="FF0000"/>
    </w:rPr>
  </w:style>
  <w:style w:type="character" w:customStyle="1" w:styleId="212">
    <w:name w:val="style101"/>
    <w:qFormat/>
    <w:uiPriority w:val="0"/>
    <w:rPr>
      <w:sz w:val="21"/>
      <w:szCs w:val="21"/>
    </w:rPr>
  </w:style>
  <w:style w:type="character" w:customStyle="1" w:styleId="213">
    <w:name w:val="blue"/>
    <w:basedOn w:val="101"/>
    <w:qFormat/>
    <w:uiPriority w:val="0"/>
  </w:style>
  <w:style w:type="character" w:customStyle="1" w:styleId="214">
    <w:name w:val="标题 4 Char1"/>
    <w:qFormat/>
    <w:uiPriority w:val="0"/>
    <w:rPr>
      <w:sz w:val="24"/>
    </w:rPr>
  </w:style>
  <w:style w:type="character" w:customStyle="1" w:styleId="215">
    <w:name w:val="普通文字 Char Char Char Char Char Char Char Char Char Char Char"/>
    <w:qFormat/>
    <w:uiPriority w:val="0"/>
    <w:rPr>
      <w:rFonts w:ascii="宋体" w:hAnsi="Courier New" w:eastAsia="宋体"/>
      <w:kern w:val="2"/>
      <w:sz w:val="21"/>
      <w:lang w:val="en-US" w:eastAsia="zh-CN" w:bidi="ar-SA"/>
    </w:rPr>
  </w:style>
  <w:style w:type="character" w:customStyle="1" w:styleId="216">
    <w:name w:val="表号.tx"/>
    <w:qFormat/>
    <w:uiPriority w:val="0"/>
    <w:rPr>
      <w:rFonts w:eastAsia="仿宋_GB2312"/>
      <w:sz w:val="24"/>
    </w:rPr>
  </w:style>
  <w:style w:type="character" w:customStyle="1" w:styleId="217">
    <w:name w:val="样式 左侧:  0.98 厘米 Char1"/>
    <w:link w:val="218"/>
    <w:qFormat/>
    <w:uiPriority w:val="0"/>
    <w:rPr>
      <w:rFonts w:ascii="Times New Roman" w:hAnsi="Times New Roman" w:eastAsia="仿宋_GB2312"/>
      <w:kern w:val="2"/>
      <w:sz w:val="28"/>
    </w:rPr>
  </w:style>
  <w:style w:type="paragraph" w:customStyle="1" w:styleId="218">
    <w:name w:val="样式 左侧:  0.98 厘米"/>
    <w:basedOn w:val="1"/>
    <w:link w:val="217"/>
    <w:qFormat/>
    <w:uiPriority w:val="0"/>
    <w:pPr>
      <w:adjustRightInd w:val="0"/>
      <w:snapToGrid w:val="0"/>
      <w:spacing w:line="490" w:lineRule="exact"/>
      <w:ind w:firstLine="560" w:firstLineChars="200"/>
    </w:pPr>
    <w:rPr>
      <w:rFonts w:ascii="Times New Roman" w:hAnsi="Times New Roman" w:eastAsia="仿宋_GB2312"/>
      <w:sz w:val="28"/>
      <w:szCs w:val="20"/>
    </w:rPr>
  </w:style>
  <w:style w:type="character" w:customStyle="1" w:styleId="219">
    <w:name w:val="style131"/>
    <w:qFormat/>
    <w:uiPriority w:val="0"/>
    <w:rPr>
      <w:color w:val="FF0000"/>
    </w:rPr>
  </w:style>
  <w:style w:type="character" w:customStyle="1" w:styleId="220">
    <w:name w:val="样式 正文文本表中文字 + 小四 Char"/>
    <w:link w:val="221"/>
    <w:qFormat/>
    <w:uiPriority w:val="0"/>
    <w:rPr>
      <w:snapToGrid w:val="0"/>
      <w:sz w:val="24"/>
      <w:szCs w:val="24"/>
    </w:rPr>
  </w:style>
  <w:style w:type="paragraph" w:customStyle="1" w:styleId="221">
    <w:name w:val="样式 正文文本表中文字 + 小四"/>
    <w:basedOn w:val="34"/>
    <w:link w:val="220"/>
    <w:qFormat/>
    <w:uiPriority w:val="0"/>
    <w:pPr>
      <w:adjustRightInd w:val="0"/>
      <w:snapToGrid w:val="0"/>
      <w:spacing w:after="0" w:line="360" w:lineRule="auto"/>
      <w:ind w:firstLine="200" w:firstLineChars="200"/>
      <w:textAlignment w:val="baseline"/>
    </w:pPr>
    <w:rPr>
      <w:snapToGrid w:val="0"/>
      <w:kern w:val="0"/>
      <w:sz w:val="24"/>
      <w:szCs w:val="24"/>
    </w:rPr>
  </w:style>
  <w:style w:type="character" w:customStyle="1" w:styleId="222">
    <w:name w:val="title1"/>
    <w:qFormat/>
    <w:uiPriority w:val="0"/>
    <w:rPr>
      <w:rFonts w:hint="eastAsia" w:ascii="Verdana, Arial, 宋体" w:eastAsia="Verdana, Arial, 宋体"/>
      <w:b/>
      <w:bCs/>
      <w:color w:val="333333"/>
      <w:sz w:val="30"/>
      <w:szCs w:val="30"/>
    </w:rPr>
  </w:style>
  <w:style w:type="character" w:customStyle="1" w:styleId="223">
    <w:name w:val="报告书正文 Char2"/>
    <w:link w:val="224"/>
    <w:qFormat/>
    <w:uiPriority w:val="0"/>
    <w:rPr>
      <w:rFonts w:ascii="Times New Roman" w:hAnsi="Times New Roman"/>
      <w:kern w:val="2"/>
      <w:sz w:val="24"/>
    </w:rPr>
  </w:style>
  <w:style w:type="paragraph" w:customStyle="1" w:styleId="224">
    <w:name w:val="报告书正文"/>
    <w:basedOn w:val="1"/>
    <w:link w:val="223"/>
    <w:qFormat/>
    <w:uiPriority w:val="0"/>
    <w:pPr>
      <w:spacing w:line="300" w:lineRule="auto"/>
      <w:ind w:firstLine="200" w:firstLineChars="200"/>
    </w:pPr>
    <w:rPr>
      <w:rFonts w:ascii="Times New Roman" w:hAnsi="Times New Roman"/>
      <w:sz w:val="24"/>
      <w:szCs w:val="20"/>
    </w:rPr>
  </w:style>
  <w:style w:type="character" w:customStyle="1" w:styleId="225">
    <w:name w:val="表 Char"/>
    <w:link w:val="226"/>
    <w:qFormat/>
    <w:locked/>
    <w:uiPriority w:val="0"/>
    <w:rPr>
      <w:rFonts w:ascii="Times New Roman" w:hAnsi="Times New Roman"/>
      <w:sz w:val="21"/>
      <w:szCs w:val="28"/>
    </w:rPr>
  </w:style>
  <w:style w:type="paragraph" w:customStyle="1" w:styleId="226">
    <w:name w:val="表"/>
    <w:basedOn w:val="1"/>
    <w:next w:val="1"/>
    <w:link w:val="225"/>
    <w:qFormat/>
    <w:uiPriority w:val="0"/>
    <w:pPr>
      <w:adjustRightInd w:val="0"/>
      <w:snapToGrid w:val="0"/>
      <w:spacing w:line="288" w:lineRule="auto"/>
    </w:pPr>
    <w:rPr>
      <w:rFonts w:ascii="Times New Roman" w:hAnsi="Times New Roman"/>
      <w:kern w:val="0"/>
      <w:szCs w:val="28"/>
    </w:rPr>
  </w:style>
  <w:style w:type="character" w:customStyle="1" w:styleId="227">
    <w:name w:val="Char Char19"/>
    <w:qFormat/>
    <w:uiPriority w:val="0"/>
    <w:rPr>
      <w:rFonts w:ascii="宋体" w:hAnsi="Calibri" w:eastAsia="宋体" w:cs="Times New Roman"/>
      <w:sz w:val="18"/>
      <w:szCs w:val="18"/>
    </w:rPr>
  </w:style>
  <w:style w:type="character" w:customStyle="1" w:styleId="228">
    <w:name w:val="样式 样式 正文缩进s4 + 首行缩进:  2 字符 + 首行缩进:  2 字符 Char"/>
    <w:qFormat/>
    <w:uiPriority w:val="0"/>
    <w:rPr>
      <w:rFonts w:ascii="宋体" w:hAnsi="宋体" w:eastAsia="仿宋_GB2312" w:cs="宋体"/>
      <w:b/>
      <w:bCs/>
      <w:kern w:val="2"/>
      <w:sz w:val="28"/>
      <w:szCs w:val="32"/>
      <w:lang w:val="en-US" w:eastAsia="zh-CN" w:bidi="ar-SA"/>
    </w:rPr>
  </w:style>
  <w:style w:type="character" w:customStyle="1" w:styleId="229">
    <w:name w:val="表头 Char"/>
    <w:link w:val="230"/>
    <w:qFormat/>
    <w:uiPriority w:val="0"/>
    <w:rPr>
      <w:rFonts w:ascii="黑体" w:hAnsi="Times New Roman" w:eastAsia="黑体"/>
      <w:snapToGrid w:val="0"/>
      <w:sz w:val="24"/>
      <w:szCs w:val="24"/>
    </w:rPr>
  </w:style>
  <w:style w:type="paragraph" w:customStyle="1" w:styleId="230">
    <w:name w:val="表头"/>
    <w:basedOn w:val="1"/>
    <w:link w:val="229"/>
    <w:qFormat/>
    <w:uiPriority w:val="0"/>
    <w:pPr>
      <w:adjustRightInd w:val="0"/>
      <w:snapToGrid w:val="0"/>
      <w:spacing w:line="440" w:lineRule="atLeast"/>
    </w:pPr>
    <w:rPr>
      <w:rFonts w:ascii="黑体" w:hAnsi="Times New Roman" w:eastAsia="黑体"/>
      <w:snapToGrid w:val="0"/>
      <w:kern w:val="0"/>
      <w:sz w:val="24"/>
      <w:szCs w:val="24"/>
    </w:rPr>
  </w:style>
  <w:style w:type="character" w:customStyle="1" w:styleId="231">
    <w:name w:val="样式 样式 样式 正文缩进s4 + 首行缩进:  2 字符 + 首行缩进:  2 字符 + Char"/>
    <w:qFormat/>
    <w:uiPriority w:val="0"/>
    <w:rPr>
      <w:rFonts w:ascii="宋体" w:hAnsi="宋体" w:eastAsia="仿宋_GB2312" w:cs="宋体"/>
      <w:b/>
      <w:bCs/>
      <w:color w:val="000000"/>
      <w:kern w:val="2"/>
      <w:sz w:val="28"/>
      <w:szCs w:val="28"/>
      <w:lang w:val="en-US" w:eastAsia="zh-CN" w:bidi="ar-SA"/>
    </w:rPr>
  </w:style>
  <w:style w:type="character" w:customStyle="1" w:styleId="232">
    <w:name w:val="章标题 1 Char"/>
    <w:qFormat/>
    <w:uiPriority w:val="0"/>
    <w:rPr>
      <w:rFonts w:eastAsia="宋体"/>
      <w:b/>
      <w:kern w:val="44"/>
      <w:sz w:val="44"/>
      <w:lang w:val="en-US" w:eastAsia="zh-CN" w:bidi="ar-SA"/>
    </w:rPr>
  </w:style>
  <w:style w:type="character" w:customStyle="1" w:styleId="233">
    <w:name w:val="表头.tx Char"/>
    <w:link w:val="234"/>
    <w:qFormat/>
    <w:uiPriority w:val="0"/>
    <w:rPr>
      <w:rFonts w:ascii="Times New Roman" w:hAnsi="宋体"/>
      <w:kern w:val="2"/>
      <w:sz w:val="28"/>
      <w:szCs w:val="24"/>
    </w:rPr>
  </w:style>
  <w:style w:type="paragraph" w:customStyle="1" w:styleId="234">
    <w:name w:val="表头.tx"/>
    <w:basedOn w:val="1"/>
    <w:link w:val="233"/>
    <w:qFormat/>
    <w:uiPriority w:val="0"/>
    <w:pPr>
      <w:spacing w:before="156" w:beforeLines="50"/>
      <w:jc w:val="center"/>
    </w:pPr>
    <w:rPr>
      <w:rFonts w:ascii="Times New Roman" w:hAnsi="宋体"/>
      <w:sz w:val="28"/>
      <w:szCs w:val="24"/>
    </w:rPr>
  </w:style>
  <w:style w:type="character" w:customStyle="1" w:styleId="235">
    <w:name w:val="style121"/>
    <w:qFormat/>
    <w:uiPriority w:val="0"/>
    <w:rPr>
      <w:b/>
      <w:bCs/>
      <w:color w:val="FF0000"/>
    </w:rPr>
  </w:style>
  <w:style w:type="character" w:customStyle="1" w:styleId="236">
    <w:name w:val="pt121"/>
    <w:qFormat/>
    <w:uiPriority w:val="0"/>
    <w:rPr>
      <w:rFonts w:hint="eastAsia" w:ascii="宋体" w:hAnsi="宋体" w:eastAsia="宋体"/>
      <w:sz w:val="24"/>
      <w:szCs w:val="24"/>
    </w:rPr>
  </w:style>
  <w:style w:type="character" w:customStyle="1" w:styleId="237">
    <w:name w:val="docpro"/>
    <w:basedOn w:val="101"/>
    <w:qFormat/>
    <w:uiPriority w:val="0"/>
  </w:style>
  <w:style w:type="character" w:customStyle="1" w:styleId="238">
    <w:name w:val="t11"/>
    <w:qFormat/>
    <w:uiPriority w:val="0"/>
    <w:rPr>
      <w:sz w:val="21"/>
      <w:szCs w:val="21"/>
    </w:rPr>
  </w:style>
  <w:style w:type="character" w:customStyle="1" w:styleId="239">
    <w:name w:val="Normal Char"/>
    <w:link w:val="240"/>
    <w:qFormat/>
    <w:uiPriority w:val="0"/>
    <w:rPr>
      <w:rFonts w:ascii="Times New Roman" w:hAnsi="Times New Roman" w:eastAsia="仿宋_GB2312"/>
      <w:sz w:val="28"/>
      <w:lang w:val="en-US" w:eastAsia="zh-CN" w:bidi="ar-SA"/>
    </w:rPr>
  </w:style>
  <w:style w:type="paragraph" w:customStyle="1" w:styleId="240">
    <w:name w:val="正文2"/>
    <w:link w:val="239"/>
    <w:qFormat/>
    <w:uiPriority w:val="0"/>
    <w:pPr>
      <w:widowControl w:val="0"/>
      <w:adjustRightInd w:val="0"/>
      <w:jc w:val="center"/>
      <w:textAlignment w:val="baseline"/>
    </w:pPr>
    <w:rPr>
      <w:rFonts w:ascii="Times New Roman" w:hAnsi="Times New Roman" w:eastAsia="仿宋_GB2312" w:cs="Times New Roman"/>
      <w:sz w:val="28"/>
      <w:lang w:val="en-US" w:eastAsia="zh-CN" w:bidi="ar-SA"/>
    </w:rPr>
  </w:style>
  <w:style w:type="character" w:customStyle="1" w:styleId="241">
    <w:name w:val="标题 6 Char1"/>
    <w:qFormat/>
    <w:uiPriority w:val="0"/>
    <w:rPr>
      <w:sz w:val="24"/>
    </w:rPr>
  </w:style>
  <w:style w:type="character" w:customStyle="1" w:styleId="242">
    <w:name w:val="content"/>
    <w:basedOn w:val="101"/>
    <w:qFormat/>
    <w:uiPriority w:val="0"/>
  </w:style>
  <w:style w:type="character" w:customStyle="1" w:styleId="243">
    <w:name w:val="正文22 Char"/>
    <w:link w:val="244"/>
    <w:qFormat/>
    <w:uiPriority w:val="0"/>
    <w:rPr>
      <w:rFonts w:ascii="Times New Roman" w:hAnsi="Times New Roman"/>
      <w:sz w:val="24"/>
      <w:szCs w:val="24"/>
    </w:rPr>
  </w:style>
  <w:style w:type="paragraph" w:customStyle="1" w:styleId="244">
    <w:name w:val="正文22"/>
    <w:basedOn w:val="1"/>
    <w:link w:val="243"/>
    <w:qFormat/>
    <w:uiPriority w:val="0"/>
    <w:pPr>
      <w:adjustRightInd w:val="0"/>
      <w:spacing w:line="360" w:lineRule="auto"/>
      <w:ind w:firstLine="510"/>
      <w:textAlignment w:val="center"/>
    </w:pPr>
    <w:rPr>
      <w:rFonts w:ascii="Times New Roman" w:hAnsi="Times New Roman"/>
      <w:kern w:val="0"/>
      <w:sz w:val="24"/>
      <w:szCs w:val="24"/>
    </w:rPr>
  </w:style>
  <w:style w:type="character" w:customStyle="1" w:styleId="245">
    <w:name w:val="表格标题沣西新城 Char"/>
    <w:link w:val="246"/>
    <w:qFormat/>
    <w:uiPriority w:val="0"/>
    <w:rPr>
      <w:rFonts w:ascii="Times New Roman" w:hAnsi="Times New Roman" w:eastAsia="黑体"/>
      <w:b/>
      <w:sz w:val="21"/>
      <w:szCs w:val="24"/>
    </w:rPr>
  </w:style>
  <w:style w:type="paragraph" w:customStyle="1" w:styleId="246">
    <w:name w:val="表格标题沣西新城"/>
    <w:basedOn w:val="1"/>
    <w:link w:val="245"/>
    <w:qFormat/>
    <w:uiPriority w:val="0"/>
    <w:pPr>
      <w:adjustRightInd w:val="0"/>
      <w:spacing w:line="360" w:lineRule="auto"/>
      <w:jc w:val="center"/>
      <w:textAlignment w:val="center"/>
    </w:pPr>
    <w:rPr>
      <w:rFonts w:ascii="Times New Roman" w:hAnsi="Times New Roman" w:eastAsia="黑体"/>
      <w:b/>
      <w:kern w:val="0"/>
      <w:szCs w:val="24"/>
    </w:rPr>
  </w:style>
  <w:style w:type="character" w:customStyle="1" w:styleId="247">
    <w:name w:val="Char Char8"/>
    <w:qFormat/>
    <w:uiPriority w:val="0"/>
    <w:rPr>
      <w:rFonts w:ascii="宋体"/>
      <w:sz w:val="24"/>
    </w:rPr>
  </w:style>
  <w:style w:type="character" w:customStyle="1" w:styleId="248">
    <w:name w:val="Char Char Char Char1"/>
    <w:link w:val="249"/>
    <w:qFormat/>
    <w:uiPriority w:val="0"/>
    <w:rPr>
      <w:rFonts w:ascii="宋体" w:hAnsi="宋体" w:cs="宋体"/>
      <w:kern w:val="2"/>
      <w:sz w:val="24"/>
      <w:szCs w:val="24"/>
    </w:rPr>
  </w:style>
  <w:style w:type="paragraph" w:customStyle="1" w:styleId="249">
    <w:name w:val="Char Char Char1"/>
    <w:basedOn w:val="1"/>
    <w:link w:val="248"/>
    <w:qFormat/>
    <w:uiPriority w:val="0"/>
    <w:pPr>
      <w:spacing w:line="360" w:lineRule="auto"/>
      <w:ind w:firstLine="200" w:firstLineChars="200"/>
    </w:pPr>
    <w:rPr>
      <w:rFonts w:ascii="宋体" w:hAnsi="宋体"/>
      <w:sz w:val="24"/>
      <w:szCs w:val="24"/>
    </w:rPr>
  </w:style>
  <w:style w:type="character" w:customStyle="1" w:styleId="250">
    <w:name w:val="正文(首行缩进2字） Char"/>
    <w:link w:val="251"/>
    <w:qFormat/>
    <w:uiPriority w:val="0"/>
    <w:rPr>
      <w:rFonts w:ascii="Arial" w:hAnsi="Arial" w:cs="Arial"/>
      <w:kern w:val="2"/>
      <w:sz w:val="24"/>
      <w:szCs w:val="24"/>
    </w:rPr>
  </w:style>
  <w:style w:type="paragraph" w:customStyle="1" w:styleId="251">
    <w:name w:val="正文(首行缩进2字）"/>
    <w:basedOn w:val="1"/>
    <w:link w:val="250"/>
    <w:qFormat/>
    <w:uiPriority w:val="0"/>
    <w:pPr>
      <w:spacing w:line="360" w:lineRule="auto"/>
      <w:ind w:firstLine="480" w:firstLineChars="200"/>
    </w:pPr>
    <w:rPr>
      <w:rFonts w:ascii="Arial" w:hAnsi="Arial"/>
      <w:sz w:val="24"/>
      <w:szCs w:val="24"/>
    </w:rPr>
  </w:style>
  <w:style w:type="character" w:customStyle="1" w:styleId="252">
    <w:name w:val="表中文字 Char3"/>
    <w:qFormat/>
    <w:uiPriority w:val="0"/>
    <w:rPr>
      <w:rFonts w:ascii="宋体" w:eastAsia="宋体"/>
      <w:kern w:val="2"/>
      <w:sz w:val="32"/>
      <w:lang w:val="en-US" w:eastAsia="zh-CN" w:bidi="ar-SA"/>
    </w:rPr>
  </w:style>
  <w:style w:type="character" w:customStyle="1" w:styleId="253">
    <w:name w:val="表号 Char1"/>
    <w:link w:val="254"/>
    <w:qFormat/>
    <w:uiPriority w:val="0"/>
    <w:rPr>
      <w:rFonts w:ascii="Arial" w:hAnsi="Arial"/>
      <w:sz w:val="23"/>
      <w:lang w:val="en-US" w:eastAsia="zh-CN" w:bidi="ar-SA"/>
    </w:rPr>
  </w:style>
  <w:style w:type="paragraph" w:customStyle="1" w:styleId="254">
    <w:name w:val="表号"/>
    <w:link w:val="253"/>
    <w:qFormat/>
    <w:uiPriority w:val="0"/>
    <w:pPr>
      <w:adjustRightInd w:val="0"/>
      <w:snapToGrid w:val="0"/>
      <w:spacing w:line="480" w:lineRule="exact"/>
      <w:jc w:val="right"/>
    </w:pPr>
    <w:rPr>
      <w:rFonts w:ascii="Arial" w:hAnsi="Arial" w:eastAsia="宋体" w:cs="Times New Roman"/>
      <w:sz w:val="23"/>
      <w:lang w:val="en-US" w:eastAsia="zh-CN" w:bidi="ar-SA"/>
    </w:rPr>
  </w:style>
  <w:style w:type="character" w:customStyle="1" w:styleId="255">
    <w:name w:val="introtxt"/>
    <w:semiHidden/>
    <w:qFormat/>
    <w:uiPriority w:val="0"/>
    <w:rPr>
      <w:rFonts w:ascii="宋体" w:hAnsi="宋体" w:eastAsia="黑体" w:cs="宋体"/>
      <w:kern w:val="2"/>
      <w:sz w:val="30"/>
      <w:szCs w:val="24"/>
      <w:lang w:val="en-US" w:eastAsia="zh-CN" w:bidi="ar-SA"/>
    </w:rPr>
  </w:style>
  <w:style w:type="character" w:customStyle="1" w:styleId="256">
    <w:name w:val="1文本正文 Char"/>
    <w:link w:val="257"/>
    <w:qFormat/>
    <w:uiPriority w:val="0"/>
    <w:rPr>
      <w:rFonts w:ascii="Times New Roman" w:hAnsi="Times New Roman"/>
      <w:kern w:val="2"/>
      <w:sz w:val="24"/>
      <w:szCs w:val="24"/>
    </w:rPr>
  </w:style>
  <w:style w:type="paragraph" w:customStyle="1" w:styleId="257">
    <w:name w:val="1文本正文"/>
    <w:basedOn w:val="1"/>
    <w:link w:val="256"/>
    <w:qFormat/>
    <w:uiPriority w:val="0"/>
    <w:pPr>
      <w:spacing w:line="427" w:lineRule="exact"/>
      <w:ind w:firstLine="200" w:firstLineChars="200"/>
    </w:pPr>
    <w:rPr>
      <w:rFonts w:ascii="Times New Roman" w:hAnsi="Times New Roman"/>
      <w:sz w:val="24"/>
      <w:szCs w:val="24"/>
    </w:rPr>
  </w:style>
  <w:style w:type="character" w:customStyle="1" w:styleId="258">
    <w:name w:val="样式 表格 + Times New Roman Char"/>
    <w:link w:val="259"/>
    <w:qFormat/>
    <w:uiPriority w:val="0"/>
    <w:rPr>
      <w:rFonts w:ascii="Arial" w:hAnsi="Arial" w:cs="Arial"/>
      <w:snapToGrid w:val="0"/>
      <w:sz w:val="21"/>
      <w:szCs w:val="21"/>
    </w:rPr>
  </w:style>
  <w:style w:type="paragraph" w:customStyle="1" w:styleId="259">
    <w:name w:val="样式 表格 + Times New Roman"/>
    <w:basedOn w:val="1"/>
    <w:link w:val="258"/>
    <w:qFormat/>
    <w:uiPriority w:val="0"/>
    <w:pPr>
      <w:adjustRightInd w:val="0"/>
      <w:snapToGrid w:val="0"/>
      <w:spacing w:before="100" w:beforeAutospacing="1" w:after="100" w:afterAutospacing="1"/>
      <w:jc w:val="center"/>
    </w:pPr>
    <w:rPr>
      <w:rFonts w:ascii="Arial" w:hAnsi="Arial"/>
      <w:snapToGrid w:val="0"/>
      <w:kern w:val="0"/>
      <w:szCs w:val="21"/>
    </w:rPr>
  </w:style>
  <w:style w:type="character" w:customStyle="1" w:styleId="260">
    <w:name w:val="款标题 Char3"/>
    <w:qFormat/>
    <w:uiPriority w:val="0"/>
    <w:rPr>
      <w:rFonts w:ascii="Cambria" w:hAnsi="Cambria" w:eastAsia="宋体" w:cs="Times New Roman"/>
      <w:b/>
      <w:bCs/>
      <w:sz w:val="28"/>
      <w:szCs w:val="28"/>
    </w:rPr>
  </w:style>
  <w:style w:type="character" w:customStyle="1" w:styleId="261">
    <w:name w:val="样式 样式 左侧:  0.98 厘米 + 首行缩进:  2 字符 Char1"/>
    <w:link w:val="262"/>
    <w:qFormat/>
    <w:uiPriority w:val="0"/>
    <w:rPr>
      <w:rFonts w:ascii="宋体" w:hAnsi="宋体"/>
      <w:kern w:val="2"/>
      <w:sz w:val="24"/>
    </w:rPr>
  </w:style>
  <w:style w:type="paragraph" w:customStyle="1" w:styleId="262">
    <w:name w:val="样式 样式 左侧:  0.98 厘米 + 首行缩进:  2 字符"/>
    <w:basedOn w:val="1"/>
    <w:link w:val="261"/>
    <w:qFormat/>
    <w:uiPriority w:val="0"/>
    <w:pPr>
      <w:adjustRightInd w:val="0"/>
      <w:snapToGrid w:val="0"/>
      <w:spacing w:line="490" w:lineRule="exact"/>
      <w:ind w:firstLine="480" w:firstLineChars="200"/>
    </w:pPr>
    <w:rPr>
      <w:rFonts w:ascii="宋体" w:hAnsi="宋体"/>
      <w:sz w:val="24"/>
      <w:szCs w:val="20"/>
    </w:rPr>
  </w:style>
  <w:style w:type="character" w:customStyle="1" w:styleId="263">
    <w:name w:val="表文 Char Char Char"/>
    <w:qFormat/>
    <w:uiPriority w:val="0"/>
    <w:rPr>
      <w:rFonts w:eastAsia="宋体"/>
      <w:kern w:val="2"/>
      <w:sz w:val="24"/>
      <w:lang w:val="en-US" w:eastAsia="zh-CN" w:bidi="ar-SA"/>
    </w:rPr>
  </w:style>
  <w:style w:type="character" w:customStyle="1" w:styleId="264">
    <w:name w:val="Char Char17"/>
    <w:qFormat/>
    <w:uiPriority w:val="0"/>
    <w:rPr>
      <w:rFonts w:ascii="Times New Roman" w:hAnsi="Times New Roman" w:eastAsia="宋体" w:cs="Times New Roman"/>
      <w:sz w:val="18"/>
      <w:szCs w:val="18"/>
    </w:rPr>
  </w:style>
  <w:style w:type="character" w:customStyle="1" w:styleId="265">
    <w:name w:val="样式（ 正文） Char"/>
    <w:link w:val="266"/>
    <w:qFormat/>
    <w:uiPriority w:val="0"/>
    <w:rPr>
      <w:rFonts w:ascii="宋体" w:hAnsi="宋体"/>
      <w:color w:val="000000"/>
      <w:kern w:val="2"/>
      <w:sz w:val="24"/>
      <w:szCs w:val="32"/>
    </w:rPr>
  </w:style>
  <w:style w:type="paragraph" w:customStyle="1" w:styleId="266">
    <w:name w:val="样式（ 正文）"/>
    <w:basedOn w:val="2"/>
    <w:link w:val="265"/>
    <w:qFormat/>
    <w:uiPriority w:val="0"/>
    <w:pPr>
      <w:adjustRightInd w:val="0"/>
      <w:snapToGrid w:val="0"/>
      <w:spacing w:line="360" w:lineRule="auto"/>
      <w:ind w:firstLine="480"/>
    </w:pPr>
    <w:rPr>
      <w:rFonts w:ascii="宋体" w:hAnsi="宋体"/>
      <w:color w:val="000000"/>
      <w:sz w:val="24"/>
      <w:szCs w:val="32"/>
    </w:rPr>
  </w:style>
  <w:style w:type="character" w:customStyle="1" w:styleId="267">
    <w:name w:val="章标题 Char3"/>
    <w:qFormat/>
    <w:uiPriority w:val="0"/>
    <w:rPr>
      <w:rFonts w:ascii="Calibri" w:hAnsi="Calibri" w:eastAsia="宋体" w:cs="Times New Roman"/>
      <w:b/>
      <w:bCs/>
      <w:kern w:val="44"/>
      <w:sz w:val="44"/>
      <w:szCs w:val="44"/>
    </w:rPr>
  </w:style>
  <w:style w:type="character" w:customStyle="1" w:styleId="268">
    <w:name w:val="style51"/>
    <w:qFormat/>
    <w:uiPriority w:val="0"/>
    <w:rPr>
      <w:b/>
      <w:bCs/>
      <w:color w:val="000066"/>
      <w:sz w:val="40"/>
      <w:szCs w:val="40"/>
    </w:rPr>
  </w:style>
  <w:style w:type="character" w:customStyle="1" w:styleId="269">
    <w:name w:val="Char Char18"/>
    <w:qFormat/>
    <w:uiPriority w:val="0"/>
    <w:rPr>
      <w:rFonts w:ascii="Arial" w:hAnsi="Arial" w:eastAsia="黑体" w:cs="Arial"/>
      <w:szCs w:val="20"/>
    </w:rPr>
  </w:style>
  <w:style w:type="character" w:customStyle="1" w:styleId="270">
    <w:name w:val="Char Char16"/>
    <w:qFormat/>
    <w:uiPriority w:val="0"/>
    <w:rPr>
      <w:rFonts w:ascii="Times New Roman" w:hAnsi="Times New Roman"/>
      <w:kern w:val="2"/>
      <w:sz w:val="24"/>
    </w:rPr>
  </w:style>
  <w:style w:type="character" w:customStyle="1" w:styleId="271">
    <w:name w:val="标题 1 Char1"/>
    <w:qFormat/>
    <w:uiPriority w:val="0"/>
    <w:rPr>
      <w:b/>
      <w:kern w:val="44"/>
      <w:sz w:val="24"/>
    </w:rPr>
  </w:style>
  <w:style w:type="character" w:customStyle="1" w:styleId="272">
    <w:name w:val="正文文本 2 Char1"/>
    <w:semiHidden/>
    <w:qFormat/>
    <w:uiPriority w:val="99"/>
    <w:rPr>
      <w:kern w:val="2"/>
      <w:sz w:val="21"/>
      <w:szCs w:val="22"/>
    </w:rPr>
  </w:style>
  <w:style w:type="character" w:customStyle="1" w:styleId="273">
    <w:name w:val="表头 Char2"/>
    <w:qFormat/>
    <w:uiPriority w:val="0"/>
    <w:rPr>
      <w:rFonts w:ascii="黑体" w:eastAsia="黑体"/>
      <w:snapToGrid w:val="0"/>
      <w:sz w:val="24"/>
      <w:szCs w:val="24"/>
      <w:lang w:val="en-US" w:eastAsia="zh-CN" w:bidi="ar-SA"/>
    </w:rPr>
  </w:style>
  <w:style w:type="character" w:customStyle="1" w:styleId="274">
    <w:name w:val="Char Char15"/>
    <w:qFormat/>
    <w:uiPriority w:val="0"/>
    <w:rPr>
      <w:rFonts w:ascii="Times New Roman" w:hAnsi="Times New Roman"/>
      <w:b/>
      <w:bCs/>
      <w:kern w:val="2"/>
      <w:sz w:val="21"/>
      <w:szCs w:val="24"/>
    </w:rPr>
  </w:style>
  <w:style w:type="character" w:customStyle="1" w:styleId="275">
    <w:name w:val="样式 样式 正文文本 + 首行缩进:  2 字符 + 自动设置 Char"/>
    <w:link w:val="276"/>
    <w:qFormat/>
    <w:uiPriority w:val="0"/>
    <w:rPr>
      <w:rFonts w:ascii="Times New Roman" w:hAnsi="Times New Roman"/>
      <w:snapToGrid w:val="0"/>
      <w:color w:val="0000FF"/>
      <w:sz w:val="24"/>
      <w:szCs w:val="28"/>
    </w:rPr>
  </w:style>
  <w:style w:type="paragraph" w:customStyle="1" w:styleId="276">
    <w:name w:val="样式 样式 正文文本 + 首行缩进:  2 字符 + 自动设置"/>
    <w:basedOn w:val="1"/>
    <w:link w:val="275"/>
    <w:qFormat/>
    <w:uiPriority w:val="0"/>
    <w:pPr>
      <w:autoSpaceDE w:val="0"/>
      <w:autoSpaceDN w:val="0"/>
      <w:adjustRightInd w:val="0"/>
      <w:snapToGrid w:val="0"/>
      <w:spacing w:line="360" w:lineRule="auto"/>
      <w:ind w:firstLine="480" w:firstLineChars="200"/>
      <w:textAlignment w:val="bottom"/>
    </w:pPr>
    <w:rPr>
      <w:rFonts w:ascii="Times New Roman" w:hAnsi="Times New Roman"/>
      <w:snapToGrid w:val="0"/>
      <w:color w:val="0000FF"/>
      <w:kern w:val="0"/>
      <w:sz w:val="24"/>
      <w:szCs w:val="28"/>
    </w:rPr>
  </w:style>
  <w:style w:type="character" w:customStyle="1" w:styleId="277">
    <w:name w:val="正文文字缩进 Char Char1"/>
    <w:qFormat/>
    <w:uiPriority w:val="0"/>
    <w:rPr>
      <w:rFonts w:ascii="Times New Roman" w:hAnsi="Times New Roman"/>
      <w:kern w:val="2"/>
      <w:sz w:val="21"/>
      <w:szCs w:val="24"/>
    </w:rPr>
  </w:style>
  <w:style w:type="character" w:customStyle="1" w:styleId="278">
    <w:name w:val="款标题 Char2"/>
    <w:qFormat/>
    <w:uiPriority w:val="0"/>
    <w:rPr>
      <w:rFonts w:ascii="Arial" w:hAnsi="Arial" w:eastAsia="黑体" w:cs="宋体"/>
      <w:kern w:val="2"/>
      <w:sz w:val="30"/>
      <w:szCs w:val="24"/>
      <w:lang w:val="en-US" w:eastAsia="zh-CN" w:bidi="ar-SA"/>
    </w:rPr>
  </w:style>
  <w:style w:type="character" w:customStyle="1" w:styleId="279">
    <w:name w:val="Char Char11"/>
    <w:qFormat/>
    <w:uiPriority w:val="0"/>
    <w:rPr>
      <w:rFonts w:ascii="Arial" w:hAnsi="Arial" w:eastAsia="黑体" w:cs="Arial"/>
      <w:kern w:val="2"/>
      <w:sz w:val="21"/>
      <w:szCs w:val="24"/>
      <w:lang w:val="en-US" w:eastAsia="zh-CN" w:bidi="ar-SA"/>
    </w:rPr>
  </w:style>
  <w:style w:type="character" w:customStyle="1" w:styleId="280">
    <w:name w:val="Char Char10"/>
    <w:qFormat/>
    <w:uiPriority w:val="0"/>
    <w:rPr>
      <w:rFonts w:eastAsia="宋体"/>
      <w:sz w:val="24"/>
      <w:lang w:val="en-US" w:eastAsia="zh-CN" w:bidi="ar-SA"/>
    </w:rPr>
  </w:style>
  <w:style w:type="character" w:customStyle="1" w:styleId="281">
    <w:name w:val="页角２ Char"/>
    <w:link w:val="282"/>
    <w:qFormat/>
    <w:uiPriority w:val="0"/>
    <w:rPr>
      <w:rFonts w:ascii="黑体" w:hAnsi="Times New Roman" w:eastAsia="黑体"/>
      <w:kern w:val="2"/>
      <w:sz w:val="21"/>
      <w:szCs w:val="21"/>
    </w:rPr>
  </w:style>
  <w:style w:type="paragraph" w:customStyle="1" w:styleId="282">
    <w:name w:val="页角２"/>
    <w:basedOn w:val="60"/>
    <w:link w:val="281"/>
    <w:qFormat/>
    <w:uiPriority w:val="0"/>
    <w:pPr>
      <w:pBdr>
        <w:top w:val="single" w:color="auto" w:sz="2" w:space="1"/>
      </w:pBdr>
      <w:adjustRightInd/>
      <w:snapToGrid w:val="0"/>
      <w:spacing w:line="240" w:lineRule="auto"/>
      <w:ind w:firstLine="0"/>
      <w:jc w:val="both"/>
      <w:textAlignment w:val="auto"/>
    </w:pPr>
    <w:rPr>
      <w:rFonts w:ascii="黑体" w:eastAsia="黑体"/>
      <w:kern w:val="2"/>
      <w:sz w:val="21"/>
      <w:szCs w:val="21"/>
    </w:rPr>
  </w:style>
  <w:style w:type="character" w:customStyle="1" w:styleId="283">
    <w:name w:val="headline-content2"/>
    <w:qFormat/>
    <w:uiPriority w:val="0"/>
    <w:rPr>
      <w:rFonts w:ascii="宋体" w:hAnsi="宋体" w:eastAsia="宋体" w:cs="宋体"/>
      <w:kern w:val="2"/>
      <w:sz w:val="24"/>
      <w:szCs w:val="24"/>
      <w:lang w:val="en-US" w:eastAsia="zh-CN" w:bidi="ar-SA"/>
    </w:rPr>
  </w:style>
  <w:style w:type="character" w:customStyle="1" w:styleId="284">
    <w:name w:val="款标题 Char Char"/>
    <w:qFormat/>
    <w:uiPriority w:val="0"/>
    <w:rPr>
      <w:rFonts w:ascii="Arial" w:hAnsi="Arial" w:eastAsia="黑体"/>
      <w:b/>
      <w:kern w:val="2"/>
      <w:sz w:val="28"/>
      <w:lang w:val="en-US" w:eastAsia="zh-CN" w:bidi="ar-SA"/>
    </w:rPr>
  </w:style>
  <w:style w:type="character" w:customStyle="1" w:styleId="285">
    <w:name w:val="Char Char5"/>
    <w:qFormat/>
    <w:uiPriority w:val="0"/>
    <w:rPr>
      <w:rFonts w:ascii="宋体" w:hAnsi="宋体" w:eastAsia="宋体" w:cs="宋体"/>
      <w:kern w:val="2"/>
      <w:sz w:val="18"/>
      <w:szCs w:val="18"/>
      <w:lang w:val="en-US" w:eastAsia="zh-CN" w:bidi="ar-SA"/>
    </w:rPr>
  </w:style>
  <w:style w:type="character" w:customStyle="1" w:styleId="286">
    <w:name w:val="Char Char9"/>
    <w:qFormat/>
    <w:uiPriority w:val="0"/>
    <w:rPr>
      <w:rFonts w:ascii="宋体" w:hAnsi="宋体" w:eastAsia="宋体" w:cs="宋体"/>
      <w:kern w:val="2"/>
      <w:sz w:val="18"/>
      <w:szCs w:val="24"/>
      <w:lang w:val="en-US" w:eastAsia="zh-CN" w:bidi="ar-SA"/>
    </w:rPr>
  </w:style>
  <w:style w:type="character" w:customStyle="1" w:styleId="287">
    <w:name w:val="newstxt"/>
    <w:qFormat/>
    <w:uiPriority w:val="0"/>
    <w:rPr>
      <w:rFonts w:ascii="宋体" w:hAnsi="宋体" w:eastAsia="宋体" w:cs="宋体"/>
      <w:kern w:val="2"/>
      <w:sz w:val="24"/>
      <w:szCs w:val="24"/>
      <w:lang w:val="en-US" w:eastAsia="zh-CN" w:bidi="ar-SA"/>
    </w:rPr>
  </w:style>
  <w:style w:type="character" w:customStyle="1" w:styleId="288">
    <w:name w:val="章标题 Char Char"/>
    <w:qFormat/>
    <w:uiPriority w:val="0"/>
    <w:rPr>
      <w:rFonts w:ascii="Calibri" w:hAnsi="Calibri" w:eastAsia="宋体" w:cs="Times New Roman"/>
      <w:b/>
      <w:bCs/>
      <w:kern w:val="44"/>
      <w:sz w:val="44"/>
      <w:szCs w:val="44"/>
    </w:rPr>
  </w:style>
  <w:style w:type="character" w:customStyle="1" w:styleId="289">
    <w:name w:val="title5"/>
    <w:qFormat/>
    <w:uiPriority w:val="0"/>
    <w:rPr>
      <w:rFonts w:ascii="宋体" w:hAnsi="宋体" w:eastAsia="宋体" w:cs="宋体"/>
      <w:kern w:val="2"/>
      <w:sz w:val="24"/>
      <w:szCs w:val="24"/>
      <w:lang w:val="en-US" w:eastAsia="zh-CN" w:bidi="ar-SA"/>
    </w:rPr>
  </w:style>
  <w:style w:type="character" w:customStyle="1" w:styleId="290">
    <w:name w:val="表中文字 Char Char1"/>
    <w:qFormat/>
    <w:uiPriority w:val="0"/>
    <w:rPr>
      <w:rFonts w:ascii="宋体" w:hAnsi="宋体" w:eastAsia="宋体" w:cs="宋体"/>
      <w:kern w:val="2"/>
      <w:sz w:val="24"/>
      <w:szCs w:val="24"/>
      <w:lang w:val="en-US" w:eastAsia="zh-CN" w:bidi="ar-SA"/>
    </w:rPr>
  </w:style>
  <w:style w:type="character" w:customStyle="1" w:styleId="291">
    <w:name w:val="表中文字 Char Char"/>
    <w:qFormat/>
    <w:uiPriority w:val="0"/>
    <w:rPr>
      <w:rFonts w:ascii="宋体" w:hAnsi="宋体" w:eastAsia="宋体" w:cs="宋体"/>
      <w:kern w:val="2"/>
      <w:sz w:val="24"/>
      <w:szCs w:val="24"/>
      <w:lang w:val="en-US" w:eastAsia="zh-CN" w:bidi="ar-SA"/>
    </w:rPr>
  </w:style>
  <w:style w:type="character" w:customStyle="1" w:styleId="292">
    <w:name w:val="Char Char14"/>
    <w:qFormat/>
    <w:uiPriority w:val="0"/>
    <w:rPr>
      <w:rFonts w:ascii="Calibri" w:hAnsi="Calibri" w:eastAsia="宋体" w:cs="Times New Roman"/>
      <w:b/>
      <w:bCs/>
      <w:sz w:val="24"/>
      <w:szCs w:val="24"/>
    </w:rPr>
  </w:style>
  <w:style w:type="character" w:customStyle="1" w:styleId="293">
    <w:name w:val="正文文本最新 Char Char Char Char1 Char Char"/>
    <w:link w:val="294"/>
    <w:qFormat/>
    <w:uiPriority w:val="0"/>
    <w:rPr>
      <w:rFonts w:ascii="Times New Roman" w:hAnsi="Times New Roman"/>
      <w:bCs/>
      <w:kern w:val="2"/>
      <w:sz w:val="28"/>
      <w:szCs w:val="24"/>
    </w:rPr>
  </w:style>
  <w:style w:type="paragraph" w:customStyle="1" w:styleId="294">
    <w:name w:val="正文文本最新 Char Char Char Char1 Char"/>
    <w:basedOn w:val="1"/>
    <w:link w:val="293"/>
    <w:qFormat/>
    <w:uiPriority w:val="0"/>
    <w:pPr>
      <w:spacing w:line="360" w:lineRule="auto"/>
      <w:ind w:firstLine="200" w:firstLineChars="200"/>
    </w:pPr>
    <w:rPr>
      <w:rFonts w:ascii="Times New Roman" w:hAnsi="Times New Roman"/>
      <w:bCs/>
      <w:sz w:val="28"/>
      <w:szCs w:val="24"/>
    </w:rPr>
  </w:style>
  <w:style w:type="character" w:customStyle="1" w:styleId="295">
    <w:name w:val="f141"/>
    <w:qFormat/>
    <w:uiPriority w:val="0"/>
    <w:rPr>
      <w:rFonts w:ascii="宋体" w:hAnsi="宋体" w:eastAsia="宋体" w:cs="宋体"/>
      <w:kern w:val="2"/>
      <w:sz w:val="22"/>
      <w:szCs w:val="22"/>
      <w:lang w:val="en-US" w:eastAsia="zh-CN" w:bidi="ar-SA"/>
    </w:rPr>
  </w:style>
  <w:style w:type="character" w:customStyle="1" w:styleId="296">
    <w:name w:val="页脚 Char Char Char"/>
    <w:qFormat/>
    <w:uiPriority w:val="0"/>
    <w:rPr>
      <w:rFonts w:ascii="宋体" w:hAnsi="宋体" w:eastAsia="宋体" w:cs="宋体"/>
      <w:kern w:val="2"/>
      <w:sz w:val="18"/>
      <w:szCs w:val="18"/>
      <w:lang w:val="en-US" w:eastAsia="zh-CN" w:bidi="ar-SA"/>
    </w:rPr>
  </w:style>
  <w:style w:type="character" w:customStyle="1" w:styleId="297">
    <w:name w:val="正文首行缩进 2 Char1"/>
    <w:link w:val="298"/>
    <w:qFormat/>
    <w:uiPriority w:val="0"/>
    <w:rPr>
      <w:rFonts w:ascii="Times New Roman" w:hAnsi="Times New Roman"/>
      <w:sz w:val="28"/>
      <w:szCs w:val="24"/>
    </w:rPr>
  </w:style>
  <w:style w:type="paragraph" w:customStyle="1" w:styleId="298">
    <w:name w:val="正文文本首行缩进 21"/>
    <w:basedOn w:val="299"/>
    <w:link w:val="297"/>
    <w:qFormat/>
    <w:uiPriority w:val="0"/>
    <w:pPr>
      <w:spacing w:after="120"/>
      <w:ind w:left="420" w:leftChars="200" w:firstLine="420" w:firstLineChars="200"/>
    </w:pPr>
    <w:rPr>
      <w:szCs w:val="24"/>
    </w:rPr>
  </w:style>
  <w:style w:type="paragraph" w:customStyle="1" w:styleId="299">
    <w:name w:val="正文文本缩进1"/>
    <w:basedOn w:val="1"/>
    <w:qFormat/>
    <w:uiPriority w:val="0"/>
    <w:pPr>
      <w:ind w:firstLine="720" w:firstLineChars="257"/>
    </w:pPr>
    <w:rPr>
      <w:rFonts w:ascii="Times New Roman" w:hAnsi="Times New Roman"/>
      <w:kern w:val="0"/>
      <w:sz w:val="28"/>
      <w:szCs w:val="20"/>
    </w:rPr>
  </w:style>
  <w:style w:type="character" w:customStyle="1" w:styleId="300">
    <w:name w:val="alan正文 Char"/>
    <w:link w:val="301"/>
    <w:qFormat/>
    <w:uiPriority w:val="0"/>
    <w:rPr>
      <w:rFonts w:ascii="Times New Roman" w:hAnsi="Times New Roman"/>
      <w:kern w:val="2"/>
      <w:sz w:val="28"/>
      <w:szCs w:val="24"/>
    </w:rPr>
  </w:style>
  <w:style w:type="paragraph" w:customStyle="1" w:styleId="301">
    <w:name w:val="alan正文"/>
    <w:basedOn w:val="1"/>
    <w:link w:val="300"/>
    <w:qFormat/>
    <w:uiPriority w:val="0"/>
    <w:pPr>
      <w:spacing w:line="520" w:lineRule="exact"/>
      <w:ind w:firstLine="200" w:firstLineChars="200"/>
    </w:pPr>
    <w:rPr>
      <w:rFonts w:ascii="Times New Roman" w:hAnsi="Times New Roman"/>
      <w:sz w:val="28"/>
      <w:szCs w:val="24"/>
    </w:rPr>
  </w:style>
  <w:style w:type="character" w:customStyle="1" w:styleId="302">
    <w:name w:val="项标题(1) Char2"/>
    <w:qFormat/>
    <w:uiPriority w:val="0"/>
    <w:rPr>
      <w:rFonts w:ascii="宋体" w:hAnsi="宋体" w:eastAsia="宋体" w:cs="宋体"/>
      <w:b/>
      <w:bCs/>
      <w:kern w:val="2"/>
      <w:sz w:val="24"/>
      <w:szCs w:val="24"/>
      <w:lang w:val="en-US" w:eastAsia="zh-CN" w:bidi="ar-SA"/>
    </w:rPr>
  </w:style>
  <w:style w:type="character" w:customStyle="1" w:styleId="303">
    <w:name w:val="批注框文本 Char1"/>
    <w:qFormat/>
    <w:uiPriority w:val="0"/>
    <w:rPr>
      <w:rFonts w:ascii="Times New Roman" w:hAnsi="Times New Roman" w:eastAsia="宋体" w:cs="Times New Roman"/>
      <w:sz w:val="18"/>
      <w:szCs w:val="18"/>
    </w:rPr>
  </w:style>
  <w:style w:type="character" w:customStyle="1" w:styleId="304">
    <w:name w:val="奇数页眉 Char Char"/>
    <w:qFormat/>
    <w:uiPriority w:val="0"/>
    <w:rPr>
      <w:rFonts w:ascii="Times New Roman" w:hAnsi="Times New Roman"/>
    </w:rPr>
  </w:style>
  <w:style w:type="character" w:customStyle="1" w:styleId="305">
    <w:name w:val="正文文本缩进 3 Char1"/>
    <w:qFormat/>
    <w:uiPriority w:val="0"/>
    <w:rPr>
      <w:rFonts w:ascii="Times New Roman" w:hAnsi="Times New Roman" w:eastAsia="宋体" w:cs="Times New Roman"/>
      <w:sz w:val="16"/>
      <w:szCs w:val="16"/>
    </w:rPr>
  </w:style>
  <w:style w:type="character" w:customStyle="1" w:styleId="306">
    <w:name w:val="学位论文页眉 Char"/>
    <w:qFormat/>
    <w:uiPriority w:val="0"/>
    <w:rPr>
      <w:rFonts w:eastAsia="宋体"/>
      <w:lang w:val="en-US" w:eastAsia="zh-CN" w:bidi="ar-SA"/>
    </w:rPr>
  </w:style>
  <w:style w:type="character" w:customStyle="1" w:styleId="307">
    <w:name w:val="纯文本 Char1"/>
    <w:link w:val="308"/>
    <w:qFormat/>
    <w:uiPriority w:val="0"/>
    <w:rPr>
      <w:rFonts w:ascii="宋体" w:hAnsi="Times New Roman"/>
      <w:sz w:val="24"/>
    </w:rPr>
  </w:style>
  <w:style w:type="paragraph" w:customStyle="1" w:styleId="308">
    <w:name w:val="纯文本2"/>
    <w:basedOn w:val="1"/>
    <w:link w:val="307"/>
    <w:qFormat/>
    <w:uiPriority w:val="0"/>
    <w:pPr>
      <w:adjustRightInd w:val="0"/>
      <w:textAlignment w:val="baseline"/>
    </w:pPr>
    <w:rPr>
      <w:rFonts w:ascii="宋体" w:hAnsi="Times New Roman"/>
      <w:kern w:val="0"/>
      <w:sz w:val="24"/>
      <w:szCs w:val="20"/>
    </w:rPr>
  </w:style>
  <w:style w:type="character" w:customStyle="1" w:styleId="309">
    <w:name w:val="项标题(1) Char3"/>
    <w:qFormat/>
    <w:uiPriority w:val="0"/>
    <w:rPr>
      <w:rFonts w:ascii="Calibri" w:hAnsi="Calibri" w:eastAsia="宋体" w:cs="Times New Roman"/>
      <w:b/>
      <w:bCs/>
      <w:sz w:val="24"/>
      <w:szCs w:val="24"/>
    </w:rPr>
  </w:style>
  <w:style w:type="character" w:customStyle="1" w:styleId="310">
    <w:name w:val="表中文字 Char Char2"/>
    <w:qFormat/>
    <w:uiPriority w:val="0"/>
    <w:rPr>
      <w:rFonts w:ascii="Calibri" w:hAnsi="Calibri" w:eastAsia="宋体" w:cs="Times New Roman"/>
    </w:rPr>
  </w:style>
  <w:style w:type="character" w:customStyle="1" w:styleId="311">
    <w:name w:val="我的正文 Char"/>
    <w:link w:val="312"/>
    <w:qFormat/>
    <w:uiPriority w:val="0"/>
    <w:rPr>
      <w:rFonts w:ascii="Times New Roman" w:hAnsi="Times New Roman"/>
      <w:kern w:val="2"/>
      <w:sz w:val="24"/>
      <w:szCs w:val="24"/>
    </w:rPr>
  </w:style>
  <w:style w:type="paragraph" w:customStyle="1" w:styleId="312">
    <w:name w:val="我的正文"/>
    <w:basedOn w:val="1"/>
    <w:link w:val="311"/>
    <w:qFormat/>
    <w:uiPriority w:val="0"/>
    <w:pPr>
      <w:spacing w:line="360" w:lineRule="auto"/>
      <w:ind w:firstLine="200" w:firstLineChars="200"/>
    </w:pPr>
    <w:rPr>
      <w:rFonts w:ascii="Times New Roman" w:hAnsi="Times New Roman"/>
      <w:sz w:val="24"/>
      <w:szCs w:val="24"/>
    </w:rPr>
  </w:style>
  <w:style w:type="character" w:customStyle="1" w:styleId="313">
    <w:name w:val="正文文本缩进 2 Char1"/>
    <w:qFormat/>
    <w:uiPriority w:val="0"/>
    <w:rPr>
      <w:rFonts w:ascii="Times New Roman" w:hAnsi="Times New Roman" w:eastAsia="宋体" w:cs="Times New Roman"/>
      <w:szCs w:val="24"/>
    </w:rPr>
  </w:style>
  <w:style w:type="character" w:customStyle="1" w:styleId="314">
    <w:name w:val="正文首行缩进 2 Char2"/>
    <w:semiHidden/>
    <w:qFormat/>
    <w:uiPriority w:val="99"/>
    <w:rPr>
      <w:rFonts w:ascii="Times New Roman" w:hAnsi="Times New Roman" w:eastAsia="宋体" w:cs="Times New Roman"/>
      <w:sz w:val="24"/>
      <w:szCs w:val="24"/>
    </w:rPr>
  </w:style>
  <w:style w:type="character" w:customStyle="1" w:styleId="315">
    <w:name w:val="Char Char2"/>
    <w:link w:val="316"/>
    <w:qFormat/>
    <w:uiPriority w:val="0"/>
    <w:rPr>
      <w:rFonts w:ascii="宋体" w:hAnsi="宋体" w:cs="宋体"/>
      <w:kern w:val="2"/>
      <w:sz w:val="24"/>
      <w:szCs w:val="24"/>
    </w:rPr>
  </w:style>
  <w:style w:type="paragraph" w:customStyle="1" w:styleId="316">
    <w:name w:val="Char"/>
    <w:basedOn w:val="1"/>
    <w:link w:val="315"/>
    <w:qFormat/>
    <w:uiPriority w:val="0"/>
    <w:rPr>
      <w:rFonts w:ascii="宋体" w:hAnsi="宋体"/>
      <w:sz w:val="24"/>
      <w:szCs w:val="24"/>
    </w:rPr>
  </w:style>
  <w:style w:type="character" w:customStyle="1" w:styleId="317">
    <w:name w:val="正文文本 3 Char1"/>
    <w:qFormat/>
    <w:uiPriority w:val="0"/>
    <w:rPr>
      <w:rFonts w:ascii="Times New Roman" w:hAnsi="Times New Roman" w:eastAsia="宋体" w:cs="Times New Roman"/>
      <w:color w:val="0000FF"/>
      <w:sz w:val="28"/>
      <w:szCs w:val="20"/>
    </w:rPr>
  </w:style>
  <w:style w:type="character" w:customStyle="1" w:styleId="318">
    <w:name w:val="日期 Char2"/>
    <w:semiHidden/>
    <w:qFormat/>
    <w:uiPriority w:val="99"/>
    <w:rPr>
      <w:rFonts w:ascii="Times New Roman" w:hAnsi="Times New Roman" w:eastAsia="宋体" w:cs="Times New Roman"/>
      <w:szCs w:val="24"/>
    </w:rPr>
  </w:style>
  <w:style w:type="character" w:customStyle="1" w:styleId="319">
    <w:name w:val="headline-content"/>
    <w:basedOn w:val="101"/>
    <w:qFormat/>
    <w:uiPriority w:val="0"/>
  </w:style>
  <w:style w:type="character" w:customStyle="1" w:styleId="320">
    <w:name w:val="标题1"/>
    <w:basedOn w:val="101"/>
    <w:qFormat/>
    <w:uiPriority w:val="0"/>
  </w:style>
  <w:style w:type="character" w:customStyle="1" w:styleId="321">
    <w:name w:val="h31"/>
    <w:qFormat/>
    <w:uiPriority w:val="0"/>
    <w:rPr>
      <w:spacing w:val="330"/>
      <w:sz w:val="21"/>
      <w:szCs w:val="21"/>
    </w:rPr>
  </w:style>
  <w:style w:type="character" w:customStyle="1" w:styleId="322">
    <w:name w:val="新的表格文字 Char"/>
    <w:link w:val="323"/>
    <w:qFormat/>
    <w:uiPriority w:val="0"/>
    <w:rPr>
      <w:rFonts w:eastAsia="宋体"/>
      <w:kern w:val="2"/>
      <w:sz w:val="18"/>
      <w:szCs w:val="22"/>
      <w:lang w:val="en-US" w:eastAsia="zh-CN" w:bidi="ar-SA"/>
    </w:rPr>
  </w:style>
  <w:style w:type="paragraph" w:customStyle="1" w:styleId="323">
    <w:name w:val="新的表格文字"/>
    <w:basedOn w:val="1"/>
    <w:link w:val="322"/>
    <w:qFormat/>
    <w:uiPriority w:val="0"/>
    <w:pPr>
      <w:spacing w:line="280" w:lineRule="exact"/>
      <w:jc w:val="center"/>
    </w:pPr>
    <w:rPr>
      <w:rFonts w:ascii="Times New Roman" w:hAnsi="Times New Roman"/>
      <w:sz w:val="18"/>
    </w:rPr>
  </w:style>
  <w:style w:type="paragraph" w:customStyle="1" w:styleId="324">
    <w:name w:val="xl88"/>
    <w:basedOn w:val="1"/>
    <w:qFormat/>
    <w:uiPriority w:val="0"/>
    <w:pPr>
      <w:pBdr>
        <w:bottom w:val="single" w:color="auto" w:sz="8" w:space="0"/>
        <w:right w:val="single" w:color="auto" w:sz="8" w:space="0"/>
      </w:pBdr>
      <w:spacing w:before="100" w:beforeAutospacing="1" w:after="100" w:afterAutospacing="1"/>
      <w:textAlignment w:val="top"/>
    </w:pPr>
    <w:rPr>
      <w:rFonts w:ascii="宋体" w:hAnsi="宋体" w:cs="宋体"/>
      <w:b/>
      <w:bCs/>
      <w:color w:val="993366"/>
      <w:kern w:val="0"/>
      <w:sz w:val="18"/>
      <w:szCs w:val="18"/>
    </w:rPr>
  </w:style>
  <w:style w:type="paragraph" w:customStyle="1" w:styleId="325">
    <w:name w:val="表5号字"/>
    <w:qFormat/>
    <w:uiPriority w:val="0"/>
    <w:pPr>
      <w:keepNext/>
      <w:widowControl w:val="0"/>
      <w:adjustRightInd w:val="0"/>
      <w:spacing w:before="120" w:line="60" w:lineRule="atLeast"/>
      <w:jc w:val="center"/>
    </w:pPr>
    <w:rPr>
      <w:rFonts w:ascii="Times New Roman" w:hAnsi="Times New Roman" w:eastAsia="宋体" w:cs="Times New Roman"/>
      <w:sz w:val="21"/>
      <w:lang w:val="en-US" w:eastAsia="zh-CN" w:bidi="ar-SA"/>
    </w:rPr>
  </w:style>
  <w:style w:type="paragraph" w:customStyle="1" w:styleId="326">
    <w:name w:val="样式 标题 2节标题 1.11.1标题2b2节标题h2l22nd levelTitre22Header 2...1"/>
    <w:basedOn w:val="6"/>
    <w:qFormat/>
    <w:uiPriority w:val="0"/>
    <w:pPr>
      <w:tabs>
        <w:tab w:val="left" w:pos="578"/>
      </w:tabs>
      <w:adjustRightInd w:val="0"/>
      <w:snapToGrid w:val="0"/>
      <w:spacing w:before="76" w:beforeLines="20" w:after="76" w:line="240" w:lineRule="auto"/>
    </w:pPr>
    <w:rPr>
      <w:rFonts w:cs="宋体"/>
      <w:kern w:val="0"/>
      <w:sz w:val="28"/>
      <w:szCs w:val="20"/>
    </w:rPr>
  </w:style>
  <w:style w:type="paragraph" w:customStyle="1" w:styleId="327">
    <w:name w:val="Char Char Char Char Char Char Char Char Char1 Char Char Char Char"/>
    <w:basedOn w:val="1"/>
    <w:qFormat/>
    <w:uiPriority w:val="0"/>
    <w:pPr>
      <w:spacing w:line="360" w:lineRule="auto"/>
      <w:ind w:firstLine="200" w:firstLineChars="200"/>
    </w:pPr>
    <w:rPr>
      <w:rFonts w:ascii="宋体" w:hAnsi="宋体"/>
      <w:sz w:val="24"/>
      <w:szCs w:val="20"/>
    </w:rPr>
  </w:style>
  <w:style w:type="paragraph" w:customStyle="1" w:styleId="328">
    <w:name w:val="Char1 Char Char Char"/>
    <w:basedOn w:val="1"/>
    <w:qFormat/>
    <w:uiPriority w:val="0"/>
    <w:pPr>
      <w:spacing w:before="50" w:beforeLines="50"/>
      <w:ind w:firstLine="200" w:firstLineChars="200"/>
    </w:pPr>
    <w:rPr>
      <w:rFonts w:ascii="Times New Roman" w:hAnsi="Times New Roman" w:eastAsia="黑体" w:cs="宋体"/>
      <w:sz w:val="24"/>
      <w:szCs w:val="24"/>
    </w:rPr>
  </w:style>
  <w:style w:type="paragraph" w:styleId="329">
    <w:name w:val="List Paragraph"/>
    <w:basedOn w:val="1"/>
    <w:qFormat/>
    <w:uiPriority w:val="0"/>
    <w:pPr>
      <w:ind w:firstLine="420" w:firstLineChars="200"/>
    </w:pPr>
  </w:style>
  <w:style w:type="paragraph" w:customStyle="1" w:styleId="330">
    <w:name w:val="样式 首行缩进:  2 字符 行距: 固定值 24.5 磅"/>
    <w:basedOn w:val="1"/>
    <w:qFormat/>
    <w:uiPriority w:val="0"/>
    <w:pPr>
      <w:spacing w:line="360" w:lineRule="auto"/>
      <w:ind w:firstLine="200" w:firstLineChars="200"/>
    </w:pPr>
    <w:rPr>
      <w:rFonts w:ascii="Times New Roman" w:hAnsi="Times New Roman" w:cs="宋体"/>
      <w:kern w:val="0"/>
      <w:sz w:val="24"/>
      <w:szCs w:val="24"/>
    </w:rPr>
  </w:style>
  <w:style w:type="paragraph" w:customStyle="1" w:styleId="331">
    <w:name w:val="样式 左 左侧:  0.98 厘米"/>
    <w:basedOn w:val="1"/>
    <w:qFormat/>
    <w:uiPriority w:val="0"/>
    <w:pPr>
      <w:adjustRightInd w:val="0"/>
      <w:snapToGrid w:val="0"/>
      <w:spacing w:line="360" w:lineRule="auto"/>
      <w:ind w:firstLine="200" w:firstLineChars="200"/>
    </w:pPr>
    <w:rPr>
      <w:rFonts w:ascii="Times New Roman" w:hAnsi="Times New Roman" w:eastAsia="仿宋_GB2312"/>
      <w:sz w:val="28"/>
      <w:szCs w:val="20"/>
    </w:rPr>
  </w:style>
  <w:style w:type="paragraph" w:customStyle="1" w:styleId="332">
    <w:name w:val="font12"/>
    <w:basedOn w:val="1"/>
    <w:qFormat/>
    <w:uiPriority w:val="0"/>
    <w:pPr>
      <w:spacing w:before="100" w:beforeAutospacing="1" w:after="100" w:afterAutospacing="1"/>
    </w:pPr>
    <w:rPr>
      <w:rFonts w:ascii="宋体" w:hAnsi="宋体" w:cs="宋体"/>
      <w:color w:val="000000"/>
      <w:kern w:val="0"/>
      <w:sz w:val="18"/>
      <w:szCs w:val="18"/>
    </w:rPr>
  </w:style>
  <w:style w:type="paragraph" w:customStyle="1" w:styleId="333">
    <w:name w:val="样式 样式 正文缩进s4正文缩进 Chars4 Char标题4表正文正文非缩进图标题文本正文不缩进 + 行距: 1.... + ..."/>
    <w:basedOn w:val="334"/>
    <w:qFormat/>
    <w:uiPriority w:val="0"/>
    <w:pPr>
      <w:ind w:firstLine="0"/>
    </w:pPr>
    <w:rPr>
      <w:bCs/>
    </w:rPr>
  </w:style>
  <w:style w:type="paragraph" w:customStyle="1" w:styleId="334">
    <w:name w:val="样式 正文缩进s4正文缩进 Chars4 Char标题4表正文正文非缩进图标题文本正文不缩进 + 行距: 1...."/>
    <w:basedOn w:val="2"/>
    <w:qFormat/>
    <w:uiPriority w:val="0"/>
    <w:pPr>
      <w:adjustRightInd w:val="0"/>
      <w:snapToGrid w:val="0"/>
      <w:spacing w:line="360" w:lineRule="auto"/>
      <w:ind w:firstLine="851" w:firstLineChars="0"/>
      <w:outlineLvl w:val="3"/>
    </w:pPr>
    <w:rPr>
      <w:rFonts w:ascii="Times New Roman" w:hAnsi="宋体" w:cs="宋体"/>
      <w:b/>
      <w:color w:val="FF0000"/>
      <w:sz w:val="24"/>
      <w:szCs w:val="24"/>
    </w:rPr>
  </w:style>
  <w:style w:type="paragraph" w:customStyle="1" w:styleId="335">
    <w:name w:val="Char Char3 Char Char Char Char"/>
    <w:basedOn w:val="1"/>
    <w:qFormat/>
    <w:uiPriority w:val="0"/>
    <w:pPr>
      <w:spacing w:line="360" w:lineRule="auto"/>
      <w:ind w:firstLine="200" w:firstLineChars="200"/>
    </w:pPr>
    <w:rPr>
      <w:rFonts w:ascii="Times New Roman" w:hAnsi="Times New Roman"/>
      <w:kern w:val="0"/>
      <w:sz w:val="24"/>
      <w:szCs w:val="24"/>
    </w:rPr>
  </w:style>
  <w:style w:type="paragraph" w:customStyle="1" w:styleId="336">
    <w:name w:val="Char6 Char Char1 Char Char Char Char"/>
    <w:basedOn w:val="1"/>
    <w:qFormat/>
    <w:uiPriority w:val="0"/>
    <w:pPr>
      <w:spacing w:line="360" w:lineRule="auto"/>
      <w:ind w:firstLine="200" w:firstLineChars="200"/>
    </w:pPr>
    <w:rPr>
      <w:rFonts w:ascii="宋体" w:hAnsi="宋体" w:cs="宋体"/>
      <w:sz w:val="24"/>
      <w:szCs w:val="24"/>
    </w:rPr>
  </w:style>
  <w:style w:type="paragraph" w:customStyle="1" w:styleId="337">
    <w:name w:val="样式 标题 3条标题1.1.13h33rd levelH3l3CT1.1.1段物探标题3 Char Char...2"/>
    <w:basedOn w:val="7"/>
    <w:qFormat/>
    <w:uiPriority w:val="0"/>
    <w:pPr>
      <w:keepNext w:val="0"/>
      <w:keepLines w:val="0"/>
      <w:adjustRightInd w:val="0"/>
      <w:snapToGrid w:val="0"/>
      <w:spacing w:after="0"/>
    </w:pPr>
    <w:rPr>
      <w:rFonts w:ascii="宋体" w:hAnsi="宋体" w:cs="宋体"/>
      <w:bCs w:val="0"/>
      <w:szCs w:val="20"/>
    </w:rPr>
  </w:style>
  <w:style w:type="paragraph" w:customStyle="1" w:styleId="338">
    <w:name w:val="标准"/>
    <w:basedOn w:val="1"/>
    <w:qFormat/>
    <w:uiPriority w:val="0"/>
    <w:pPr>
      <w:spacing w:line="360" w:lineRule="auto"/>
    </w:pPr>
    <w:rPr>
      <w:rFonts w:ascii="Times New Roman" w:hAnsi="Times New Roman"/>
      <w:sz w:val="28"/>
      <w:szCs w:val="20"/>
    </w:rPr>
  </w:style>
  <w:style w:type="paragraph" w:customStyle="1" w:styleId="339">
    <w:name w:val="6 Char Char Char Char Char Char1 Char Char Char Char Char Char Char Char Char Char"/>
    <w:basedOn w:val="1"/>
    <w:qFormat/>
    <w:uiPriority w:val="0"/>
    <w:rPr>
      <w:rFonts w:ascii="Times New Roman" w:hAnsi="Times New Roman"/>
      <w:szCs w:val="24"/>
    </w:rPr>
  </w:style>
  <w:style w:type="paragraph" w:customStyle="1" w:styleId="340">
    <w:name w:val="Char Char Char1 Char Char1 Char Char Char"/>
    <w:basedOn w:val="1"/>
    <w:qFormat/>
    <w:uiPriority w:val="0"/>
    <w:pPr>
      <w:spacing w:line="360" w:lineRule="auto"/>
      <w:ind w:firstLine="200" w:firstLineChars="200"/>
    </w:pPr>
    <w:rPr>
      <w:rFonts w:ascii="宋体" w:hAnsi="宋体" w:cs="宋体"/>
      <w:sz w:val="24"/>
      <w:szCs w:val="24"/>
    </w:rPr>
  </w:style>
  <w:style w:type="paragraph" w:customStyle="1" w:styleId="341">
    <w:name w:val="Char2 Char Char Char"/>
    <w:basedOn w:val="1"/>
    <w:qFormat/>
    <w:uiPriority w:val="0"/>
    <w:pPr>
      <w:spacing w:line="360" w:lineRule="auto"/>
      <w:ind w:firstLine="200" w:firstLineChars="200"/>
    </w:pPr>
    <w:rPr>
      <w:rFonts w:ascii="Times New Roman" w:hAnsi="Times New Roman" w:cs="宋体"/>
      <w:sz w:val="24"/>
      <w:szCs w:val="24"/>
    </w:rPr>
  </w:style>
  <w:style w:type="paragraph" w:customStyle="1" w:styleId="342">
    <w:name w:val="正文1"/>
    <w:basedOn w:val="1"/>
    <w:qFormat/>
    <w:uiPriority w:val="0"/>
    <w:pPr>
      <w:adjustRightInd w:val="0"/>
      <w:snapToGrid w:val="0"/>
      <w:spacing w:line="500" w:lineRule="atLeast"/>
    </w:pPr>
    <w:rPr>
      <w:rFonts w:hint="eastAsia" w:ascii="宋体" w:hAnsi="Times New Roman"/>
      <w:kern w:val="0"/>
      <w:sz w:val="28"/>
      <w:szCs w:val="20"/>
    </w:rPr>
  </w:style>
  <w:style w:type="paragraph" w:customStyle="1" w:styleId="343">
    <w:name w:val="样式 首行缩进:  2 字符"/>
    <w:basedOn w:val="1"/>
    <w:link w:val="344"/>
    <w:qFormat/>
    <w:uiPriority w:val="0"/>
    <w:pPr>
      <w:spacing w:line="360" w:lineRule="auto"/>
      <w:ind w:firstLine="200" w:firstLineChars="200"/>
    </w:pPr>
    <w:rPr>
      <w:rFonts w:ascii="Times New Roman" w:hAnsi="Times New Roman" w:cs="宋体"/>
      <w:sz w:val="24"/>
      <w:szCs w:val="20"/>
    </w:rPr>
  </w:style>
  <w:style w:type="character" w:customStyle="1" w:styleId="344">
    <w:name w:val="样式 首行缩进:  2 字符 Char"/>
    <w:link w:val="343"/>
    <w:qFormat/>
    <w:uiPriority w:val="0"/>
    <w:rPr>
      <w:rFonts w:cs="宋体"/>
      <w:kern w:val="2"/>
      <w:sz w:val="24"/>
    </w:rPr>
  </w:style>
  <w:style w:type="paragraph" w:customStyle="1" w:styleId="345">
    <w:name w:val="xl72"/>
    <w:basedOn w:val="1"/>
    <w:qFormat/>
    <w:uiPriority w:val="0"/>
    <w:pPr>
      <w:pBdr>
        <w:bottom w:val="single" w:color="auto" w:sz="8" w:space="0"/>
        <w:right w:val="single" w:color="auto" w:sz="12" w:space="0"/>
      </w:pBdr>
      <w:spacing w:before="100" w:beforeAutospacing="1" w:after="100" w:afterAutospacing="1"/>
      <w:jc w:val="center"/>
    </w:pPr>
    <w:rPr>
      <w:rFonts w:ascii="Times New Roman" w:hAnsi="Times New Roman"/>
      <w:color w:val="800000"/>
      <w:kern w:val="0"/>
      <w:szCs w:val="21"/>
    </w:rPr>
  </w:style>
  <w:style w:type="paragraph" w:customStyle="1" w:styleId="346">
    <w:name w:val="Char Char2 Char"/>
    <w:basedOn w:val="1"/>
    <w:qFormat/>
    <w:uiPriority w:val="0"/>
    <w:pPr>
      <w:tabs>
        <w:tab w:val="left" w:pos="625"/>
      </w:tabs>
      <w:spacing w:line="360" w:lineRule="auto"/>
      <w:ind w:left="625" w:hanging="425"/>
    </w:pPr>
    <w:rPr>
      <w:rFonts w:ascii="宋体" w:hAnsi="宋体" w:cs="宋体"/>
      <w:sz w:val="24"/>
      <w:szCs w:val="24"/>
    </w:rPr>
  </w:style>
  <w:style w:type="paragraph" w:customStyle="1" w:styleId="347">
    <w:name w:val="xl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48">
    <w:name w:val="hxq正文"/>
    <w:basedOn w:val="1"/>
    <w:qFormat/>
    <w:uiPriority w:val="0"/>
    <w:pPr>
      <w:spacing w:line="360" w:lineRule="auto"/>
      <w:ind w:firstLine="200" w:firstLineChars="200"/>
    </w:pPr>
    <w:rPr>
      <w:rFonts w:ascii="Times New Roman" w:hAnsi="Times New Roman"/>
      <w:sz w:val="24"/>
      <w:szCs w:val="20"/>
    </w:rPr>
  </w:style>
  <w:style w:type="paragraph" w:customStyle="1" w:styleId="349">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50">
    <w:name w:val="Char Char Char1 Char Char1 Char Char Char Char"/>
    <w:basedOn w:val="1"/>
    <w:qFormat/>
    <w:uiPriority w:val="0"/>
    <w:pPr>
      <w:spacing w:line="360" w:lineRule="auto"/>
      <w:ind w:firstLine="200" w:firstLineChars="200"/>
    </w:pPr>
    <w:rPr>
      <w:rFonts w:ascii="宋体" w:hAnsi="宋体" w:cs="宋体"/>
      <w:sz w:val="24"/>
      <w:szCs w:val="24"/>
    </w:rPr>
  </w:style>
  <w:style w:type="paragraph" w:customStyle="1" w:styleId="351">
    <w:name w:val="样式 表格 + 两端对齐"/>
    <w:basedOn w:val="187"/>
    <w:qFormat/>
    <w:uiPriority w:val="0"/>
    <w:pPr>
      <w:adjustRightInd w:val="0"/>
      <w:snapToGrid w:val="0"/>
      <w:spacing w:before="100" w:beforeAutospacing="1" w:after="100" w:afterAutospacing="1" w:line="300" w:lineRule="exact"/>
      <w:ind w:left="560" w:leftChars="200" w:right="-120" w:rightChars="-50"/>
    </w:pPr>
    <w:rPr>
      <w:rFonts w:ascii="Arial" w:hAnsi="Arial"/>
      <w:color w:val="000000"/>
      <w:lang w:val="en-GB"/>
    </w:rPr>
  </w:style>
  <w:style w:type="paragraph" w:customStyle="1" w:styleId="352">
    <w:name w:val="Char2 Char Char Char1 Char Char Char Char Char Char"/>
    <w:basedOn w:val="1"/>
    <w:qFormat/>
    <w:uiPriority w:val="0"/>
    <w:rPr>
      <w:rFonts w:ascii="Times New Roman" w:hAnsi="Times New Roman"/>
      <w:szCs w:val="24"/>
    </w:rPr>
  </w:style>
  <w:style w:type="paragraph" w:customStyle="1" w:styleId="353">
    <w:name w:val="font1"/>
    <w:basedOn w:val="1"/>
    <w:qFormat/>
    <w:uiPriority w:val="0"/>
    <w:pPr>
      <w:spacing w:before="100" w:beforeAutospacing="1" w:after="100" w:afterAutospacing="1"/>
    </w:pPr>
    <w:rPr>
      <w:rFonts w:hint="eastAsia" w:ascii="宋体" w:hAnsi="宋体"/>
      <w:kern w:val="0"/>
      <w:sz w:val="24"/>
      <w:szCs w:val="24"/>
    </w:rPr>
  </w:style>
  <w:style w:type="paragraph" w:customStyle="1" w:styleId="354">
    <w:name w:val="?y??"/>
    <w:qFormat/>
    <w:uiPriority w:val="0"/>
    <w:pPr>
      <w:widowControl w:val="0"/>
      <w:overflowPunct w:val="0"/>
      <w:autoSpaceDE w:val="0"/>
      <w:autoSpaceDN w:val="0"/>
      <w:adjustRightInd w:val="0"/>
      <w:spacing w:line="357"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355">
    <w:name w:val="样式 左侧:  0.98 厘米 首行缩进:  2.25 字符"/>
    <w:basedOn w:val="1"/>
    <w:qFormat/>
    <w:uiPriority w:val="0"/>
    <w:pPr>
      <w:adjustRightInd w:val="0"/>
      <w:snapToGrid w:val="0"/>
      <w:spacing w:line="360" w:lineRule="auto"/>
      <w:ind w:firstLine="200" w:firstLineChars="200"/>
    </w:pPr>
    <w:rPr>
      <w:rFonts w:ascii="Times New Roman" w:hAnsi="Times New Roman" w:eastAsia="仿宋_GB2312"/>
      <w:sz w:val="28"/>
      <w:szCs w:val="20"/>
    </w:rPr>
  </w:style>
  <w:style w:type="paragraph" w:customStyle="1" w:styleId="356">
    <w:name w:val="e"/>
    <w:basedOn w:val="1"/>
    <w:qFormat/>
    <w:uiPriority w:val="0"/>
    <w:rPr>
      <w:rFonts w:ascii="Times New Roman" w:hAnsi="Times New Roman"/>
      <w:szCs w:val="24"/>
    </w:rPr>
  </w:style>
  <w:style w:type="paragraph" w:customStyle="1" w:styleId="357">
    <w:name w:val="1"/>
    <w:basedOn w:val="1"/>
    <w:next w:val="1"/>
    <w:qFormat/>
    <w:uiPriority w:val="0"/>
    <w:pPr>
      <w:adjustRightInd w:val="0"/>
      <w:spacing w:line="460" w:lineRule="exact"/>
      <w:ind w:firstLine="420" w:firstLineChars="200"/>
      <w:textAlignment w:val="baseline"/>
    </w:pPr>
    <w:rPr>
      <w:rFonts w:ascii="Times New Roman" w:hAnsi="Times New Roman"/>
      <w:kern w:val="0"/>
      <w:sz w:val="24"/>
      <w:szCs w:val="20"/>
    </w:rPr>
  </w:style>
  <w:style w:type="paragraph" w:customStyle="1" w:styleId="358">
    <w:name w:val="样式 四号 行距: 固定值 26 磅"/>
    <w:basedOn w:val="1"/>
    <w:qFormat/>
    <w:uiPriority w:val="0"/>
    <w:pPr>
      <w:spacing w:before="60" w:line="520" w:lineRule="exact"/>
      <w:ind w:firstLine="594" w:firstLineChars="200"/>
    </w:pPr>
    <w:rPr>
      <w:rFonts w:ascii="仿宋_GB2312" w:hAnsi="宋体" w:eastAsia="仿宋_GB2312"/>
      <w:kern w:val="0"/>
      <w:sz w:val="28"/>
      <w:szCs w:val="28"/>
    </w:rPr>
  </w:style>
  <w:style w:type="paragraph" w:customStyle="1" w:styleId="359">
    <w:name w:val="xl60"/>
    <w:basedOn w:val="1"/>
    <w:qFormat/>
    <w:uiPriority w:val="0"/>
    <w:pPr>
      <w:spacing w:before="100" w:beforeAutospacing="1" w:after="100" w:afterAutospacing="1"/>
      <w:jc w:val="center"/>
    </w:pPr>
    <w:rPr>
      <w:rFonts w:ascii="宋体" w:hAnsi="宋体" w:cs="宋体"/>
      <w:kern w:val="0"/>
      <w:szCs w:val="21"/>
    </w:rPr>
  </w:style>
  <w:style w:type="paragraph" w:customStyle="1" w:styleId="360">
    <w:name w:val="6 Char Char Char Char Char Char1 Char Char Char Char Char Char Char"/>
    <w:basedOn w:val="1"/>
    <w:qFormat/>
    <w:uiPriority w:val="0"/>
    <w:rPr>
      <w:rFonts w:ascii="Times New Roman" w:hAnsi="Times New Roman"/>
      <w:szCs w:val="24"/>
    </w:rPr>
  </w:style>
  <w:style w:type="paragraph" w:customStyle="1" w:styleId="361">
    <w:name w:val="样式 标题 1章标题 1-*+h11st levelSection Headl1b1预评价章标题标题 1 预..."/>
    <w:basedOn w:val="5"/>
    <w:qFormat/>
    <w:uiPriority w:val="0"/>
    <w:pPr>
      <w:keepNext w:val="0"/>
      <w:keepLines w:val="0"/>
      <w:spacing w:before="0" w:after="0" w:line="520" w:lineRule="exact"/>
    </w:pPr>
    <w:rPr>
      <w:rFonts w:ascii="宋体" w:hAnsi="宋体" w:cs="宋体"/>
      <w:b/>
      <w:kern w:val="2"/>
      <w:szCs w:val="32"/>
    </w:rPr>
  </w:style>
  <w:style w:type="paragraph" w:customStyle="1" w:styleId="362">
    <w:name w:val="表格（六号）"/>
    <w:basedOn w:val="1"/>
    <w:next w:val="2"/>
    <w:qFormat/>
    <w:uiPriority w:val="0"/>
    <w:pPr>
      <w:spacing w:line="315" w:lineRule="exact"/>
      <w:jc w:val="center"/>
    </w:pPr>
    <w:rPr>
      <w:rFonts w:ascii="宋体" w:hAnsi="宋体"/>
      <w:kern w:val="0"/>
      <w:sz w:val="15"/>
      <w:szCs w:val="20"/>
    </w:rPr>
  </w:style>
  <w:style w:type="paragraph" w:customStyle="1" w:styleId="363">
    <w:name w:val="font15"/>
    <w:basedOn w:val="1"/>
    <w:qFormat/>
    <w:uiPriority w:val="0"/>
    <w:pPr>
      <w:spacing w:before="100" w:beforeAutospacing="1" w:after="100" w:afterAutospacing="1"/>
    </w:pPr>
    <w:rPr>
      <w:rFonts w:ascii="Arial" w:hAnsi="Arial" w:cs="Arial"/>
      <w:color w:val="000000"/>
      <w:kern w:val="0"/>
      <w:sz w:val="20"/>
      <w:szCs w:val="20"/>
    </w:rPr>
  </w:style>
  <w:style w:type="paragraph" w:customStyle="1" w:styleId="364">
    <w:name w:val="6 Char Char Char Char Char Char"/>
    <w:basedOn w:val="1"/>
    <w:qFormat/>
    <w:uiPriority w:val="0"/>
    <w:rPr>
      <w:rFonts w:ascii="Times New Roman" w:hAnsi="Times New Roman"/>
      <w:szCs w:val="24"/>
    </w:rPr>
  </w:style>
  <w:style w:type="paragraph" w:customStyle="1" w:styleId="365">
    <w:name w:val="xl23"/>
    <w:basedOn w:val="1"/>
    <w:qFormat/>
    <w:uiPriority w:val="0"/>
    <w:pPr>
      <w:spacing w:before="100" w:beforeLines="15" w:beforeAutospacing="1" w:after="100" w:afterLines="15" w:afterAutospacing="1" w:line="500" w:lineRule="atLeast"/>
      <w:jc w:val="center"/>
      <w:textAlignment w:val="center"/>
    </w:pPr>
    <w:rPr>
      <w:rFonts w:ascii="宋体" w:hAnsi="宋体"/>
      <w:kern w:val="0"/>
      <w:sz w:val="28"/>
      <w:szCs w:val="24"/>
    </w:rPr>
  </w:style>
  <w:style w:type="paragraph" w:customStyle="1" w:styleId="366">
    <w:name w:val="样式 宋体 四号 段前: 7.8 磅 段后: 7.8 磅 行距: 1.5 倍行距"/>
    <w:basedOn w:val="1"/>
    <w:qFormat/>
    <w:uiPriority w:val="0"/>
    <w:pPr>
      <w:spacing w:before="60" w:after="60" w:line="500" w:lineRule="exact"/>
    </w:pPr>
    <w:rPr>
      <w:rFonts w:ascii="宋体" w:hAnsi="宋体" w:cs="宋体"/>
      <w:sz w:val="28"/>
      <w:szCs w:val="20"/>
    </w:rPr>
  </w:style>
  <w:style w:type="paragraph" w:customStyle="1" w:styleId="367">
    <w:name w:val="title2"/>
    <w:basedOn w:val="1"/>
    <w:qFormat/>
    <w:uiPriority w:val="0"/>
    <w:pPr>
      <w:spacing w:before="120" w:beforeLines="50" w:after="120"/>
    </w:pPr>
    <w:rPr>
      <w:rFonts w:ascii="Times New Roman" w:hAnsi="Times New Roman" w:eastAsia="黑体"/>
      <w:sz w:val="30"/>
      <w:szCs w:val="24"/>
    </w:rPr>
  </w:style>
  <w:style w:type="paragraph" w:customStyle="1" w:styleId="368">
    <w:name w:val="xl87"/>
    <w:basedOn w:val="1"/>
    <w:qFormat/>
    <w:uiPriority w:val="0"/>
    <w:pPr>
      <w:pBdr>
        <w:bottom w:val="single" w:color="auto" w:sz="8" w:space="0"/>
        <w:right w:val="single" w:color="auto" w:sz="8" w:space="0"/>
      </w:pBdr>
      <w:spacing w:before="100" w:beforeAutospacing="1" w:after="100" w:afterAutospacing="1"/>
      <w:jc w:val="center"/>
      <w:textAlignment w:val="top"/>
    </w:pPr>
    <w:rPr>
      <w:rFonts w:ascii="宋体" w:hAnsi="宋体" w:cs="宋体"/>
      <w:b/>
      <w:bCs/>
      <w:color w:val="993366"/>
      <w:kern w:val="0"/>
      <w:sz w:val="18"/>
      <w:szCs w:val="18"/>
    </w:rPr>
  </w:style>
  <w:style w:type="paragraph" w:customStyle="1" w:styleId="369">
    <w:name w:val="样式 样式 四号 行距: 固定值 26 磅 + 首行缩进:  2 字符"/>
    <w:basedOn w:val="1"/>
    <w:qFormat/>
    <w:uiPriority w:val="0"/>
    <w:pPr>
      <w:spacing w:before="60" w:line="530" w:lineRule="atLeast"/>
      <w:ind w:firstLine="594" w:firstLineChars="200"/>
    </w:pPr>
    <w:rPr>
      <w:rFonts w:ascii="仿宋_GB2312" w:hAnsi="宋体" w:eastAsia="仿宋_GB2312"/>
      <w:kern w:val="0"/>
      <w:sz w:val="28"/>
      <w:szCs w:val="28"/>
    </w:rPr>
  </w:style>
  <w:style w:type="paragraph" w:customStyle="1" w:styleId="370">
    <w:name w:val="xl25"/>
    <w:basedOn w:val="1"/>
    <w:qFormat/>
    <w:uiPriority w:val="0"/>
    <w:pPr>
      <w:pBdr>
        <w:bottom w:val="single" w:color="auto" w:sz="4" w:space="0"/>
        <w:right w:val="single" w:color="auto" w:sz="4" w:space="0"/>
      </w:pBdr>
      <w:spacing w:before="100" w:beforeAutospacing="1" w:after="100" w:afterAutospacing="1"/>
      <w:jc w:val="center"/>
      <w:textAlignment w:val="top"/>
    </w:pPr>
    <w:rPr>
      <w:rFonts w:ascii="Arial" w:hAnsi="Arial" w:cs="Arial"/>
      <w:b/>
      <w:bCs/>
      <w:kern w:val="0"/>
      <w:szCs w:val="21"/>
    </w:rPr>
  </w:style>
  <w:style w:type="paragraph" w:customStyle="1" w:styleId="371">
    <w:name w:val="haydonli"/>
    <w:basedOn w:val="1"/>
    <w:qFormat/>
    <w:uiPriority w:val="0"/>
    <w:pPr>
      <w:snapToGrid w:val="0"/>
      <w:spacing w:line="360" w:lineRule="auto"/>
      <w:ind w:firstLine="480" w:firstLineChars="200"/>
    </w:pPr>
    <w:rPr>
      <w:rFonts w:ascii="宋体" w:hAnsi="宋体"/>
      <w:bCs/>
      <w:sz w:val="24"/>
      <w:szCs w:val="24"/>
    </w:rPr>
  </w:style>
  <w:style w:type="paragraph" w:customStyle="1" w:styleId="372">
    <w:name w:val="xl78"/>
    <w:basedOn w:val="1"/>
    <w:qFormat/>
    <w:uiPriority w:val="0"/>
    <w:pPr>
      <w:pBdr>
        <w:top w:val="single" w:color="auto" w:sz="8" w:space="0"/>
        <w:left w:val="single" w:color="auto" w:sz="8" w:space="0"/>
        <w:bottom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373">
    <w:name w:val="样式 标题 3 + 段前: 0 磅 段后: 0 磅 行距: 1.5 倍行距"/>
    <w:basedOn w:val="7"/>
    <w:qFormat/>
    <w:uiPriority w:val="0"/>
    <w:pPr>
      <w:adjustRightInd w:val="0"/>
      <w:snapToGrid w:val="0"/>
      <w:spacing w:before="0" w:after="0"/>
    </w:pPr>
    <w:rPr>
      <w:rFonts w:cs="宋体"/>
      <w:color w:val="000000"/>
      <w:szCs w:val="20"/>
    </w:rPr>
  </w:style>
  <w:style w:type="paragraph" w:customStyle="1" w:styleId="374">
    <w:name w:val="pic-info"/>
    <w:basedOn w:val="1"/>
    <w:qFormat/>
    <w:uiPriority w:val="0"/>
    <w:pPr>
      <w:spacing w:before="100" w:beforeAutospacing="1" w:after="100" w:afterAutospacing="1"/>
    </w:pPr>
    <w:rPr>
      <w:rFonts w:ascii="宋体" w:hAnsi="宋体" w:cs="宋体"/>
      <w:kern w:val="0"/>
      <w:sz w:val="24"/>
      <w:szCs w:val="24"/>
    </w:rPr>
  </w:style>
  <w:style w:type="paragraph" w:customStyle="1" w:styleId="375">
    <w:name w:val="Char1"/>
    <w:basedOn w:val="1"/>
    <w:qFormat/>
    <w:uiPriority w:val="0"/>
    <w:pPr>
      <w:tabs>
        <w:tab w:val="right" w:pos="8494"/>
      </w:tabs>
      <w:spacing w:after="160" w:line="240" w:lineRule="exact"/>
    </w:pPr>
    <w:rPr>
      <w:rFonts w:ascii="宋体" w:hAnsi="宋体" w:cs="宋体"/>
      <w:sz w:val="24"/>
      <w:szCs w:val="24"/>
    </w:rPr>
  </w:style>
  <w:style w:type="paragraph" w:customStyle="1" w:styleId="376">
    <w:name w:val="样式 宋体 四号 加粗 行距: 1.5 倍行距"/>
    <w:basedOn w:val="1"/>
    <w:qFormat/>
    <w:uiPriority w:val="0"/>
    <w:pPr>
      <w:adjustRightInd w:val="0"/>
      <w:snapToGrid w:val="0"/>
      <w:spacing w:line="360" w:lineRule="auto"/>
      <w:ind w:firstLine="200" w:firstLineChars="200"/>
    </w:pPr>
    <w:rPr>
      <w:rFonts w:ascii="仿宋_GB2312" w:hAnsi="宋体" w:eastAsia="仿宋_GB2312" w:cs="宋体"/>
      <w:bCs/>
      <w:sz w:val="28"/>
      <w:szCs w:val="20"/>
    </w:rPr>
  </w:style>
  <w:style w:type="paragraph" w:customStyle="1" w:styleId="377">
    <w:name w:val="xl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378">
    <w:name w:val="xl40"/>
    <w:basedOn w:val="1"/>
    <w:qFormat/>
    <w:uiPriority w:val="0"/>
    <w:pPr>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szCs w:val="24"/>
    </w:rPr>
  </w:style>
  <w:style w:type="paragraph" w:customStyle="1" w:styleId="379">
    <w:name w:val="Char4"/>
    <w:basedOn w:val="1"/>
    <w:qFormat/>
    <w:uiPriority w:val="0"/>
    <w:pPr>
      <w:spacing w:line="360" w:lineRule="auto"/>
    </w:pPr>
    <w:rPr>
      <w:rFonts w:ascii="宋体" w:hAnsi="宋体" w:cs="宋体"/>
      <w:sz w:val="24"/>
      <w:szCs w:val="24"/>
    </w:rPr>
  </w:style>
  <w:style w:type="paragraph" w:customStyle="1" w:styleId="380">
    <w:name w:val="样式2"/>
    <w:basedOn w:val="48"/>
    <w:link w:val="381"/>
    <w:qFormat/>
    <w:uiPriority w:val="0"/>
    <w:pPr>
      <w:spacing w:line="300" w:lineRule="auto"/>
      <w:ind w:firstLine="510"/>
    </w:pPr>
    <w:rPr>
      <w:iCs w:val="0"/>
    </w:rPr>
  </w:style>
  <w:style w:type="character" w:customStyle="1" w:styleId="381">
    <w:name w:val="样式2 Char"/>
    <w:basedOn w:val="101"/>
    <w:link w:val="380"/>
    <w:qFormat/>
    <w:uiPriority w:val="0"/>
    <w:rPr>
      <w:rFonts w:ascii="Calibri" w:hAnsi="Calibri"/>
      <w:i/>
      <w:kern w:val="2"/>
    </w:rPr>
  </w:style>
  <w:style w:type="paragraph" w:customStyle="1" w:styleId="382">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66FF"/>
      <w:kern w:val="0"/>
      <w:sz w:val="18"/>
      <w:szCs w:val="18"/>
    </w:rPr>
  </w:style>
  <w:style w:type="paragraph" w:customStyle="1" w:styleId="383">
    <w:name w:val="Char Char Char Char Char Char Char Char Char Char"/>
    <w:basedOn w:val="1"/>
    <w:qFormat/>
    <w:uiPriority w:val="0"/>
    <w:pPr>
      <w:spacing w:line="360" w:lineRule="auto"/>
      <w:ind w:firstLine="200" w:firstLineChars="200"/>
    </w:pPr>
    <w:rPr>
      <w:rFonts w:ascii="宋体" w:hAnsi="宋体" w:cs="宋体"/>
      <w:kern w:val="0"/>
      <w:sz w:val="24"/>
      <w:szCs w:val="24"/>
    </w:rPr>
  </w:style>
  <w:style w:type="paragraph" w:customStyle="1" w:styleId="384">
    <w:name w:val="样式 表格 + 左侧:  0.98 厘米 行距: 固定值 12 磅"/>
    <w:basedOn w:val="187"/>
    <w:qFormat/>
    <w:uiPriority w:val="0"/>
    <w:pPr>
      <w:adjustRightInd w:val="0"/>
      <w:snapToGrid w:val="0"/>
      <w:spacing w:before="100" w:beforeAutospacing="1" w:after="100" w:afterAutospacing="1" w:line="240" w:lineRule="exact"/>
      <w:ind w:left="560" w:leftChars="200" w:right="-120" w:rightChars="-50"/>
    </w:pPr>
    <w:rPr>
      <w:rFonts w:ascii="Arial" w:hAnsi="Arial"/>
      <w:color w:val="000000"/>
      <w:lang w:val="en-GB"/>
    </w:rPr>
  </w:style>
  <w:style w:type="paragraph" w:customStyle="1" w:styleId="385">
    <w:name w:val="Char7"/>
    <w:basedOn w:val="1"/>
    <w:qFormat/>
    <w:uiPriority w:val="0"/>
    <w:pPr>
      <w:adjustRightInd w:val="0"/>
      <w:snapToGrid w:val="0"/>
      <w:spacing w:line="360" w:lineRule="auto"/>
      <w:ind w:firstLine="200" w:firstLineChars="200"/>
    </w:pPr>
    <w:rPr>
      <w:rFonts w:ascii="宋体" w:hAnsi="宋体" w:cs="宋体"/>
      <w:sz w:val="24"/>
      <w:szCs w:val="24"/>
    </w:rPr>
  </w:style>
  <w:style w:type="paragraph" w:customStyle="1" w:styleId="386">
    <w:name w:val="Char2"/>
    <w:basedOn w:val="1"/>
    <w:qFormat/>
    <w:uiPriority w:val="0"/>
    <w:pPr>
      <w:spacing w:line="360" w:lineRule="auto"/>
      <w:ind w:firstLine="200" w:firstLineChars="200"/>
    </w:pPr>
    <w:rPr>
      <w:rFonts w:ascii="宋体" w:hAnsi="宋体" w:cs="宋体"/>
      <w:sz w:val="24"/>
      <w:szCs w:val="24"/>
    </w:rPr>
  </w:style>
  <w:style w:type="paragraph" w:customStyle="1" w:styleId="387">
    <w:name w:val="样式 样式 表格 + 左侧:  0.98 厘米 + 居中"/>
    <w:basedOn w:val="1"/>
    <w:qFormat/>
    <w:uiPriority w:val="0"/>
    <w:pPr>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388">
    <w:name w:val="xl43"/>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89">
    <w:name w:val="xl89"/>
    <w:basedOn w:val="1"/>
    <w:qFormat/>
    <w:uiPriority w:val="0"/>
    <w:pPr>
      <w:pBdr>
        <w:top w:val="single" w:color="auto" w:sz="8" w:space="0"/>
        <w:left w:val="single" w:color="auto" w:sz="8" w:space="0"/>
      </w:pBdr>
      <w:spacing w:before="100" w:beforeAutospacing="1" w:after="100" w:afterAutospacing="1"/>
    </w:pPr>
    <w:rPr>
      <w:rFonts w:ascii="宋体" w:hAnsi="宋体" w:cs="宋体"/>
      <w:color w:val="0000FF"/>
      <w:kern w:val="0"/>
      <w:sz w:val="18"/>
      <w:szCs w:val="18"/>
    </w:rPr>
  </w:style>
  <w:style w:type="paragraph" w:customStyle="1" w:styleId="390">
    <w:name w:val="样式 左侧:  0.98 厘米1"/>
    <w:basedOn w:val="1"/>
    <w:qFormat/>
    <w:uiPriority w:val="0"/>
    <w:pPr>
      <w:adjustRightInd w:val="0"/>
      <w:snapToGrid w:val="0"/>
      <w:spacing w:line="360" w:lineRule="auto"/>
      <w:ind w:firstLine="200" w:firstLineChars="200"/>
    </w:pPr>
    <w:rPr>
      <w:rFonts w:ascii="Times New Roman" w:hAnsi="Times New Roman" w:eastAsia="仿宋_GB2312"/>
      <w:kern w:val="0"/>
      <w:sz w:val="28"/>
      <w:szCs w:val="20"/>
    </w:rPr>
  </w:style>
  <w:style w:type="paragraph" w:customStyle="1" w:styleId="391">
    <w:name w:val="图沣西新城"/>
    <w:basedOn w:val="1"/>
    <w:qFormat/>
    <w:uiPriority w:val="0"/>
    <w:pPr>
      <w:adjustRightInd w:val="0"/>
      <w:spacing w:line="360" w:lineRule="auto"/>
      <w:jc w:val="center"/>
      <w:textAlignment w:val="baseline"/>
    </w:pPr>
    <w:rPr>
      <w:rFonts w:ascii="Times New Roman" w:hAnsi="Times New Roman" w:eastAsia="黑体"/>
      <w:b/>
      <w:spacing w:val="20"/>
      <w:kern w:val="0"/>
      <w:szCs w:val="20"/>
    </w:rPr>
  </w:style>
  <w:style w:type="paragraph" w:customStyle="1" w:styleId="392">
    <w:name w:val="xl75"/>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FF0000"/>
      <w:kern w:val="0"/>
      <w:sz w:val="18"/>
      <w:szCs w:val="18"/>
    </w:rPr>
  </w:style>
  <w:style w:type="paragraph" w:customStyle="1" w:styleId="393">
    <w:name w:val="xl63"/>
    <w:basedOn w:val="1"/>
    <w:qFormat/>
    <w:uiPriority w:val="0"/>
    <w:pPr>
      <w:pBdr>
        <w:left w:val="single" w:color="auto" w:sz="4" w:space="0"/>
        <w:bottom w:val="single" w:color="auto" w:sz="4" w:space="0"/>
        <w:right w:val="single" w:color="auto" w:sz="4" w:space="0"/>
      </w:pBdr>
      <w:spacing w:before="100" w:after="100"/>
    </w:pPr>
    <w:rPr>
      <w:rFonts w:ascii="宋体" w:hAnsi="宋体"/>
      <w:b/>
      <w:kern w:val="0"/>
      <w:sz w:val="24"/>
      <w:szCs w:val="20"/>
    </w:rPr>
  </w:style>
  <w:style w:type="paragraph" w:customStyle="1" w:styleId="394">
    <w:name w:val="c"/>
    <w:qFormat/>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395">
    <w:name w:val="Char1 Char Char Char Char Char Char Char Char Char"/>
    <w:basedOn w:val="1"/>
    <w:qFormat/>
    <w:uiPriority w:val="0"/>
    <w:rPr>
      <w:rFonts w:ascii="宋体" w:hAnsi="宋体" w:eastAsia="华文仿宋" w:cs="宋体"/>
      <w:szCs w:val="24"/>
    </w:rPr>
  </w:style>
  <w:style w:type="paragraph" w:customStyle="1" w:styleId="396">
    <w:name w:val="样式 表格 + 左侧:  0.98 厘米 字距调整8 磅"/>
    <w:basedOn w:val="187"/>
    <w:qFormat/>
    <w:uiPriority w:val="0"/>
    <w:pPr>
      <w:adjustRightInd w:val="0"/>
      <w:snapToGrid w:val="0"/>
      <w:spacing w:before="100" w:beforeAutospacing="1" w:after="100" w:afterAutospacing="1" w:line="300" w:lineRule="exact"/>
      <w:ind w:left="560" w:leftChars="200" w:right="-120" w:rightChars="-50"/>
    </w:pPr>
    <w:rPr>
      <w:rFonts w:ascii="Arial" w:hAnsi="Arial"/>
      <w:color w:val="000000"/>
      <w:kern w:val="16"/>
      <w:lang w:val="en-GB"/>
    </w:rPr>
  </w:style>
  <w:style w:type="paragraph" w:customStyle="1" w:styleId="397">
    <w:name w:val="xl85"/>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b/>
      <w:bCs/>
      <w:color w:val="993366"/>
      <w:kern w:val="0"/>
      <w:sz w:val="18"/>
      <w:szCs w:val="18"/>
    </w:rPr>
  </w:style>
  <w:style w:type="paragraph" w:customStyle="1" w:styleId="398">
    <w:name w:val="xl82"/>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Arial" w:hAnsi="Arial" w:cs="Arial"/>
      <w:b/>
      <w:bCs/>
      <w:color w:val="993366"/>
      <w:kern w:val="0"/>
      <w:sz w:val="18"/>
      <w:szCs w:val="18"/>
    </w:rPr>
  </w:style>
  <w:style w:type="paragraph" w:customStyle="1" w:styleId="399">
    <w:name w:val="样式 表格 + 居中 左侧:  0.98 厘米"/>
    <w:basedOn w:val="187"/>
    <w:qFormat/>
    <w:uiPriority w:val="0"/>
    <w:pPr>
      <w:adjustRightInd w:val="0"/>
      <w:snapToGrid w:val="0"/>
      <w:spacing w:before="100" w:beforeAutospacing="1" w:after="100" w:afterAutospacing="1" w:line="300" w:lineRule="exact"/>
      <w:ind w:left="560" w:leftChars="200" w:right="-120" w:rightChars="-50"/>
    </w:pPr>
    <w:rPr>
      <w:rFonts w:ascii="Arial" w:hAnsi="Arial"/>
      <w:color w:val="000000"/>
      <w:lang w:val="en-GB"/>
    </w:rPr>
  </w:style>
  <w:style w:type="paragraph" w:customStyle="1" w:styleId="400">
    <w:name w:val="font6"/>
    <w:basedOn w:val="1"/>
    <w:qFormat/>
    <w:uiPriority w:val="0"/>
    <w:pPr>
      <w:spacing w:before="100" w:beforeAutospacing="1" w:after="100" w:afterAutospacing="1"/>
    </w:pPr>
    <w:rPr>
      <w:rFonts w:hint="eastAsia" w:ascii="宋体" w:hAnsi="宋体"/>
      <w:color w:val="339966"/>
      <w:kern w:val="0"/>
      <w:sz w:val="18"/>
      <w:szCs w:val="18"/>
    </w:rPr>
  </w:style>
  <w:style w:type="paragraph" w:customStyle="1" w:styleId="401">
    <w:name w:val="样式 左侧:  0.49 厘米 首行缩进:  2 字符 右侧:  0.49 厘米"/>
    <w:basedOn w:val="1"/>
    <w:qFormat/>
    <w:uiPriority w:val="0"/>
    <w:pPr>
      <w:adjustRightInd w:val="0"/>
      <w:snapToGrid w:val="0"/>
      <w:spacing w:line="490" w:lineRule="exact"/>
      <w:ind w:firstLine="480" w:firstLineChars="200"/>
    </w:pPr>
    <w:rPr>
      <w:rFonts w:ascii="宋体" w:hAnsi="宋体"/>
      <w:sz w:val="24"/>
      <w:szCs w:val="20"/>
    </w:rPr>
  </w:style>
  <w:style w:type="paragraph" w:customStyle="1" w:styleId="402">
    <w:name w:val="Char11"/>
    <w:basedOn w:val="1"/>
    <w:qFormat/>
    <w:uiPriority w:val="0"/>
    <w:pPr>
      <w:spacing w:line="360" w:lineRule="auto"/>
      <w:ind w:firstLine="200" w:firstLineChars="200"/>
    </w:pPr>
    <w:rPr>
      <w:rFonts w:ascii="Times New Roman" w:hAnsi="Times New Roman"/>
      <w:szCs w:val="20"/>
    </w:rPr>
  </w:style>
  <w:style w:type="paragraph" w:customStyle="1" w:styleId="403">
    <w:name w:val="样式 (西文) 宋体 左侧:  0.98 厘米"/>
    <w:basedOn w:val="1"/>
    <w:qFormat/>
    <w:uiPriority w:val="0"/>
    <w:pPr>
      <w:adjustRightInd w:val="0"/>
      <w:snapToGrid w:val="0"/>
      <w:spacing w:line="360" w:lineRule="auto"/>
      <w:ind w:firstLine="200" w:firstLineChars="200"/>
    </w:pPr>
    <w:rPr>
      <w:rFonts w:ascii="宋体" w:hAnsi="Times New Roman" w:eastAsia="仿宋_GB2312"/>
      <w:sz w:val="28"/>
      <w:szCs w:val="20"/>
    </w:rPr>
  </w:style>
  <w:style w:type="paragraph" w:customStyle="1" w:styleId="404">
    <w:name w:val="xl92"/>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405">
    <w:name w:val="Char Char Char Char1 Char Char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406">
    <w:name w:val="日期1"/>
    <w:basedOn w:val="1"/>
    <w:next w:val="1"/>
    <w:qFormat/>
    <w:uiPriority w:val="0"/>
    <w:pPr>
      <w:adjustRightInd w:val="0"/>
    </w:pPr>
    <w:rPr>
      <w:rFonts w:ascii="Times New Roman" w:hAnsi="Times New Roman"/>
      <w:sz w:val="28"/>
      <w:szCs w:val="20"/>
    </w:rPr>
  </w:style>
  <w:style w:type="paragraph" w:customStyle="1" w:styleId="407">
    <w:name w:val="xl76"/>
    <w:basedOn w:val="1"/>
    <w:qFormat/>
    <w:uiPriority w:val="0"/>
    <w:pPr>
      <w:pBdr>
        <w:top w:val="single" w:color="auto" w:sz="8" w:space="0"/>
        <w:left w:val="single" w:color="auto" w:sz="8" w:space="0"/>
        <w:right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408">
    <w:name w:val="段落样式"/>
    <w:basedOn w:val="1"/>
    <w:qFormat/>
    <w:uiPriority w:val="0"/>
    <w:pPr>
      <w:keepNext/>
      <w:suppressLineNumbers/>
      <w:suppressAutoHyphens/>
      <w:adjustRightInd w:val="0"/>
      <w:snapToGrid w:val="0"/>
      <w:spacing w:line="480" w:lineRule="atLeast"/>
      <w:ind w:firstLine="482"/>
      <w:textAlignment w:val="baseline"/>
    </w:pPr>
    <w:rPr>
      <w:rFonts w:ascii="Times New Roman" w:hAnsi="Times New Roman"/>
      <w:w w:val="90"/>
      <w:kern w:val="0"/>
      <w:sz w:val="28"/>
      <w:szCs w:val="28"/>
    </w:rPr>
  </w:style>
  <w:style w:type="paragraph" w:customStyle="1" w:styleId="409">
    <w:name w:val="样式 小表 + 两端对齐"/>
    <w:basedOn w:val="410"/>
    <w:qFormat/>
    <w:uiPriority w:val="0"/>
    <w:pPr>
      <w:jc w:val="both"/>
    </w:pPr>
    <w:rPr>
      <w:sz w:val="18"/>
    </w:rPr>
  </w:style>
  <w:style w:type="paragraph" w:customStyle="1" w:styleId="410">
    <w:name w:val="小表"/>
    <w:basedOn w:val="1"/>
    <w:qFormat/>
    <w:uiPriority w:val="0"/>
    <w:pPr>
      <w:adjustRightInd w:val="0"/>
      <w:snapToGrid w:val="0"/>
      <w:spacing w:line="331" w:lineRule="auto"/>
      <w:jc w:val="center"/>
    </w:pPr>
    <w:rPr>
      <w:rFonts w:ascii="宋体" w:hAnsi="宋体"/>
      <w:snapToGrid w:val="0"/>
      <w:sz w:val="15"/>
      <w:szCs w:val="20"/>
    </w:rPr>
  </w:style>
  <w:style w:type="paragraph" w:customStyle="1" w:styleId="411">
    <w:name w:val="xl45"/>
    <w:basedOn w:val="1"/>
    <w:qFormat/>
    <w:uiPriority w:val="0"/>
    <w:pPr>
      <w:pBdr>
        <w:top w:val="single" w:color="auto" w:sz="8" w:space="0"/>
        <w:left w:val="single" w:color="auto" w:sz="8" w:space="0"/>
        <w:bottom w:val="single" w:color="auto" w:sz="8" w:space="0"/>
      </w:pBdr>
      <w:spacing w:before="100" w:beforeAutospacing="1" w:after="100" w:afterAutospacing="1"/>
      <w:jc w:val="center"/>
    </w:pPr>
    <w:rPr>
      <w:rFonts w:ascii="宋体" w:hAnsi="宋体" w:cs="宋体"/>
      <w:color w:val="000000"/>
      <w:kern w:val="0"/>
      <w:szCs w:val="21"/>
    </w:rPr>
  </w:style>
  <w:style w:type="paragraph" w:customStyle="1" w:styleId="412">
    <w:name w:val="xl61"/>
    <w:basedOn w:val="1"/>
    <w:qFormat/>
    <w:uiPriority w:val="0"/>
    <w:pPr>
      <w:spacing w:before="100" w:beforeAutospacing="1" w:after="100" w:afterAutospacing="1"/>
      <w:jc w:val="center"/>
    </w:pPr>
    <w:rPr>
      <w:rFonts w:ascii="Times New Roman" w:hAnsi="Times New Roman"/>
      <w:kern w:val="0"/>
      <w:szCs w:val="21"/>
    </w:rPr>
  </w:style>
  <w:style w:type="paragraph" w:customStyle="1" w:styleId="413">
    <w:name w:val="样式 表中 + 首行缩进:  2 字符 段前: 0.5 行 段后: 0.5 行"/>
    <w:basedOn w:val="414"/>
    <w:qFormat/>
    <w:uiPriority w:val="0"/>
    <w:pPr>
      <w:tabs>
        <w:tab w:val="left" w:pos="1060"/>
      </w:tabs>
      <w:adjustRightInd/>
    </w:pPr>
    <w:rPr>
      <w:rFonts w:ascii="仿宋_GB2312" w:hAnsi="宋体" w:eastAsia="仿宋_GB2312" w:cs="宋体"/>
      <w:b/>
      <w:bCs/>
      <w:color w:val="auto"/>
      <w:sz w:val="24"/>
      <w:szCs w:val="20"/>
    </w:rPr>
  </w:style>
  <w:style w:type="paragraph" w:customStyle="1" w:styleId="414">
    <w:name w:val="表中"/>
    <w:basedOn w:val="2"/>
    <w:qFormat/>
    <w:uiPriority w:val="0"/>
    <w:pPr>
      <w:adjustRightInd w:val="0"/>
      <w:snapToGrid w:val="0"/>
      <w:spacing w:before="46" w:beforeLines="15" w:after="46" w:afterLines="15"/>
      <w:ind w:firstLine="0" w:firstLineChars="0"/>
      <w:jc w:val="center"/>
    </w:pPr>
    <w:rPr>
      <w:rFonts w:ascii="Times New Roman" w:hAnsi="Times New Roman"/>
      <w:color w:val="000000"/>
      <w:szCs w:val="24"/>
    </w:rPr>
  </w:style>
  <w:style w:type="paragraph" w:customStyle="1" w:styleId="415">
    <w:name w:val="支标题 a)"/>
    <w:basedOn w:val="1"/>
    <w:next w:val="1"/>
    <w:qFormat/>
    <w:uiPriority w:val="0"/>
    <w:pPr>
      <w:tabs>
        <w:tab w:val="left" w:pos="510"/>
        <w:tab w:val="left" w:pos="1097"/>
      </w:tabs>
      <w:adjustRightInd w:val="0"/>
      <w:spacing w:before="120" w:after="120" w:line="460" w:lineRule="exact"/>
      <w:ind w:left="284" w:firstLine="453"/>
      <w:textAlignment w:val="baseline"/>
    </w:pPr>
    <w:rPr>
      <w:rFonts w:ascii="Times New Roman" w:hAnsi="Times New Roman"/>
      <w:kern w:val="0"/>
      <w:sz w:val="24"/>
      <w:szCs w:val="20"/>
    </w:rPr>
  </w:style>
  <w:style w:type="paragraph" w:customStyle="1" w:styleId="416">
    <w:name w:val="xl80"/>
    <w:basedOn w:val="1"/>
    <w:qFormat/>
    <w:uiPriority w:val="0"/>
    <w:pPr>
      <w:pBdr>
        <w:top w:val="single" w:color="auto" w:sz="8" w:space="0"/>
        <w:bottom w:val="single" w:color="auto" w:sz="8" w:space="0"/>
        <w:right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417">
    <w:name w:val="PA"/>
    <w:basedOn w:val="1"/>
    <w:qFormat/>
    <w:uiPriority w:val="0"/>
    <w:pPr>
      <w:spacing w:after="120"/>
      <w:ind w:left="1134"/>
    </w:pPr>
    <w:rPr>
      <w:rFonts w:ascii="Arial" w:hAnsi="Arial"/>
      <w:kern w:val="0"/>
      <w:sz w:val="22"/>
      <w:szCs w:val="20"/>
      <w:lang w:val="en-GB"/>
    </w:rPr>
  </w:style>
  <w:style w:type="paragraph" w:customStyle="1" w:styleId="418">
    <w:name w:val="xl30"/>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kern w:val="0"/>
      <w:sz w:val="18"/>
      <w:szCs w:val="18"/>
    </w:rPr>
  </w:style>
  <w:style w:type="paragraph" w:customStyle="1" w:styleId="419">
    <w:name w:val="段落4"/>
    <w:basedOn w:val="1"/>
    <w:qFormat/>
    <w:uiPriority w:val="0"/>
    <w:pPr>
      <w:spacing w:line="360" w:lineRule="auto"/>
      <w:ind w:firstLine="200" w:firstLineChars="200"/>
    </w:pPr>
    <w:rPr>
      <w:rFonts w:ascii="宋体" w:hAnsi="宋体" w:cs="宋体"/>
      <w:sz w:val="24"/>
      <w:szCs w:val="24"/>
    </w:rPr>
  </w:style>
  <w:style w:type="paragraph" w:customStyle="1" w:styleId="420">
    <w:name w:val="样式 正文文本缩进 3 + 黑色"/>
    <w:basedOn w:val="1"/>
    <w:qFormat/>
    <w:uiPriority w:val="0"/>
    <w:pPr>
      <w:spacing w:line="360" w:lineRule="auto"/>
      <w:ind w:firstLine="570"/>
    </w:pPr>
    <w:rPr>
      <w:rFonts w:ascii="宋体" w:hAnsi="宋体" w:cs="宋体"/>
      <w:color w:val="000000"/>
      <w:sz w:val="28"/>
      <w:szCs w:val="20"/>
    </w:rPr>
  </w:style>
  <w:style w:type="paragraph" w:customStyle="1" w:styleId="421">
    <w:name w:val="样式 Times New Roman 行距: 1.5 倍行距"/>
    <w:basedOn w:val="1"/>
    <w:qFormat/>
    <w:uiPriority w:val="0"/>
    <w:pPr>
      <w:spacing w:line="360" w:lineRule="auto"/>
      <w:ind w:firstLine="480" w:firstLineChars="200"/>
    </w:pPr>
    <w:rPr>
      <w:rFonts w:ascii="Times New Roman" w:hAnsi="Times New Roman" w:cs="宋体"/>
      <w:kern w:val="24"/>
      <w:sz w:val="28"/>
      <w:szCs w:val="28"/>
    </w:rPr>
  </w:style>
  <w:style w:type="paragraph" w:customStyle="1" w:styleId="422">
    <w:name w:val="xl29"/>
    <w:basedOn w:val="1"/>
    <w:qFormat/>
    <w:uiPriority w:val="0"/>
    <w:pPr>
      <w:pBdr>
        <w:bottom w:val="single" w:color="auto" w:sz="8" w:space="0"/>
        <w:right w:val="single" w:color="auto" w:sz="8" w:space="0"/>
      </w:pBdr>
      <w:spacing w:before="100" w:beforeAutospacing="1" w:after="100" w:afterAutospacing="1"/>
      <w:jc w:val="center"/>
    </w:pPr>
    <w:rPr>
      <w:rFonts w:ascii="Times New Roman" w:hAnsi="Times New Roman"/>
      <w:kern w:val="0"/>
      <w:sz w:val="18"/>
      <w:szCs w:val="18"/>
    </w:rPr>
  </w:style>
  <w:style w:type="paragraph" w:customStyle="1" w:styleId="423">
    <w:name w:val="样式 四号 首行缩进:  1 厘米 行距: 1.5 倍行距"/>
    <w:basedOn w:val="1"/>
    <w:qFormat/>
    <w:uiPriority w:val="0"/>
    <w:pPr>
      <w:spacing w:line="360" w:lineRule="auto"/>
      <w:ind w:firstLine="200" w:firstLineChars="200"/>
    </w:pPr>
    <w:rPr>
      <w:rFonts w:ascii="宋体" w:hAnsi="Times New Roman" w:cs="宋体"/>
      <w:sz w:val="28"/>
      <w:szCs w:val="20"/>
    </w:rPr>
  </w:style>
  <w:style w:type="paragraph" w:customStyle="1" w:styleId="424">
    <w:name w:val="默认段落字体 Para Char Char Char Char Char"/>
    <w:basedOn w:val="1"/>
    <w:qFormat/>
    <w:uiPriority w:val="0"/>
    <w:rPr>
      <w:rFonts w:ascii="Times New Roman" w:hAnsi="Times New Roman"/>
      <w:szCs w:val="20"/>
    </w:rPr>
  </w:style>
  <w:style w:type="paragraph" w:customStyle="1" w:styleId="425">
    <w:name w:val="样式 行距: 1.5 倍行距"/>
    <w:basedOn w:val="1"/>
    <w:qFormat/>
    <w:uiPriority w:val="0"/>
    <w:pPr>
      <w:spacing w:line="360" w:lineRule="auto"/>
      <w:ind w:firstLine="420" w:firstLineChars="200"/>
    </w:pPr>
    <w:rPr>
      <w:rFonts w:ascii="Arial" w:hAnsi="Arial" w:eastAsia="Arial"/>
      <w:sz w:val="24"/>
      <w:szCs w:val="20"/>
    </w:rPr>
  </w:style>
  <w:style w:type="paragraph" w:customStyle="1" w:styleId="426">
    <w:name w:val="样式 小四 行距: 固定值 26 磅"/>
    <w:basedOn w:val="1"/>
    <w:qFormat/>
    <w:uiPriority w:val="0"/>
    <w:pPr>
      <w:adjustRightInd w:val="0"/>
      <w:snapToGrid w:val="0"/>
      <w:spacing w:line="360" w:lineRule="auto"/>
    </w:pPr>
    <w:rPr>
      <w:rFonts w:ascii="Times New Roman" w:hAnsi="Times New Roman"/>
      <w:color w:val="000000"/>
      <w:sz w:val="28"/>
      <w:szCs w:val="28"/>
    </w:rPr>
  </w:style>
  <w:style w:type="paragraph" w:customStyle="1" w:styleId="427">
    <w:name w:val="样式 haydonli + 首行缩进:  2 字符"/>
    <w:basedOn w:val="371"/>
    <w:qFormat/>
    <w:uiPriority w:val="0"/>
    <w:pPr>
      <w:adjustRightInd w:val="0"/>
      <w:ind w:firstLine="420" w:firstLineChars="175"/>
    </w:pPr>
    <w:rPr>
      <w:rFonts w:ascii="Times New Roman" w:hAnsi="Times New Roman"/>
      <w:bCs w:val="0"/>
    </w:rPr>
  </w:style>
  <w:style w:type="paragraph" w:customStyle="1" w:styleId="428">
    <w:name w:val="样式 样式 正文 +1 + 首行缩进:  2 字符"/>
    <w:basedOn w:val="1"/>
    <w:qFormat/>
    <w:uiPriority w:val="0"/>
    <w:pPr>
      <w:ind w:firstLine="560" w:firstLineChars="200"/>
    </w:pPr>
    <w:rPr>
      <w:rFonts w:ascii="Times New Roman" w:hAnsi="Times New Roman" w:cs="宋体"/>
      <w:kern w:val="0"/>
      <w:sz w:val="28"/>
      <w:szCs w:val="20"/>
    </w:rPr>
  </w:style>
  <w:style w:type="paragraph" w:customStyle="1" w:styleId="429">
    <w:name w:val="Char8 Char Char Char"/>
    <w:basedOn w:val="1"/>
    <w:qFormat/>
    <w:uiPriority w:val="0"/>
    <w:pPr>
      <w:spacing w:line="360" w:lineRule="auto"/>
      <w:ind w:firstLine="200" w:firstLineChars="200"/>
    </w:pPr>
    <w:rPr>
      <w:rFonts w:ascii="宋体" w:hAnsi="宋体" w:cs="宋体"/>
      <w:sz w:val="24"/>
      <w:szCs w:val="24"/>
    </w:rPr>
  </w:style>
  <w:style w:type="paragraph" w:customStyle="1" w:styleId="430">
    <w:name w:val="样式 标题 4L4款标题款标题1.1.1.1 + (西文) Times New Roman (中文) 宋体 加粗 段...1"/>
    <w:basedOn w:val="3"/>
    <w:qFormat/>
    <w:uiPriority w:val="0"/>
    <w:pPr>
      <w:tabs>
        <w:tab w:val="left" w:pos="578"/>
      </w:tabs>
      <w:adjustRightInd w:val="0"/>
      <w:snapToGrid w:val="0"/>
      <w:spacing w:before="60" w:after="60" w:line="500" w:lineRule="atLeast"/>
    </w:pPr>
    <w:rPr>
      <w:rFonts w:cs="宋体"/>
      <w:snapToGrid w:val="0"/>
      <w:szCs w:val="20"/>
    </w:rPr>
  </w:style>
  <w:style w:type="paragraph" w:customStyle="1" w:styleId="431">
    <w:name w:val="Char Char Char1 Char Char Char Char Char Char Char Char Char"/>
    <w:basedOn w:val="1"/>
    <w:qFormat/>
    <w:uiPriority w:val="0"/>
    <w:pPr>
      <w:adjustRightInd w:val="0"/>
      <w:snapToGrid w:val="0"/>
      <w:spacing w:line="360" w:lineRule="auto"/>
    </w:pPr>
    <w:rPr>
      <w:rFonts w:ascii="宋体" w:hAnsi="宋体" w:cs="宋体"/>
      <w:sz w:val="24"/>
      <w:szCs w:val="24"/>
    </w:rPr>
  </w:style>
  <w:style w:type="paragraph" w:customStyle="1" w:styleId="432">
    <w:name w:val="xl57"/>
    <w:basedOn w:val="1"/>
    <w:qFormat/>
    <w:uiPriority w:val="0"/>
    <w:pPr>
      <w:pBdr>
        <w:bottom w:val="single" w:color="auto" w:sz="8" w:space="0"/>
        <w:right w:val="single" w:color="auto" w:sz="12" w:space="0"/>
      </w:pBdr>
      <w:spacing w:before="100" w:beforeAutospacing="1" w:after="100" w:afterAutospacing="1"/>
      <w:jc w:val="center"/>
    </w:pPr>
    <w:rPr>
      <w:rFonts w:ascii="Times New Roman" w:hAnsi="Times New Roman"/>
      <w:color w:val="333399"/>
      <w:kern w:val="0"/>
      <w:szCs w:val="21"/>
    </w:rPr>
  </w:style>
  <w:style w:type="paragraph" w:customStyle="1" w:styleId="433">
    <w:name w:val="表格样式1"/>
    <w:basedOn w:val="1"/>
    <w:next w:val="1"/>
    <w:qFormat/>
    <w:uiPriority w:val="0"/>
    <w:pPr>
      <w:adjustRightInd w:val="0"/>
      <w:spacing w:line="40" w:lineRule="atLeast"/>
      <w:jc w:val="center"/>
      <w:textAlignment w:val="baseline"/>
    </w:pPr>
    <w:rPr>
      <w:rFonts w:ascii="Times New Roman" w:hAnsi="Times New Roman"/>
      <w:kern w:val="0"/>
      <w:sz w:val="24"/>
      <w:szCs w:val="20"/>
    </w:rPr>
  </w:style>
  <w:style w:type="paragraph" w:customStyle="1" w:styleId="434">
    <w:name w:val="样式6"/>
    <w:basedOn w:val="9"/>
    <w:link w:val="435"/>
    <w:qFormat/>
    <w:uiPriority w:val="0"/>
    <w:pPr>
      <w:tabs>
        <w:tab w:val="left" w:pos="1247"/>
        <w:tab w:val="left" w:pos="1400"/>
      </w:tabs>
      <w:adjustRightInd w:val="0"/>
      <w:snapToGrid w:val="0"/>
      <w:ind w:left="851" w:hanging="171"/>
    </w:pPr>
    <w:rPr>
      <w:rFonts w:ascii="Arial" w:hAnsi="Arial"/>
      <w:bCs w:val="0"/>
      <w:snapToGrid w:val="0"/>
      <w:kern w:val="0"/>
      <w:szCs w:val="20"/>
    </w:rPr>
  </w:style>
  <w:style w:type="character" w:customStyle="1" w:styleId="435">
    <w:name w:val="样式6 Char Char"/>
    <w:link w:val="434"/>
    <w:qFormat/>
    <w:uiPriority w:val="0"/>
    <w:rPr>
      <w:rFonts w:ascii="Arial" w:hAnsi="Arial"/>
      <w:b/>
      <w:snapToGrid w:val="0"/>
      <w:sz w:val="30"/>
    </w:rPr>
  </w:style>
  <w:style w:type="paragraph" w:customStyle="1" w:styleId="436">
    <w:name w:val="Char Char Char Char Char Char Char Char Char Char Char Char Char Char Char Char Char Char Char Char Char Char Char Char Char Char Char Char Char Char Char Char Char Char Char Char Char Char Char Char Char Char Char Char Char Char"/>
    <w:basedOn w:val="1"/>
    <w:next w:val="1"/>
    <w:qFormat/>
    <w:uiPriority w:val="0"/>
    <w:pPr>
      <w:pBdr>
        <w:right w:val="single" w:color="auto" w:sz="12" w:space="4"/>
      </w:pBdr>
      <w:spacing w:line="360" w:lineRule="auto"/>
      <w:ind w:firstLine="200" w:firstLineChars="200"/>
    </w:pPr>
    <w:rPr>
      <w:rFonts w:ascii="宋体" w:hAnsi="宋体" w:cs="宋体"/>
      <w:sz w:val="24"/>
      <w:szCs w:val="24"/>
    </w:rPr>
  </w:style>
  <w:style w:type="paragraph" w:customStyle="1" w:styleId="437">
    <w:name w:val="表内文字沣西新城"/>
    <w:basedOn w:val="1"/>
    <w:qFormat/>
    <w:uiPriority w:val="0"/>
    <w:pPr>
      <w:jc w:val="center"/>
    </w:pPr>
    <w:rPr>
      <w:rFonts w:ascii="Times New Roman" w:hAnsi="Times New Roman"/>
      <w:szCs w:val="24"/>
    </w:rPr>
  </w:style>
  <w:style w:type="paragraph" w:customStyle="1" w:styleId="438">
    <w:name w:val="样式 表格 + 左侧:  0.98 厘米 字符缩放: 90%"/>
    <w:basedOn w:val="187"/>
    <w:qFormat/>
    <w:uiPriority w:val="0"/>
    <w:pPr>
      <w:adjustRightInd w:val="0"/>
      <w:snapToGrid w:val="0"/>
      <w:spacing w:before="100" w:beforeAutospacing="1" w:after="100" w:afterAutospacing="1" w:line="300" w:lineRule="exact"/>
      <w:ind w:left="560" w:leftChars="200" w:right="-120" w:rightChars="-50"/>
    </w:pPr>
    <w:rPr>
      <w:rFonts w:ascii="Arial" w:hAnsi="Arial"/>
      <w:color w:val="000000"/>
      <w:w w:val="90"/>
      <w:lang w:val="en-GB"/>
    </w:rPr>
  </w:style>
  <w:style w:type="paragraph" w:customStyle="1" w:styleId="439">
    <w:name w:val="默认段落字体 Char Char Char"/>
    <w:basedOn w:val="1"/>
    <w:qFormat/>
    <w:uiPriority w:val="0"/>
    <w:rPr>
      <w:rFonts w:ascii="Times New Roman" w:hAnsi="Times New Roman"/>
      <w:sz w:val="24"/>
      <w:szCs w:val="24"/>
    </w:rPr>
  </w:style>
  <w:style w:type="paragraph" w:customStyle="1" w:styleId="440">
    <w:name w:val="xl39"/>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kern w:val="0"/>
      <w:sz w:val="18"/>
      <w:szCs w:val="18"/>
    </w:rPr>
  </w:style>
  <w:style w:type="paragraph" w:customStyle="1" w:styleId="441">
    <w:name w:val="font5"/>
    <w:basedOn w:val="1"/>
    <w:qFormat/>
    <w:uiPriority w:val="0"/>
    <w:pPr>
      <w:spacing w:before="100" w:beforeAutospacing="1" w:after="100" w:afterAutospacing="1"/>
    </w:pPr>
    <w:rPr>
      <w:rFonts w:hint="eastAsia" w:ascii="宋体" w:hAnsi="宋体"/>
      <w:kern w:val="0"/>
      <w:sz w:val="18"/>
      <w:szCs w:val="18"/>
    </w:rPr>
  </w:style>
  <w:style w:type="paragraph" w:customStyle="1" w:styleId="442">
    <w:name w:val="样式 题注 + 首行缩进:  2 字符"/>
    <w:basedOn w:val="22"/>
    <w:qFormat/>
    <w:uiPriority w:val="0"/>
    <w:pPr>
      <w:widowControl/>
      <w:spacing w:line="240" w:lineRule="auto"/>
      <w:ind w:firstLine="0" w:firstLineChars="0"/>
    </w:pPr>
    <w:rPr>
      <w:rFonts w:ascii="宋体" w:hAnsi="宋体" w:cs="宋体"/>
      <w:b w:val="0"/>
      <w:color w:val="000000"/>
      <w:sz w:val="21"/>
      <w:szCs w:val="21"/>
    </w:rPr>
  </w:style>
  <w:style w:type="paragraph" w:customStyle="1" w:styleId="443">
    <w:name w:val="标题 4.tx"/>
    <w:basedOn w:val="1"/>
    <w:qFormat/>
    <w:uiPriority w:val="0"/>
    <w:pPr>
      <w:keepNext/>
      <w:keepLines/>
      <w:spacing w:before="120" w:after="120" w:line="520" w:lineRule="exact"/>
      <w:outlineLvl w:val="3"/>
    </w:pPr>
    <w:rPr>
      <w:rFonts w:ascii="Times New Roman" w:hAnsi="Times New Roman" w:cs="宋体"/>
      <w:spacing w:val="8"/>
      <w:sz w:val="28"/>
      <w:szCs w:val="20"/>
    </w:rPr>
  </w:style>
  <w:style w:type="paragraph" w:customStyle="1" w:styleId="444">
    <w:name w:val="Normal I"/>
    <w:basedOn w:val="1"/>
    <w:qFormat/>
    <w:uiPriority w:val="0"/>
    <w:pPr>
      <w:ind w:firstLine="420" w:firstLineChars="200"/>
    </w:pPr>
    <w:rPr>
      <w:rFonts w:ascii="Times New Roman" w:hAnsi="Times New Roman"/>
      <w:szCs w:val="21"/>
    </w:rPr>
  </w:style>
  <w:style w:type="paragraph" w:customStyle="1" w:styleId="445">
    <w:name w:val="样式 题注 + 段前: 0.5 行"/>
    <w:basedOn w:val="22"/>
    <w:qFormat/>
    <w:uiPriority w:val="0"/>
    <w:pPr>
      <w:keepNext/>
      <w:spacing w:before="120"/>
      <w:ind w:left="560" w:leftChars="200" w:firstLine="0" w:firstLineChars="0"/>
      <w:jc w:val="left"/>
    </w:pPr>
    <w:rPr>
      <w:rFonts w:ascii="Arial" w:hAnsi="Arial"/>
      <w:snapToGrid w:val="0"/>
      <w:sz w:val="21"/>
      <w:szCs w:val="20"/>
    </w:rPr>
  </w:style>
  <w:style w:type="paragraph" w:customStyle="1" w:styleId="446">
    <w:name w:val="样式 正文缩进正文（首行缩进两字） Char正文（首行缩进两字） Char Chars4正文缩进 Chars4 Cha...1"/>
    <w:basedOn w:val="2"/>
    <w:qFormat/>
    <w:uiPriority w:val="0"/>
    <w:pPr>
      <w:spacing w:line="360" w:lineRule="auto"/>
      <w:ind w:firstLine="200"/>
    </w:pPr>
    <w:rPr>
      <w:rFonts w:ascii="Times New Roman" w:hAnsi="Times New Roman" w:cs="宋体"/>
      <w:sz w:val="24"/>
      <w:szCs w:val="20"/>
    </w:rPr>
  </w:style>
  <w:style w:type="paragraph" w:customStyle="1" w:styleId="447">
    <w:name w:val="表文字"/>
    <w:basedOn w:val="1"/>
    <w:link w:val="448"/>
    <w:qFormat/>
    <w:uiPriority w:val="0"/>
    <w:pPr>
      <w:spacing w:line="360" w:lineRule="exact"/>
      <w:jc w:val="center"/>
    </w:pPr>
    <w:rPr>
      <w:rFonts w:ascii="Arial" w:hAnsi="Arial"/>
      <w:szCs w:val="24"/>
    </w:rPr>
  </w:style>
  <w:style w:type="character" w:customStyle="1" w:styleId="448">
    <w:name w:val="表文字 Char1"/>
    <w:link w:val="447"/>
    <w:qFormat/>
    <w:uiPriority w:val="0"/>
    <w:rPr>
      <w:rFonts w:ascii="Arial" w:hAnsi="Arial"/>
      <w:kern w:val="2"/>
      <w:sz w:val="21"/>
      <w:szCs w:val="24"/>
    </w:rPr>
  </w:style>
  <w:style w:type="paragraph" w:customStyle="1" w:styleId="449">
    <w:name w:val="Char Char Char1 Char"/>
    <w:basedOn w:val="1"/>
    <w:qFormat/>
    <w:uiPriority w:val="0"/>
    <w:rPr>
      <w:rFonts w:ascii="Times New Roman" w:hAnsi="Times New Roman"/>
      <w:szCs w:val="20"/>
    </w:rPr>
  </w:style>
  <w:style w:type="paragraph" w:customStyle="1" w:styleId="450">
    <w:name w:val="样式 标题 3 + 首行缩进:  2 字符"/>
    <w:basedOn w:val="7"/>
    <w:qFormat/>
    <w:uiPriority w:val="0"/>
    <w:pPr>
      <w:keepNext w:val="0"/>
      <w:keepLines w:val="0"/>
      <w:spacing w:before="156" w:beforeLines="50" w:after="0"/>
    </w:pPr>
    <w:rPr>
      <w:rFonts w:ascii="黑体" w:hAnsi="宋体" w:cs="宋体"/>
      <w:b w:val="0"/>
      <w:kern w:val="0"/>
    </w:rPr>
  </w:style>
  <w:style w:type="paragraph" w:customStyle="1" w:styleId="451">
    <w:name w:val="Char4 Char Char Char Char Char Char1"/>
    <w:basedOn w:val="1"/>
    <w:qFormat/>
    <w:uiPriority w:val="0"/>
    <w:pPr>
      <w:keepNext/>
      <w:adjustRightInd w:val="0"/>
      <w:snapToGrid w:val="0"/>
      <w:spacing w:before="312" w:beforeLines="100" w:line="360" w:lineRule="auto"/>
      <w:ind w:firstLine="420"/>
      <w:outlineLvl w:val="1"/>
    </w:pPr>
    <w:rPr>
      <w:rFonts w:ascii="Times New Roman" w:hAnsi="Times New Roman" w:eastAsia="黑体" w:cs="宋体"/>
      <w:sz w:val="32"/>
      <w:szCs w:val="32"/>
    </w:rPr>
  </w:style>
  <w:style w:type="paragraph" w:customStyle="1" w:styleId="452">
    <w:name w:val="unnamed1"/>
    <w:basedOn w:val="1"/>
    <w:qFormat/>
    <w:uiPriority w:val="0"/>
    <w:pPr>
      <w:spacing w:before="100" w:beforeAutospacing="1" w:after="100" w:afterAutospacing="1" w:line="285" w:lineRule="atLeast"/>
    </w:pPr>
    <w:rPr>
      <w:rFonts w:ascii="宋体" w:hAnsi="宋体" w:cs="宋体"/>
      <w:color w:val="CC6633"/>
      <w:kern w:val="0"/>
      <w:sz w:val="18"/>
      <w:szCs w:val="18"/>
    </w:rPr>
  </w:style>
  <w:style w:type="paragraph" w:customStyle="1" w:styleId="453">
    <w:name w:val="标题 3.tx"/>
    <w:basedOn w:val="7"/>
    <w:qFormat/>
    <w:uiPriority w:val="0"/>
    <w:pPr>
      <w:spacing w:before="120" w:after="120" w:line="520" w:lineRule="exact"/>
    </w:pPr>
    <w:rPr>
      <w:rFonts w:cs="宋体"/>
      <w:spacing w:val="8"/>
      <w:szCs w:val="20"/>
    </w:rPr>
  </w:style>
  <w:style w:type="paragraph" w:customStyle="1" w:styleId="454">
    <w:name w:val="样式 标题 3条标题1.1.1条标题BSH-3W3 + 非加粗 段前: 0.5 行 段后: 0.5 行 行距: 单..."/>
    <w:basedOn w:val="7"/>
    <w:qFormat/>
    <w:uiPriority w:val="0"/>
    <w:pPr>
      <w:keepNext w:val="0"/>
      <w:keepLines w:val="0"/>
      <w:adjustRightInd w:val="0"/>
      <w:snapToGrid w:val="0"/>
      <w:spacing w:before="156" w:after="156"/>
    </w:pPr>
    <w:rPr>
      <w:rFonts w:ascii="宋体" w:hAnsi="宋体" w:cs="宋体"/>
      <w:bCs w:val="0"/>
      <w:snapToGrid w:val="0"/>
      <w:color w:val="000000"/>
      <w:kern w:val="0"/>
      <w:sz w:val="24"/>
      <w:szCs w:val="24"/>
    </w:rPr>
  </w:style>
  <w:style w:type="paragraph" w:customStyle="1" w:styleId="455">
    <w:name w:val="样式 表格 + 左侧:  0.98 厘米"/>
    <w:basedOn w:val="1"/>
    <w:qFormat/>
    <w:uiPriority w:val="0"/>
    <w:pPr>
      <w:adjustRightInd w:val="0"/>
      <w:snapToGrid w:val="0"/>
      <w:spacing w:before="100" w:beforeAutospacing="1" w:after="100" w:afterAutospacing="1" w:line="300" w:lineRule="auto"/>
    </w:pPr>
    <w:rPr>
      <w:rFonts w:ascii="Arial" w:hAnsi="Arial"/>
      <w:snapToGrid w:val="0"/>
      <w:kern w:val="0"/>
      <w:szCs w:val="20"/>
    </w:rPr>
  </w:style>
  <w:style w:type="paragraph" w:customStyle="1" w:styleId="456">
    <w:name w:val="font7"/>
    <w:basedOn w:val="1"/>
    <w:qFormat/>
    <w:uiPriority w:val="0"/>
    <w:pPr>
      <w:spacing w:before="100" w:beforeAutospacing="1" w:after="100" w:afterAutospacing="1"/>
    </w:pPr>
    <w:rPr>
      <w:rFonts w:ascii="Times New Roman" w:hAnsi="Times New Roman"/>
      <w:kern w:val="0"/>
      <w:sz w:val="18"/>
      <w:szCs w:val="18"/>
    </w:rPr>
  </w:style>
  <w:style w:type="paragraph" w:customStyle="1" w:styleId="457">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58">
    <w:name w:val="样式 样式 标题 3 + 首行缩进:  2 字符 + 首行缩进:  0.85 厘米"/>
    <w:basedOn w:val="450"/>
    <w:qFormat/>
    <w:uiPriority w:val="0"/>
  </w:style>
  <w:style w:type="paragraph" w:customStyle="1" w:styleId="459">
    <w:name w:val="表格文字2"/>
    <w:basedOn w:val="1"/>
    <w:qFormat/>
    <w:uiPriority w:val="0"/>
    <w:pPr>
      <w:adjustRightInd w:val="0"/>
      <w:snapToGrid w:val="0"/>
      <w:spacing w:before="60"/>
      <w:ind w:firstLine="480"/>
      <w:textAlignment w:val="baseline"/>
    </w:pPr>
    <w:rPr>
      <w:rFonts w:ascii="Times New Roman" w:hAnsi="Times New Roman"/>
      <w:sz w:val="24"/>
      <w:szCs w:val="20"/>
    </w:rPr>
  </w:style>
  <w:style w:type="paragraph" w:customStyle="1" w:styleId="460">
    <w:name w:val="Char Char1 Char Char Char Char Char Char"/>
    <w:basedOn w:val="1"/>
    <w:qFormat/>
    <w:uiPriority w:val="0"/>
    <w:pPr>
      <w:adjustRightInd w:val="0"/>
      <w:snapToGrid w:val="0"/>
      <w:spacing w:beforeLines="25" w:afterLines="25" w:line="240" w:lineRule="exact"/>
      <w:ind w:firstLine="560" w:firstLineChars="192"/>
    </w:pPr>
    <w:rPr>
      <w:rFonts w:ascii="宋体" w:hAnsi="宋体"/>
      <w:kern w:val="0"/>
      <w:sz w:val="28"/>
      <w:szCs w:val="28"/>
      <w:lang w:eastAsia="en-US"/>
    </w:rPr>
  </w:style>
  <w:style w:type="paragraph" w:customStyle="1" w:styleId="461">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9966"/>
      <w:kern w:val="0"/>
      <w:sz w:val="18"/>
      <w:szCs w:val="18"/>
    </w:rPr>
  </w:style>
  <w:style w:type="paragraph" w:customStyle="1" w:styleId="462">
    <w:name w:val="xl41"/>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000080"/>
      <w:kern w:val="0"/>
      <w:sz w:val="18"/>
      <w:szCs w:val="18"/>
    </w:rPr>
  </w:style>
  <w:style w:type="paragraph" w:customStyle="1" w:styleId="463">
    <w:name w:val="样式 样式1 + 段前: 0.5 行"/>
    <w:basedOn w:val="5"/>
    <w:qFormat/>
    <w:uiPriority w:val="0"/>
    <w:pPr>
      <w:tabs>
        <w:tab w:val="left" w:pos="425"/>
      </w:tabs>
      <w:spacing w:before="100" w:beforeAutospacing="1" w:after="0" w:line="240" w:lineRule="auto"/>
      <w:ind w:left="425" w:hanging="425" w:firstLineChars="200"/>
    </w:pPr>
    <w:rPr>
      <w:rFonts w:cs="宋体"/>
      <w:sz w:val="24"/>
      <w:szCs w:val="20"/>
    </w:rPr>
  </w:style>
  <w:style w:type="paragraph" w:customStyle="1" w:styleId="464">
    <w:name w:val="Char Char Char Char Char Char Char Char Char Char Char Char Char"/>
    <w:basedOn w:val="1"/>
    <w:qFormat/>
    <w:uiPriority w:val="0"/>
    <w:pPr>
      <w:snapToGrid w:val="0"/>
      <w:spacing w:line="360" w:lineRule="auto"/>
      <w:ind w:firstLine="200" w:firstLineChars="200"/>
    </w:pPr>
    <w:rPr>
      <w:rFonts w:ascii="宋体" w:hAnsi="宋体" w:eastAsia="仿宋_GB2312" w:cs="宋体"/>
      <w:kern w:val="0"/>
      <w:sz w:val="24"/>
      <w:szCs w:val="24"/>
    </w:rPr>
  </w:style>
  <w:style w:type="paragraph" w:customStyle="1" w:styleId="465">
    <w:name w:val="样式 样式 段前: 0.5 行 段后: 0.5 行 + 首行缩进:  2 字符 段前: 0.5 行 段后: 0.5 行"/>
    <w:basedOn w:val="1"/>
    <w:next w:val="1"/>
    <w:qFormat/>
    <w:uiPriority w:val="0"/>
    <w:pPr>
      <w:tabs>
        <w:tab w:val="left" w:pos="1060"/>
      </w:tabs>
      <w:snapToGrid w:val="0"/>
      <w:spacing w:line="360" w:lineRule="auto"/>
      <w:ind w:firstLine="560" w:firstLineChars="200"/>
    </w:pPr>
    <w:rPr>
      <w:rFonts w:ascii="仿宋_GB2312" w:hAnsi="宋体" w:eastAsia="仿宋_GB2312"/>
      <w:bCs/>
      <w:sz w:val="28"/>
      <w:szCs w:val="28"/>
    </w:rPr>
  </w:style>
  <w:style w:type="paragraph" w:customStyle="1" w:styleId="466">
    <w:name w:val="xl58"/>
    <w:basedOn w:val="1"/>
    <w:qFormat/>
    <w:uiPriority w:val="0"/>
    <w:pPr>
      <w:pBdr>
        <w:bottom w:val="single" w:color="auto" w:sz="12" w:space="0"/>
        <w:right w:val="double" w:color="auto" w:sz="6" w:space="0"/>
      </w:pBdr>
      <w:spacing w:before="100" w:beforeAutospacing="1" w:after="100" w:afterAutospacing="1"/>
      <w:jc w:val="center"/>
    </w:pPr>
    <w:rPr>
      <w:rFonts w:ascii="Times New Roman" w:hAnsi="Times New Roman"/>
      <w:kern w:val="0"/>
      <w:szCs w:val="21"/>
    </w:rPr>
  </w:style>
  <w:style w:type="paragraph" w:customStyle="1" w:styleId="467">
    <w:name w:val="Char Char Char Char"/>
    <w:basedOn w:val="1"/>
    <w:qFormat/>
    <w:uiPriority w:val="0"/>
    <w:pPr>
      <w:numPr>
        <w:ilvl w:val="3"/>
        <w:numId w:val="2"/>
      </w:numPr>
    </w:pPr>
    <w:rPr>
      <w:rFonts w:ascii="Times New Roman" w:hAnsi="Times New Roman"/>
      <w:szCs w:val="24"/>
    </w:rPr>
  </w:style>
  <w:style w:type="paragraph" w:customStyle="1" w:styleId="468">
    <w:name w:val="样式7"/>
    <w:basedOn w:val="10"/>
    <w:link w:val="469"/>
    <w:qFormat/>
    <w:uiPriority w:val="0"/>
    <w:pPr>
      <w:tabs>
        <w:tab w:val="left" w:pos="1040"/>
      </w:tabs>
      <w:adjustRightInd w:val="0"/>
      <w:snapToGrid w:val="0"/>
      <w:spacing w:before="0" w:after="0" w:line="360" w:lineRule="auto"/>
      <w:ind w:left="851" w:hanging="171"/>
    </w:pPr>
    <w:rPr>
      <w:rFonts w:ascii="宋体" w:hAnsi="Times New Roman"/>
      <w:bCs w:val="0"/>
      <w:snapToGrid w:val="0"/>
      <w:kern w:val="0"/>
      <w:szCs w:val="20"/>
    </w:rPr>
  </w:style>
  <w:style w:type="character" w:customStyle="1" w:styleId="469">
    <w:name w:val="样式7 Char"/>
    <w:basedOn w:val="435"/>
    <w:link w:val="468"/>
    <w:qFormat/>
    <w:uiPriority w:val="0"/>
    <w:rPr>
      <w:rFonts w:ascii="宋体" w:hAnsi="Arial"/>
      <w:snapToGrid w:val="0"/>
      <w:sz w:val="24"/>
    </w:rPr>
  </w:style>
  <w:style w:type="paragraph" w:customStyle="1" w:styleId="470">
    <w:name w:val="5"/>
    <w:basedOn w:val="1"/>
    <w:next w:val="1"/>
    <w:qFormat/>
    <w:uiPriority w:val="0"/>
    <w:pPr>
      <w:adjustRightInd w:val="0"/>
      <w:spacing w:line="360" w:lineRule="atLeast"/>
      <w:ind w:firstLine="420"/>
      <w:textAlignment w:val="baseline"/>
    </w:pPr>
    <w:rPr>
      <w:rFonts w:ascii="Times New Roman" w:hAnsi="Times New Roman"/>
      <w:kern w:val="0"/>
      <w:sz w:val="24"/>
      <w:szCs w:val="20"/>
    </w:rPr>
  </w:style>
  <w:style w:type="paragraph" w:customStyle="1" w:styleId="471">
    <w:name w:val="xl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FF0000"/>
      <w:kern w:val="0"/>
      <w:sz w:val="18"/>
      <w:szCs w:val="18"/>
    </w:rPr>
  </w:style>
  <w:style w:type="paragraph" w:customStyle="1" w:styleId="472">
    <w:name w:val="temp"/>
    <w:basedOn w:val="1"/>
    <w:qFormat/>
    <w:uiPriority w:val="0"/>
    <w:pPr>
      <w:adjustRightInd w:val="0"/>
      <w:spacing w:line="460" w:lineRule="exact"/>
      <w:textAlignment w:val="baseline"/>
    </w:pPr>
    <w:rPr>
      <w:rFonts w:ascii="Times New Roman" w:hAnsi="Times New Roman"/>
      <w:kern w:val="0"/>
      <w:sz w:val="24"/>
      <w:szCs w:val="20"/>
    </w:rPr>
  </w:style>
  <w:style w:type="paragraph" w:customStyle="1" w:styleId="473">
    <w:name w:val="附录章标题"/>
    <w:next w:val="7"/>
    <w:qFormat/>
    <w:uiPriority w:val="0"/>
    <w:pPr>
      <w:wordWrap w:val="0"/>
      <w:overflowPunct w:val="0"/>
      <w:autoSpaceDE w:val="0"/>
      <w:spacing w:before="50" w:beforeLines="50" w:after="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474">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339966"/>
      <w:kern w:val="0"/>
      <w:sz w:val="18"/>
      <w:szCs w:val="18"/>
    </w:rPr>
  </w:style>
  <w:style w:type="paragraph" w:customStyle="1" w:styleId="475">
    <w:name w:val="样式 样式 正文缩进 + 行距: 1.5 倍行距 + 首行缩进:  2 字符"/>
    <w:basedOn w:val="1"/>
    <w:qFormat/>
    <w:uiPriority w:val="0"/>
    <w:pPr>
      <w:adjustRightInd w:val="0"/>
      <w:snapToGrid w:val="0"/>
      <w:spacing w:line="360" w:lineRule="auto"/>
      <w:ind w:firstLine="200" w:firstLineChars="200"/>
    </w:pPr>
    <w:rPr>
      <w:rFonts w:ascii="Times New Roman" w:hAnsi="Times New Roman"/>
      <w:kern w:val="0"/>
      <w:sz w:val="28"/>
      <w:szCs w:val="20"/>
    </w:rPr>
  </w:style>
  <w:style w:type="paragraph" w:customStyle="1" w:styleId="476">
    <w:name w:val="样式 正文缩进s4 + 首行缩进:  2 字符"/>
    <w:basedOn w:val="2"/>
    <w:qFormat/>
    <w:uiPriority w:val="0"/>
    <w:pPr>
      <w:adjustRightInd w:val="0"/>
      <w:snapToGrid w:val="0"/>
      <w:spacing w:line="360" w:lineRule="auto"/>
      <w:ind w:firstLine="560"/>
    </w:pPr>
    <w:rPr>
      <w:rFonts w:ascii="Times New Roman" w:hAnsi="Times New Roman"/>
      <w:sz w:val="24"/>
      <w:szCs w:val="20"/>
    </w:rPr>
  </w:style>
  <w:style w:type="paragraph" w:customStyle="1" w:styleId="477">
    <w:name w:val="样式9"/>
    <w:basedOn w:val="7"/>
    <w:qFormat/>
    <w:uiPriority w:val="0"/>
    <w:pPr>
      <w:keepNext w:val="0"/>
      <w:keepLines w:val="0"/>
      <w:adjustRightInd w:val="0"/>
      <w:snapToGrid w:val="0"/>
      <w:spacing w:before="0" w:after="0"/>
    </w:pPr>
    <w:rPr>
      <w:rFonts w:ascii="宋体" w:hAnsi="宋体"/>
      <w:bCs w:val="0"/>
      <w:snapToGrid w:val="0"/>
      <w:color w:val="000000"/>
      <w:kern w:val="0"/>
      <w:sz w:val="24"/>
      <w:szCs w:val="24"/>
    </w:rPr>
  </w:style>
  <w:style w:type="paragraph" w:customStyle="1" w:styleId="478">
    <w:name w:val="xl59"/>
    <w:basedOn w:val="1"/>
    <w:qFormat/>
    <w:uiPriority w:val="0"/>
    <w:pPr>
      <w:pBdr>
        <w:bottom w:val="single" w:color="auto" w:sz="8" w:space="0"/>
        <w:right w:val="double" w:color="auto" w:sz="6" w:space="0"/>
      </w:pBdr>
      <w:spacing w:before="100" w:beforeAutospacing="1" w:after="100" w:afterAutospacing="1"/>
      <w:jc w:val="center"/>
    </w:pPr>
    <w:rPr>
      <w:rFonts w:ascii="Times New Roman" w:hAnsi="Times New Roman"/>
      <w:kern w:val="0"/>
      <w:szCs w:val="21"/>
    </w:rPr>
  </w:style>
  <w:style w:type="paragraph" w:customStyle="1" w:styleId="479">
    <w:name w:val="Char8"/>
    <w:basedOn w:val="1"/>
    <w:qFormat/>
    <w:uiPriority w:val="0"/>
    <w:pPr>
      <w:spacing w:line="360" w:lineRule="auto"/>
      <w:ind w:firstLine="200" w:firstLineChars="200"/>
    </w:pPr>
    <w:rPr>
      <w:rFonts w:ascii="宋体" w:hAnsi="宋体" w:cs="宋体"/>
      <w:sz w:val="24"/>
      <w:szCs w:val="24"/>
    </w:rPr>
  </w:style>
  <w:style w:type="paragraph" w:customStyle="1" w:styleId="480">
    <w:name w:val="修订1"/>
    <w:semiHidden/>
    <w:qFormat/>
    <w:uiPriority w:val="99"/>
    <w:rPr>
      <w:rFonts w:ascii="Times New Roman" w:hAnsi="Times New Roman" w:eastAsia="宋体" w:cs="Times New Roman"/>
      <w:kern w:val="2"/>
      <w:sz w:val="21"/>
      <w:szCs w:val="24"/>
      <w:lang w:val="en-US" w:eastAsia="zh-CN" w:bidi="ar-SA"/>
    </w:rPr>
  </w:style>
  <w:style w:type="paragraph" w:customStyle="1" w:styleId="481">
    <w:name w:val="xl62"/>
    <w:basedOn w:val="1"/>
    <w:qFormat/>
    <w:uiPriority w:val="0"/>
    <w:pPr>
      <w:pBdr>
        <w:bottom w:val="single" w:color="auto" w:sz="8" w:space="0"/>
        <w:right w:val="single" w:color="auto" w:sz="12" w:space="0"/>
      </w:pBdr>
      <w:spacing w:before="100" w:beforeAutospacing="1" w:after="100" w:afterAutospacing="1"/>
      <w:jc w:val="center"/>
    </w:pPr>
    <w:rPr>
      <w:rFonts w:ascii="Times New Roman" w:hAnsi="Times New Roman"/>
      <w:color w:val="333399"/>
      <w:kern w:val="0"/>
      <w:szCs w:val="21"/>
    </w:rPr>
  </w:style>
  <w:style w:type="paragraph" w:customStyle="1" w:styleId="482">
    <w:name w:val="表正文中对齐"/>
    <w:basedOn w:val="1"/>
    <w:qFormat/>
    <w:uiPriority w:val="0"/>
    <w:pPr>
      <w:adjustRightInd w:val="0"/>
      <w:snapToGrid w:val="0"/>
      <w:spacing w:line="360" w:lineRule="auto"/>
      <w:jc w:val="center"/>
    </w:pPr>
    <w:rPr>
      <w:rFonts w:ascii="宋体" w:hAnsi="宋体"/>
      <w:bCs/>
      <w:sz w:val="28"/>
      <w:szCs w:val="28"/>
    </w:rPr>
  </w:style>
  <w:style w:type="paragraph" w:customStyle="1" w:styleId="483">
    <w:name w:val="样式 标题 2标题 1.1节标题节标题 1.1标题 yjm2第一章 标题 2Heading 2 HiddenHea..."/>
    <w:basedOn w:val="6"/>
    <w:qFormat/>
    <w:uiPriority w:val="0"/>
    <w:pPr>
      <w:keepNext w:val="0"/>
      <w:keepLines w:val="0"/>
      <w:adjustRightInd w:val="0"/>
      <w:snapToGrid w:val="0"/>
      <w:spacing w:before="156" w:beforeLines="50"/>
    </w:pPr>
    <w:rPr>
      <w:rFonts w:cs="宋体"/>
      <w:bCs w:val="0"/>
      <w:szCs w:val="30"/>
    </w:rPr>
  </w:style>
  <w:style w:type="paragraph" w:customStyle="1" w:styleId="484">
    <w:name w:val="样式 标题 2节标题 1.11.1标题2b2标题2标题 1.1节标题W21.1标题 2h2l22nd le..."/>
    <w:basedOn w:val="6"/>
    <w:qFormat/>
    <w:uiPriority w:val="0"/>
    <w:pPr>
      <w:keepNext w:val="0"/>
      <w:tabs>
        <w:tab w:val="left" w:pos="576"/>
      </w:tabs>
    </w:pPr>
    <w:rPr>
      <w:rFonts w:ascii="黑体" w:cs="宋体"/>
      <w:b w:val="0"/>
      <w:kern w:val="0"/>
      <w:szCs w:val="30"/>
    </w:rPr>
  </w:style>
  <w:style w:type="paragraph" w:customStyle="1" w:styleId="485">
    <w:name w:val="样式 样式 样式 正文缩进s4 + 首行缩进:  2 字符 + 首行缩进:  2 字符 +"/>
    <w:basedOn w:val="486"/>
    <w:qFormat/>
    <w:uiPriority w:val="0"/>
    <w:pPr>
      <w:spacing w:line="490" w:lineRule="exact"/>
      <w:ind w:left="0" w:leftChars="0" w:firstLine="538" w:firstLineChars="192"/>
    </w:pPr>
    <w:rPr>
      <w:rFonts w:eastAsia="仿宋_GB2312"/>
      <w:kern w:val="0"/>
      <w:szCs w:val="28"/>
    </w:rPr>
  </w:style>
  <w:style w:type="paragraph" w:customStyle="1" w:styleId="486">
    <w:name w:val="样式 样式 正文缩进s4 + 首行缩进:  2 字符 + 首行缩进:  2 字符"/>
    <w:basedOn w:val="1"/>
    <w:qFormat/>
    <w:uiPriority w:val="0"/>
    <w:pPr>
      <w:adjustRightInd w:val="0"/>
      <w:snapToGrid w:val="0"/>
      <w:ind w:left="-416" w:leftChars="-198" w:firstLine="1960" w:firstLineChars="700"/>
    </w:pPr>
    <w:rPr>
      <w:rFonts w:ascii="宋体" w:hAnsi="宋体"/>
      <w:color w:val="000000"/>
      <w:sz w:val="28"/>
      <w:szCs w:val="20"/>
    </w:rPr>
  </w:style>
  <w:style w:type="paragraph" w:customStyle="1" w:styleId="487">
    <w:name w:val="Char4 Char Char Char Char Char Char"/>
    <w:basedOn w:val="1"/>
    <w:qFormat/>
    <w:uiPriority w:val="0"/>
    <w:pPr>
      <w:spacing w:line="360" w:lineRule="auto"/>
    </w:pPr>
    <w:rPr>
      <w:rFonts w:ascii="宋体" w:hAnsi="宋体" w:cs="宋体"/>
      <w:sz w:val="24"/>
      <w:szCs w:val="24"/>
    </w:rPr>
  </w:style>
  <w:style w:type="paragraph" w:customStyle="1" w:styleId="488">
    <w:name w:val="表中1"/>
    <w:basedOn w:val="414"/>
    <w:qFormat/>
    <w:uiPriority w:val="0"/>
    <w:pPr>
      <w:spacing w:line="360" w:lineRule="atLeast"/>
    </w:pPr>
    <w:rPr>
      <w:rFonts w:ascii="宋体" w:hAnsi="宋体" w:cs="宋体"/>
      <w:snapToGrid w:val="0"/>
      <w:color w:val="auto"/>
      <w:kern w:val="0"/>
      <w:szCs w:val="21"/>
    </w:rPr>
  </w:style>
  <w:style w:type="paragraph" w:customStyle="1" w:styleId="489">
    <w:name w:val="Char1 Char Char Char Char Char Char Char Char Char1"/>
    <w:basedOn w:val="1"/>
    <w:qFormat/>
    <w:uiPriority w:val="0"/>
    <w:pPr>
      <w:spacing w:line="360" w:lineRule="auto"/>
    </w:pPr>
    <w:rPr>
      <w:rFonts w:ascii="宋体" w:hAnsi="宋体" w:cs="宋体"/>
      <w:sz w:val="24"/>
      <w:szCs w:val="24"/>
    </w:rPr>
  </w:style>
  <w:style w:type="paragraph" w:customStyle="1" w:styleId="490">
    <w:name w:val="Char6"/>
    <w:basedOn w:val="1"/>
    <w:qFormat/>
    <w:uiPriority w:val="0"/>
    <w:pPr>
      <w:spacing w:line="360" w:lineRule="auto"/>
      <w:ind w:firstLine="200" w:firstLineChars="200"/>
    </w:pPr>
    <w:rPr>
      <w:rFonts w:ascii="宋体" w:hAnsi="宋体" w:cs="宋体"/>
      <w:sz w:val="24"/>
      <w:szCs w:val="24"/>
    </w:rPr>
  </w:style>
  <w:style w:type="paragraph" w:customStyle="1" w:styleId="491">
    <w:name w:val="样式 标题 3条标题1.1.13h33rd levelH3l3CT1.1.1段物探标题3 Char Char..."/>
    <w:basedOn w:val="7"/>
    <w:qFormat/>
    <w:uiPriority w:val="0"/>
    <w:pPr>
      <w:keepNext w:val="0"/>
      <w:keepLines w:val="0"/>
      <w:numPr>
        <w:numId w:val="0"/>
      </w:numPr>
      <w:adjustRightInd w:val="0"/>
      <w:snapToGrid w:val="0"/>
      <w:spacing w:before="156" w:beforeLines="50" w:after="0"/>
    </w:pPr>
    <w:rPr>
      <w:rFonts w:ascii="Arial" w:hAnsi="Arial"/>
      <w:bCs w:val="0"/>
      <w:color w:val="FF6600"/>
      <w:sz w:val="30"/>
      <w:szCs w:val="30"/>
    </w:rPr>
  </w:style>
  <w:style w:type="paragraph" w:customStyle="1" w:styleId="492">
    <w:name w:val="Char Char Char Char Char Char"/>
    <w:basedOn w:val="1"/>
    <w:qFormat/>
    <w:uiPriority w:val="0"/>
    <w:pPr>
      <w:spacing w:after="160" w:line="240" w:lineRule="exact"/>
    </w:pPr>
    <w:rPr>
      <w:rFonts w:ascii="Verdana" w:hAnsi="Verdana" w:eastAsia="仿宋_GB2312"/>
      <w:b/>
      <w:kern w:val="0"/>
      <w:sz w:val="28"/>
      <w:szCs w:val="30"/>
      <w:lang w:eastAsia="en-US"/>
    </w:rPr>
  </w:style>
  <w:style w:type="paragraph" w:customStyle="1" w:styleId="493">
    <w:name w:val="font11"/>
    <w:basedOn w:val="1"/>
    <w:qFormat/>
    <w:uiPriority w:val="0"/>
    <w:pPr>
      <w:spacing w:before="100" w:beforeAutospacing="1" w:after="100" w:afterAutospacing="1"/>
    </w:pPr>
    <w:rPr>
      <w:rFonts w:ascii="Times New Roman" w:hAnsi="Times New Roman"/>
      <w:color w:val="800000"/>
      <w:kern w:val="0"/>
      <w:szCs w:val="21"/>
    </w:rPr>
  </w:style>
  <w:style w:type="paragraph" w:customStyle="1" w:styleId="494">
    <w:name w:val="xl83"/>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Arial" w:hAnsi="Arial" w:cs="Arial"/>
      <w:b/>
      <w:bCs/>
      <w:color w:val="993366"/>
      <w:kern w:val="0"/>
      <w:sz w:val="18"/>
      <w:szCs w:val="18"/>
    </w:rPr>
  </w:style>
  <w:style w:type="paragraph" w:customStyle="1" w:styleId="495">
    <w:name w:val="默认段落字体 Para Char"/>
    <w:basedOn w:val="1"/>
    <w:qFormat/>
    <w:uiPriority w:val="0"/>
    <w:pPr>
      <w:spacing w:line="360" w:lineRule="auto"/>
    </w:pPr>
    <w:rPr>
      <w:rFonts w:ascii="Tahoma" w:hAnsi="Tahoma"/>
      <w:sz w:val="24"/>
      <w:szCs w:val="20"/>
    </w:rPr>
  </w:style>
  <w:style w:type="paragraph" w:customStyle="1" w:styleId="496">
    <w:name w:val="Char Char Char Char1 Char Char"/>
    <w:basedOn w:val="1"/>
    <w:qFormat/>
    <w:uiPriority w:val="0"/>
    <w:pPr>
      <w:spacing w:line="360" w:lineRule="auto"/>
      <w:ind w:firstLine="200" w:firstLineChars="200"/>
    </w:pPr>
    <w:rPr>
      <w:rFonts w:ascii="宋体" w:hAnsi="宋体" w:cs="宋体"/>
      <w:sz w:val="24"/>
      <w:szCs w:val="24"/>
    </w:rPr>
  </w:style>
  <w:style w:type="paragraph" w:customStyle="1" w:styleId="497">
    <w:name w:val="表小四中"/>
    <w:basedOn w:val="1"/>
    <w:qFormat/>
    <w:uiPriority w:val="0"/>
    <w:pPr>
      <w:tabs>
        <w:tab w:val="left" w:pos="580"/>
      </w:tabs>
      <w:adjustRightInd w:val="0"/>
      <w:snapToGrid w:val="0"/>
      <w:jc w:val="center"/>
    </w:pPr>
    <w:rPr>
      <w:rFonts w:ascii="Times New Roman" w:hAnsi="Times New Roman"/>
      <w:bCs/>
      <w:sz w:val="24"/>
      <w:szCs w:val="24"/>
    </w:rPr>
  </w:style>
  <w:style w:type="paragraph" w:customStyle="1" w:styleId="498">
    <w:name w:val="样式 标题 1 + 宋体 20 磅 非加粗 居中 段前: 35 磅 段后: 18 磅 行距: 固定值 26.5 磅"/>
    <w:basedOn w:val="5"/>
    <w:qFormat/>
    <w:uiPriority w:val="0"/>
    <w:pPr>
      <w:pageBreakBefore/>
      <w:tabs>
        <w:tab w:val="left" w:pos="435"/>
        <w:tab w:val="left" w:pos="600"/>
        <w:tab w:val="left" w:pos="1060"/>
      </w:tabs>
      <w:overflowPunct w:val="0"/>
      <w:topLinePunct/>
      <w:adjustRightInd w:val="0"/>
      <w:snapToGrid w:val="0"/>
      <w:spacing w:before="360" w:beforeLines="50" w:after="360" w:afterLines="50" w:line="520" w:lineRule="exact"/>
      <w:ind w:left="435" w:hanging="435"/>
      <w:textAlignment w:val="center"/>
    </w:pPr>
    <w:rPr>
      <w:rFonts w:ascii="黑体" w:hAnsi="Arial" w:cs="宋体"/>
      <w:color w:val="000000"/>
      <w:kern w:val="0"/>
      <w:szCs w:val="32"/>
    </w:rPr>
  </w:style>
  <w:style w:type="paragraph" w:customStyle="1" w:styleId="499">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olor w:val="0000FF"/>
      <w:kern w:val="0"/>
      <w:sz w:val="18"/>
      <w:szCs w:val="18"/>
    </w:rPr>
  </w:style>
  <w:style w:type="paragraph" w:customStyle="1" w:styleId="500">
    <w:name w:val="样式 题注 + (西文) Times New Roman (中文) 宋体 五号 段前: 0 磅 段后: 0 磅 行距:...1"/>
    <w:basedOn w:val="22"/>
    <w:qFormat/>
    <w:uiPriority w:val="0"/>
    <w:pPr>
      <w:widowControl/>
      <w:spacing w:line="490" w:lineRule="exact"/>
      <w:ind w:firstLine="0" w:firstLineChars="0"/>
    </w:pPr>
    <w:rPr>
      <w:rFonts w:cs="宋体"/>
      <w:b w:val="0"/>
      <w:color w:val="000000"/>
      <w:sz w:val="21"/>
      <w:szCs w:val="21"/>
    </w:rPr>
  </w:style>
  <w:style w:type="paragraph" w:customStyle="1" w:styleId="501">
    <w:name w:val="p0"/>
    <w:basedOn w:val="1"/>
    <w:qFormat/>
    <w:uiPriority w:val="0"/>
    <w:pPr>
      <w:spacing w:line="240" w:lineRule="atLeast"/>
    </w:pPr>
    <w:rPr>
      <w:rFonts w:ascii="Times New Roman" w:hAnsi="Times New Roman" w:eastAsia="仿宋_GB2312"/>
      <w:kern w:val="0"/>
      <w:sz w:val="32"/>
      <w:szCs w:val="20"/>
    </w:rPr>
  </w:style>
  <w:style w:type="paragraph" w:customStyle="1" w:styleId="502">
    <w:name w:val="Char Char Char Char Char Char Char"/>
    <w:basedOn w:val="1"/>
    <w:qFormat/>
    <w:uiPriority w:val="0"/>
    <w:rPr>
      <w:rFonts w:ascii="Times New Roman" w:hAnsi="Times New Roman"/>
      <w:szCs w:val="24"/>
    </w:rPr>
  </w:style>
  <w:style w:type="paragraph" w:customStyle="1" w:styleId="503">
    <w:name w:val="样式 标题 2标题 1.1节标题节标题 1.1标题 yjm2第一章 标题 2Heading 2 HiddenHea...1"/>
    <w:basedOn w:val="6"/>
    <w:qFormat/>
    <w:uiPriority w:val="0"/>
    <w:pPr>
      <w:keepLines w:val="0"/>
      <w:numPr>
        <w:numId w:val="0"/>
      </w:numPr>
      <w:adjustRightInd w:val="0"/>
      <w:snapToGrid w:val="0"/>
      <w:spacing w:before="156" w:beforeLines="50"/>
    </w:pPr>
    <w:rPr>
      <w:rFonts w:ascii="Arial" w:hAnsi="Arial" w:eastAsia="黑体" w:cs="宋体"/>
      <w:b w:val="0"/>
      <w:bCs w:val="0"/>
      <w:szCs w:val="20"/>
    </w:rPr>
  </w:style>
  <w:style w:type="paragraph" w:customStyle="1" w:styleId="504">
    <w:name w:val="Char Char Char Char Char Char Char Char Char Char Char Char Char Char Char Char Char Char"/>
    <w:basedOn w:val="1"/>
    <w:qFormat/>
    <w:uiPriority w:val="0"/>
    <w:rPr>
      <w:rFonts w:ascii="Times New Roman" w:hAnsi="Times New Roman"/>
      <w:szCs w:val="24"/>
    </w:rPr>
  </w:style>
  <w:style w:type="paragraph" w:customStyle="1" w:styleId="505">
    <w:name w:val="xl73"/>
    <w:basedOn w:val="1"/>
    <w:qFormat/>
    <w:uiPriority w:val="0"/>
    <w:pPr>
      <w:pBdr>
        <w:bottom w:val="single" w:color="auto" w:sz="8" w:space="0"/>
        <w:right w:val="single" w:color="auto" w:sz="8" w:space="0"/>
      </w:pBdr>
      <w:shd w:val="clear" w:color="000000" w:fill="00FFFF"/>
      <w:spacing w:before="100" w:beforeAutospacing="1" w:after="100" w:afterAutospacing="1"/>
      <w:jc w:val="center"/>
    </w:pPr>
    <w:rPr>
      <w:rFonts w:ascii="Times New Roman" w:hAnsi="Times New Roman"/>
      <w:color w:val="000000"/>
      <w:kern w:val="0"/>
      <w:sz w:val="18"/>
      <w:szCs w:val="18"/>
    </w:rPr>
  </w:style>
  <w:style w:type="paragraph" w:customStyle="1" w:styleId="506">
    <w:name w:val="bg正文"/>
    <w:basedOn w:val="1"/>
    <w:qFormat/>
    <w:uiPriority w:val="0"/>
    <w:pPr>
      <w:spacing w:line="360" w:lineRule="auto"/>
      <w:ind w:firstLine="200" w:firstLineChars="200"/>
    </w:pPr>
    <w:rPr>
      <w:rFonts w:ascii="宋体" w:hAnsi="宋体"/>
      <w:sz w:val="24"/>
      <w:szCs w:val="20"/>
    </w:rPr>
  </w:style>
  <w:style w:type="paragraph" w:customStyle="1" w:styleId="507">
    <w:name w:val="样式 正文文本 + 左侧:  0.98 厘米"/>
    <w:basedOn w:val="34"/>
    <w:qFormat/>
    <w:uiPriority w:val="0"/>
    <w:pPr>
      <w:tabs>
        <w:tab w:val="left" w:pos="3720"/>
      </w:tabs>
      <w:autoSpaceDE w:val="0"/>
      <w:autoSpaceDN w:val="0"/>
      <w:adjustRightInd w:val="0"/>
      <w:snapToGrid w:val="0"/>
      <w:spacing w:after="0" w:line="360" w:lineRule="auto"/>
      <w:ind w:firstLine="200" w:firstLineChars="200"/>
      <w:textAlignment w:val="bottom"/>
    </w:pPr>
    <w:rPr>
      <w:rFonts w:ascii="仿宋_GB2312" w:hAnsi="Times New Roman" w:eastAsia="仿宋_GB2312"/>
      <w:kern w:val="0"/>
      <w:sz w:val="28"/>
      <w:szCs w:val="20"/>
    </w:rPr>
  </w:style>
  <w:style w:type="paragraph" w:customStyle="1" w:styleId="508">
    <w:name w:val="xl55"/>
    <w:basedOn w:val="1"/>
    <w:qFormat/>
    <w:uiPriority w:val="0"/>
    <w:pPr>
      <w:spacing w:before="100" w:beforeAutospacing="1" w:after="100" w:afterAutospacing="1"/>
      <w:jc w:val="center"/>
    </w:pPr>
    <w:rPr>
      <w:rFonts w:ascii="Times New Roman" w:hAnsi="Times New Roman"/>
      <w:kern w:val="0"/>
      <w:szCs w:val="21"/>
    </w:rPr>
  </w:style>
  <w:style w:type="paragraph" w:customStyle="1" w:styleId="509">
    <w:name w:val="表文"/>
    <w:basedOn w:val="1"/>
    <w:qFormat/>
    <w:uiPriority w:val="0"/>
    <w:pPr>
      <w:overflowPunct w:val="0"/>
      <w:jc w:val="center"/>
      <w:textAlignment w:val="baseline"/>
    </w:pPr>
    <w:rPr>
      <w:rFonts w:ascii="Times New Roman" w:hAnsi="Times New Roman"/>
      <w:sz w:val="24"/>
      <w:szCs w:val="20"/>
    </w:rPr>
  </w:style>
  <w:style w:type="paragraph" w:customStyle="1" w:styleId="510">
    <w:name w:val="样式 正文缩进s4标题4 + 左侧:  0.98 厘米 首行缩进:  2 字符1"/>
    <w:basedOn w:val="2"/>
    <w:qFormat/>
    <w:uiPriority w:val="0"/>
    <w:pPr>
      <w:adjustRightInd w:val="0"/>
      <w:snapToGrid w:val="0"/>
      <w:spacing w:line="360" w:lineRule="auto"/>
      <w:ind w:firstLine="560"/>
    </w:pPr>
    <w:rPr>
      <w:rFonts w:ascii="Times New Roman" w:hAnsi="Times New Roman" w:eastAsia="仿宋_GB2312"/>
      <w:kern w:val="0"/>
      <w:sz w:val="28"/>
      <w:szCs w:val="20"/>
    </w:rPr>
  </w:style>
  <w:style w:type="paragraph" w:customStyle="1" w:styleId="511">
    <w:name w:val="正文1 小四"/>
    <w:basedOn w:val="1"/>
    <w:qFormat/>
    <w:uiPriority w:val="0"/>
    <w:pPr>
      <w:spacing w:line="420" w:lineRule="exact"/>
      <w:ind w:firstLine="200" w:firstLineChars="200"/>
    </w:pPr>
    <w:rPr>
      <w:rFonts w:ascii="Times New Roman" w:hAnsi="Times New Roman"/>
      <w:szCs w:val="20"/>
    </w:rPr>
  </w:style>
  <w:style w:type="paragraph" w:customStyle="1" w:styleId="512">
    <w:name w:val="xl51"/>
    <w:basedOn w:val="1"/>
    <w:qFormat/>
    <w:uiPriority w:val="0"/>
    <w:pPr>
      <w:pBdr>
        <w:bottom w:val="single" w:color="auto" w:sz="8" w:space="0"/>
        <w:right w:val="single" w:color="auto" w:sz="8" w:space="0"/>
      </w:pBdr>
      <w:spacing w:before="100" w:beforeAutospacing="1" w:after="100" w:afterAutospacing="1"/>
    </w:pPr>
    <w:rPr>
      <w:rFonts w:ascii="宋体" w:hAnsi="宋体" w:cs="宋体"/>
      <w:kern w:val="0"/>
      <w:szCs w:val="21"/>
    </w:rPr>
  </w:style>
  <w:style w:type="paragraph" w:customStyle="1" w:styleId="513">
    <w:name w:val="样式 标题 1 + 宋体 四号 非倾斜 行距: 最小值 28 磅"/>
    <w:basedOn w:val="5"/>
    <w:qFormat/>
    <w:uiPriority w:val="0"/>
    <w:pPr>
      <w:keepNext w:val="0"/>
      <w:keepLines w:val="0"/>
      <w:adjustRightInd w:val="0"/>
      <w:snapToGrid w:val="0"/>
      <w:spacing w:before="0" w:after="0" w:line="560" w:lineRule="atLeast"/>
    </w:pPr>
    <w:rPr>
      <w:rFonts w:ascii="黑体" w:hAnsi="宋体" w:cs="宋体"/>
      <w:bCs w:val="0"/>
      <w:kern w:val="0"/>
      <w:sz w:val="28"/>
      <w:szCs w:val="28"/>
    </w:rPr>
  </w:style>
  <w:style w:type="paragraph" w:customStyle="1" w:styleId="514">
    <w:name w:val="Char Char2 Char Char Char Char"/>
    <w:basedOn w:val="1"/>
    <w:qFormat/>
    <w:uiPriority w:val="0"/>
    <w:pPr>
      <w:adjustRightInd w:val="0"/>
      <w:snapToGrid w:val="0"/>
      <w:spacing w:line="360" w:lineRule="auto"/>
    </w:pPr>
    <w:rPr>
      <w:rFonts w:ascii="宋体" w:hAnsi="宋体" w:cs="宋体"/>
      <w:sz w:val="24"/>
      <w:szCs w:val="24"/>
    </w:rPr>
  </w:style>
  <w:style w:type="paragraph" w:customStyle="1" w:styleId="515">
    <w:name w:val="仿宋体"/>
    <w:basedOn w:val="1"/>
    <w:qFormat/>
    <w:uiPriority w:val="0"/>
    <w:pPr>
      <w:spacing w:line="844" w:lineRule="atLeast"/>
      <w:ind w:firstLine="419"/>
      <w:textAlignment w:val="baseline"/>
    </w:pPr>
    <w:rPr>
      <w:rFonts w:ascii="宋体" w:hAnsi="宋体" w:eastAsia="仿宋_GB2312" w:cs="宋体"/>
      <w:color w:val="000000"/>
      <w:kern w:val="0"/>
      <w:sz w:val="31"/>
      <w:szCs w:val="20"/>
      <w:u w:color="000000"/>
    </w:rPr>
  </w:style>
  <w:style w:type="paragraph" w:customStyle="1" w:styleId="516">
    <w:name w:val="xl70"/>
    <w:basedOn w:val="1"/>
    <w:qFormat/>
    <w:uiPriority w:val="0"/>
    <w:pPr>
      <w:pBdr>
        <w:bottom w:val="single" w:color="auto" w:sz="8" w:space="0"/>
        <w:right w:val="single" w:color="auto" w:sz="8" w:space="0"/>
      </w:pBdr>
      <w:spacing w:before="100" w:beforeAutospacing="1" w:after="100" w:afterAutospacing="1"/>
      <w:jc w:val="center"/>
    </w:pPr>
    <w:rPr>
      <w:rFonts w:ascii="宋体" w:hAnsi="宋体" w:cs="宋体"/>
      <w:color w:val="800000"/>
      <w:kern w:val="0"/>
      <w:szCs w:val="21"/>
    </w:rPr>
  </w:style>
  <w:style w:type="paragraph" w:customStyle="1" w:styleId="517">
    <w:name w:val="表中文字"/>
    <w:basedOn w:val="1"/>
    <w:qFormat/>
    <w:uiPriority w:val="0"/>
    <w:pPr>
      <w:snapToGrid w:val="0"/>
      <w:spacing w:line="340" w:lineRule="exact"/>
      <w:jc w:val="center"/>
    </w:pPr>
    <w:rPr>
      <w:rFonts w:ascii="Arial" w:hAnsi="Arial"/>
      <w:kern w:val="0"/>
      <w:szCs w:val="24"/>
      <w:lang w:eastAsia="zh-TW"/>
    </w:rPr>
  </w:style>
  <w:style w:type="paragraph" w:customStyle="1" w:styleId="518">
    <w:name w:val="样式 段落样式 + 小四 字符缩放: 100% 行距: 最小值 22 磅"/>
    <w:basedOn w:val="1"/>
    <w:qFormat/>
    <w:uiPriority w:val="0"/>
    <w:pPr>
      <w:keepNext/>
      <w:adjustRightInd w:val="0"/>
      <w:snapToGrid w:val="0"/>
      <w:spacing w:line="440" w:lineRule="atLeast"/>
      <w:ind w:firstLine="482"/>
      <w:textAlignment w:val="baseline"/>
    </w:pPr>
    <w:rPr>
      <w:rFonts w:ascii="Times New Roman" w:hAnsi="Times New Roman"/>
      <w:kern w:val="32"/>
      <w:sz w:val="28"/>
      <w:szCs w:val="20"/>
    </w:rPr>
  </w:style>
  <w:style w:type="paragraph" w:customStyle="1" w:styleId="519">
    <w:name w:val="正文缩进1"/>
    <w:basedOn w:val="1"/>
    <w:qFormat/>
    <w:uiPriority w:val="0"/>
    <w:pPr>
      <w:ind w:firstLine="420"/>
    </w:pPr>
    <w:rPr>
      <w:rFonts w:ascii="Times New Roman" w:hAnsi="Times New Roman" w:eastAsia="仿宋_GB2312"/>
      <w:kern w:val="0"/>
      <w:sz w:val="28"/>
      <w:szCs w:val="20"/>
    </w:rPr>
  </w:style>
  <w:style w:type="paragraph" w:customStyle="1" w:styleId="520">
    <w:name w:val="xl52"/>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color w:val="000000"/>
      <w:kern w:val="0"/>
      <w:szCs w:val="21"/>
    </w:rPr>
  </w:style>
  <w:style w:type="paragraph" w:customStyle="1" w:styleId="521">
    <w:name w:val="表小四左"/>
    <w:basedOn w:val="1"/>
    <w:qFormat/>
    <w:uiPriority w:val="0"/>
    <w:pPr>
      <w:tabs>
        <w:tab w:val="left" w:pos="0"/>
      </w:tabs>
      <w:overflowPunct w:val="0"/>
      <w:topLinePunct/>
      <w:adjustRightInd w:val="0"/>
      <w:snapToGrid w:val="0"/>
      <w:spacing w:after="60" w:line="400" w:lineRule="exact"/>
      <w:textAlignment w:val="center"/>
    </w:pPr>
    <w:rPr>
      <w:rFonts w:ascii="楷体_GB2312" w:hAnsi="Arial" w:eastAsia="仿宋_GB2312"/>
      <w:szCs w:val="21"/>
    </w:rPr>
  </w:style>
  <w:style w:type="paragraph" w:customStyle="1" w:styleId="522">
    <w:name w:val="样式 正文文本缩进 2 + 左侧:  0.98 厘米 首行缩进:  2 字符"/>
    <w:basedOn w:val="55"/>
    <w:qFormat/>
    <w:uiPriority w:val="0"/>
    <w:pPr>
      <w:adjustRightInd w:val="0"/>
      <w:snapToGrid w:val="0"/>
      <w:spacing w:after="0" w:line="360" w:lineRule="auto"/>
      <w:ind w:left="0" w:leftChars="0" w:firstLine="560" w:firstLineChars="200"/>
    </w:pPr>
    <w:rPr>
      <w:rFonts w:ascii="Times New Roman" w:hAnsi="Times New Roman" w:eastAsia="仿宋_GB2312"/>
      <w:sz w:val="28"/>
      <w:szCs w:val="20"/>
    </w:rPr>
  </w:style>
  <w:style w:type="paragraph" w:customStyle="1" w:styleId="523">
    <w:name w:val="Char4 Char Char Char Char Char Char11"/>
    <w:basedOn w:val="1"/>
    <w:qFormat/>
    <w:uiPriority w:val="0"/>
    <w:pPr>
      <w:spacing w:line="360" w:lineRule="auto"/>
      <w:ind w:firstLine="200" w:firstLineChars="200"/>
    </w:pPr>
    <w:rPr>
      <w:rFonts w:ascii="宋体" w:hAnsi="宋体" w:cs="宋体"/>
      <w:sz w:val="24"/>
      <w:szCs w:val="24"/>
    </w:rPr>
  </w:style>
  <w:style w:type="paragraph" w:customStyle="1" w:styleId="524">
    <w:name w:val="样式 左侧:  0.98 厘米 字距调整小四"/>
    <w:basedOn w:val="1"/>
    <w:qFormat/>
    <w:uiPriority w:val="0"/>
    <w:pPr>
      <w:adjustRightInd w:val="0"/>
      <w:snapToGrid w:val="0"/>
      <w:spacing w:line="360" w:lineRule="auto"/>
      <w:ind w:firstLine="200" w:firstLineChars="200"/>
    </w:pPr>
    <w:rPr>
      <w:rFonts w:ascii="Times New Roman" w:hAnsi="Times New Roman" w:eastAsia="仿宋_GB2312"/>
      <w:kern w:val="24"/>
      <w:sz w:val="28"/>
      <w:szCs w:val="20"/>
    </w:rPr>
  </w:style>
  <w:style w:type="paragraph" w:customStyle="1" w:styleId="525">
    <w:name w:val="Char Char Char1 Char Char Char Char Char Char Char1 Char Char Char Char Char Char Char Char Char Char Char Char"/>
    <w:basedOn w:val="1"/>
    <w:qFormat/>
    <w:uiPriority w:val="0"/>
    <w:rPr>
      <w:rFonts w:ascii="Times New Roman" w:hAnsi="Times New Roman"/>
      <w:szCs w:val="24"/>
    </w:rPr>
  </w:style>
  <w:style w:type="paragraph" w:customStyle="1" w:styleId="526">
    <w:name w:val="特性表注"/>
    <w:basedOn w:val="1"/>
    <w:qFormat/>
    <w:uiPriority w:val="0"/>
    <w:pPr>
      <w:adjustRightInd w:val="0"/>
      <w:snapToGrid w:val="0"/>
      <w:spacing w:line="360" w:lineRule="auto"/>
    </w:pPr>
    <w:rPr>
      <w:rFonts w:ascii="黑体" w:hAnsi="宋体"/>
      <w:snapToGrid w:val="0"/>
      <w:kern w:val="0"/>
      <w:szCs w:val="24"/>
    </w:rPr>
  </w:style>
  <w:style w:type="paragraph" w:customStyle="1" w:styleId="527">
    <w:name w:val="font8"/>
    <w:basedOn w:val="1"/>
    <w:qFormat/>
    <w:uiPriority w:val="0"/>
    <w:pPr>
      <w:spacing w:before="100" w:beforeAutospacing="1" w:after="100" w:afterAutospacing="1"/>
    </w:pPr>
    <w:rPr>
      <w:rFonts w:ascii="Times New Roman" w:hAnsi="Times New Roman"/>
      <w:color w:val="339966"/>
      <w:kern w:val="0"/>
      <w:sz w:val="18"/>
      <w:szCs w:val="18"/>
    </w:rPr>
  </w:style>
  <w:style w:type="paragraph" w:customStyle="1" w:styleId="528">
    <w:name w:val="Char Char Char"/>
    <w:basedOn w:val="1"/>
    <w:qFormat/>
    <w:uiPriority w:val="0"/>
    <w:pPr>
      <w:spacing w:line="360" w:lineRule="auto"/>
      <w:ind w:firstLine="200" w:firstLineChars="200"/>
    </w:pPr>
    <w:rPr>
      <w:rFonts w:ascii="宋体" w:hAnsi="宋体" w:cs="宋体"/>
      <w:sz w:val="24"/>
      <w:szCs w:val="24"/>
    </w:rPr>
  </w:style>
  <w:style w:type="paragraph" w:customStyle="1" w:styleId="529">
    <w:name w:val="xl84"/>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s="宋体"/>
      <w:b/>
      <w:bCs/>
      <w:color w:val="993366"/>
      <w:kern w:val="0"/>
      <w:sz w:val="18"/>
      <w:szCs w:val="18"/>
    </w:rPr>
  </w:style>
  <w:style w:type="paragraph" w:customStyle="1" w:styleId="530">
    <w:name w:val="Char Char Char Char Char Char Char Char Char1 Char Char Char Char Char Char Char Char Char Char"/>
    <w:basedOn w:val="1"/>
    <w:qFormat/>
    <w:uiPriority w:val="0"/>
    <w:pPr>
      <w:spacing w:after="160" w:line="240" w:lineRule="exact"/>
    </w:pPr>
    <w:rPr>
      <w:rFonts w:ascii="Verdana" w:hAnsi="Verdana" w:eastAsia="仿宋_GB2312"/>
      <w:kern w:val="0"/>
      <w:sz w:val="28"/>
      <w:szCs w:val="20"/>
      <w:lang w:eastAsia="en-US"/>
    </w:rPr>
  </w:style>
  <w:style w:type="paragraph" w:customStyle="1" w:styleId="531">
    <w:name w:val="Char Char Char Char1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32">
    <w:name w:val="标题1q"/>
    <w:basedOn w:val="5"/>
    <w:qFormat/>
    <w:uiPriority w:val="0"/>
    <w:pPr>
      <w:tabs>
        <w:tab w:val="left" w:pos="2322"/>
      </w:tabs>
      <w:ind w:left="431" w:firstLine="200" w:firstLineChars="200"/>
      <w:jc w:val="center"/>
    </w:pPr>
    <w:rPr>
      <w:rFonts w:ascii="黑体" w:hAnsi="宋体" w:cs="宋体"/>
      <w:b/>
      <w:bCs w:val="0"/>
      <w:szCs w:val="32"/>
    </w:rPr>
  </w:style>
  <w:style w:type="paragraph" w:customStyle="1" w:styleId="533">
    <w:name w:val="Char Char1 Char Char"/>
    <w:basedOn w:val="1"/>
    <w:qFormat/>
    <w:uiPriority w:val="0"/>
    <w:pPr>
      <w:spacing w:after="160" w:line="240" w:lineRule="exact"/>
    </w:pPr>
    <w:rPr>
      <w:rFonts w:ascii="Verdana" w:hAnsi="Verdana" w:eastAsia="仿宋_GB2312"/>
      <w:kern w:val="0"/>
      <w:sz w:val="28"/>
      <w:szCs w:val="20"/>
      <w:lang w:eastAsia="en-US"/>
    </w:rPr>
  </w:style>
  <w:style w:type="paragraph" w:styleId="534">
    <w:name w:val="No Spacing"/>
    <w:basedOn w:val="1"/>
    <w:link w:val="535"/>
    <w:qFormat/>
    <w:uiPriority w:val="0"/>
    <w:pPr>
      <w:widowControl w:val="0"/>
      <w:jc w:val="center"/>
    </w:pPr>
    <w:rPr>
      <w:rFonts w:ascii="Times New Roman" w:hAnsi="Times New Roman"/>
      <w:sz w:val="24"/>
    </w:rPr>
  </w:style>
  <w:style w:type="character" w:customStyle="1" w:styleId="535">
    <w:name w:val="无间隔 Char"/>
    <w:link w:val="534"/>
    <w:qFormat/>
    <w:uiPriority w:val="0"/>
    <w:rPr>
      <w:kern w:val="2"/>
      <w:sz w:val="24"/>
      <w:szCs w:val="22"/>
    </w:rPr>
  </w:style>
  <w:style w:type="paragraph" w:customStyle="1" w:styleId="536">
    <w:name w:val="样式 四号 首行缩进:  0.85 厘米"/>
    <w:basedOn w:val="1"/>
    <w:qFormat/>
    <w:uiPriority w:val="0"/>
    <w:pPr>
      <w:adjustRightInd w:val="0"/>
      <w:spacing w:line="360" w:lineRule="auto"/>
      <w:ind w:firstLine="200" w:firstLineChars="200"/>
    </w:pPr>
    <w:rPr>
      <w:rFonts w:ascii="Times New Roman" w:hAnsi="Times New Roman" w:cs="宋体"/>
      <w:sz w:val="28"/>
      <w:szCs w:val="28"/>
    </w:rPr>
  </w:style>
  <w:style w:type="paragraph" w:customStyle="1" w:styleId="537">
    <w:name w:val="传真正文"/>
    <w:basedOn w:val="34"/>
    <w:qFormat/>
    <w:uiPriority w:val="0"/>
    <w:pPr>
      <w:spacing w:after="0" w:line="360" w:lineRule="auto"/>
      <w:ind w:firstLine="480"/>
    </w:pPr>
    <w:rPr>
      <w:rFonts w:ascii="宋体" w:hAnsi="宋体" w:cs="宋体"/>
      <w:b/>
      <w:bCs/>
      <w:kern w:val="0"/>
      <w:sz w:val="24"/>
      <w:szCs w:val="20"/>
    </w:rPr>
  </w:style>
  <w:style w:type="paragraph" w:customStyle="1" w:styleId="538">
    <w:name w:val="Bullet"/>
    <w:basedOn w:val="1"/>
    <w:next w:val="1"/>
    <w:qFormat/>
    <w:uiPriority w:val="0"/>
    <w:pPr>
      <w:suppressLineNumbers/>
      <w:tabs>
        <w:tab w:val="left" w:pos="360"/>
      </w:tabs>
      <w:suppressAutoHyphens/>
      <w:spacing w:after="240"/>
      <w:ind w:left="720" w:hanging="360"/>
    </w:pPr>
    <w:rPr>
      <w:rFonts w:ascii="Times New Roman" w:hAnsi="Times New Roman"/>
      <w:kern w:val="0"/>
      <w:sz w:val="23"/>
      <w:szCs w:val="23"/>
      <w:lang w:eastAsia="en-US"/>
    </w:rPr>
  </w:style>
  <w:style w:type="paragraph" w:customStyle="1" w:styleId="539">
    <w:name w:val="Char71"/>
    <w:basedOn w:val="1"/>
    <w:semiHidden/>
    <w:qFormat/>
    <w:uiPriority w:val="0"/>
    <w:pPr>
      <w:adjustRightInd w:val="0"/>
      <w:snapToGrid w:val="0"/>
      <w:spacing w:line="360" w:lineRule="auto"/>
      <w:ind w:firstLine="200" w:firstLineChars="200"/>
    </w:pPr>
    <w:rPr>
      <w:rFonts w:ascii="宋体" w:hAnsi="宋体" w:cs="宋体"/>
      <w:sz w:val="24"/>
      <w:szCs w:val="24"/>
    </w:rPr>
  </w:style>
  <w:style w:type="paragraph" w:customStyle="1" w:styleId="540">
    <w:name w:val="默认段落字体 Para Char Char Char Char"/>
    <w:basedOn w:val="1"/>
    <w:qFormat/>
    <w:uiPriority w:val="0"/>
    <w:rPr>
      <w:rFonts w:ascii="Times New Roman" w:hAnsi="Times New Roman"/>
      <w:szCs w:val="24"/>
    </w:rPr>
  </w:style>
  <w:style w:type="paragraph" w:customStyle="1" w:styleId="541">
    <w:name w:val="正文(首行缩进)"/>
    <w:basedOn w:val="1"/>
    <w:link w:val="542"/>
    <w:qFormat/>
    <w:uiPriority w:val="0"/>
    <w:pPr>
      <w:snapToGrid w:val="0"/>
      <w:spacing w:line="360" w:lineRule="auto"/>
      <w:ind w:left="118" w:leftChars="49" w:firstLine="360" w:firstLineChars="200"/>
    </w:pPr>
    <w:rPr>
      <w:rFonts w:ascii="宋体" w:hAnsi="宋体"/>
      <w:sz w:val="18"/>
      <w:szCs w:val="20"/>
    </w:rPr>
  </w:style>
  <w:style w:type="character" w:customStyle="1" w:styleId="542">
    <w:name w:val="正文(首行缩进) Char Char"/>
    <w:link w:val="541"/>
    <w:qFormat/>
    <w:uiPriority w:val="0"/>
    <w:rPr>
      <w:rFonts w:ascii="宋体" w:hAnsi="宋体"/>
      <w:kern w:val="2"/>
      <w:sz w:val="18"/>
    </w:rPr>
  </w:style>
  <w:style w:type="paragraph" w:customStyle="1" w:styleId="543">
    <w:name w:val="样式 表头 + 华文楷体"/>
    <w:basedOn w:val="1"/>
    <w:qFormat/>
    <w:uiPriority w:val="0"/>
    <w:pPr>
      <w:topLinePunct/>
      <w:adjustRightInd w:val="0"/>
      <w:snapToGrid w:val="0"/>
      <w:spacing w:before="120" w:line="520" w:lineRule="atLeast"/>
    </w:pPr>
    <w:rPr>
      <w:rFonts w:ascii="华文楷体" w:hAnsi="华文楷体" w:eastAsia="黑体"/>
      <w:b/>
      <w:bCs/>
      <w:snapToGrid w:val="0"/>
      <w:kern w:val="0"/>
      <w:sz w:val="24"/>
      <w:szCs w:val="24"/>
    </w:rPr>
  </w:style>
  <w:style w:type="paragraph" w:customStyle="1" w:styleId="544">
    <w:name w:val="xl49"/>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color w:val="000000"/>
      <w:kern w:val="0"/>
      <w:szCs w:val="21"/>
    </w:rPr>
  </w:style>
  <w:style w:type="paragraph" w:customStyle="1" w:styleId="545">
    <w:name w:val="font13"/>
    <w:basedOn w:val="1"/>
    <w:qFormat/>
    <w:uiPriority w:val="0"/>
    <w:pPr>
      <w:spacing w:before="100" w:beforeAutospacing="1" w:after="100" w:afterAutospacing="1"/>
    </w:pPr>
    <w:rPr>
      <w:rFonts w:cs="宋体"/>
      <w:color w:val="FF0000"/>
      <w:kern w:val="0"/>
      <w:szCs w:val="21"/>
    </w:rPr>
  </w:style>
  <w:style w:type="paragraph" w:customStyle="1" w:styleId="546">
    <w:name w:val="样式 标题 22 + 橙色"/>
    <w:basedOn w:val="1"/>
    <w:qFormat/>
    <w:uiPriority w:val="0"/>
    <w:pPr>
      <w:keepNext/>
      <w:keepLines/>
      <w:tabs>
        <w:tab w:val="left" w:pos="786"/>
      </w:tabs>
      <w:adjustRightInd w:val="0"/>
      <w:snapToGrid w:val="0"/>
      <w:spacing w:before="120" w:line="360" w:lineRule="auto"/>
      <w:ind w:left="786" w:hanging="576"/>
      <w:outlineLvl w:val="1"/>
    </w:pPr>
    <w:rPr>
      <w:rFonts w:ascii="Arial" w:hAnsi="Arial" w:eastAsia="黑体"/>
      <w:color w:val="FF6600"/>
      <w:sz w:val="32"/>
      <w:szCs w:val="32"/>
    </w:rPr>
  </w:style>
  <w:style w:type="paragraph" w:customStyle="1" w:styleId="547">
    <w:name w:val="段落 Char"/>
    <w:basedOn w:val="1"/>
    <w:qFormat/>
    <w:uiPriority w:val="0"/>
    <w:pPr>
      <w:spacing w:line="360" w:lineRule="auto"/>
      <w:ind w:firstLine="480" w:firstLineChars="200"/>
      <w:textAlignment w:val="baseline"/>
    </w:pPr>
    <w:rPr>
      <w:rFonts w:ascii="Times New Roman" w:hAnsi="Times New Roman"/>
      <w:sz w:val="24"/>
      <w:szCs w:val="24"/>
    </w:rPr>
  </w:style>
  <w:style w:type="paragraph" w:customStyle="1" w:styleId="548">
    <w:name w:val="xl93"/>
    <w:basedOn w:val="1"/>
    <w:qFormat/>
    <w:uiPriority w:val="0"/>
    <w:pPr>
      <w:pBdr>
        <w:bottom w:val="single" w:color="auto" w:sz="8" w:space="0"/>
        <w:right w:val="single" w:color="auto" w:sz="8" w:space="0"/>
      </w:pBdr>
      <w:spacing w:before="100" w:beforeAutospacing="1" w:after="100" w:afterAutospacing="1"/>
      <w:jc w:val="center"/>
      <w:textAlignment w:val="bottom"/>
    </w:pPr>
    <w:rPr>
      <w:rFonts w:ascii="宋体" w:hAnsi="宋体" w:cs="宋体"/>
      <w:color w:val="000000"/>
      <w:kern w:val="0"/>
      <w:sz w:val="20"/>
      <w:szCs w:val="20"/>
    </w:rPr>
  </w:style>
  <w:style w:type="paragraph" w:customStyle="1" w:styleId="549">
    <w:name w:val="xl56"/>
    <w:basedOn w:val="1"/>
    <w:qFormat/>
    <w:uiPriority w:val="0"/>
    <w:pPr>
      <w:spacing w:before="100" w:beforeAutospacing="1" w:after="100" w:afterAutospacing="1"/>
      <w:jc w:val="center"/>
    </w:pPr>
    <w:rPr>
      <w:rFonts w:ascii="宋体" w:hAnsi="宋体" w:cs="宋体"/>
      <w:kern w:val="0"/>
      <w:szCs w:val="21"/>
    </w:rPr>
  </w:style>
  <w:style w:type="paragraph" w:customStyle="1" w:styleId="550">
    <w:name w:val="正文00"/>
    <w:basedOn w:val="1"/>
    <w:qFormat/>
    <w:uiPriority w:val="0"/>
    <w:pPr>
      <w:adjustRightInd w:val="0"/>
      <w:snapToGrid w:val="0"/>
      <w:spacing w:before="120" w:line="300" w:lineRule="auto"/>
      <w:ind w:firstLine="480" w:firstLineChars="200"/>
    </w:pPr>
    <w:rPr>
      <w:rFonts w:ascii="Times New Roman" w:hAnsi="宋体"/>
      <w:snapToGrid w:val="0"/>
      <w:color w:val="000000"/>
      <w:sz w:val="24"/>
      <w:szCs w:val="24"/>
    </w:rPr>
  </w:style>
  <w:style w:type="paragraph" w:customStyle="1" w:styleId="551">
    <w:name w:val="缩进正文"/>
    <w:basedOn w:val="1"/>
    <w:qFormat/>
    <w:uiPriority w:val="0"/>
    <w:pPr>
      <w:spacing w:line="360" w:lineRule="auto"/>
      <w:ind w:firstLine="200" w:firstLineChars="200"/>
    </w:pPr>
    <w:rPr>
      <w:rFonts w:ascii="Times New Roman" w:hAnsi="Times New Roman"/>
      <w:sz w:val="24"/>
      <w:szCs w:val="24"/>
    </w:rPr>
  </w:style>
  <w:style w:type="paragraph" w:customStyle="1" w:styleId="552">
    <w:name w:val="xl65"/>
    <w:basedOn w:val="1"/>
    <w:qFormat/>
    <w:uiPriority w:val="0"/>
    <w:pPr>
      <w:spacing w:before="100" w:beforeAutospacing="1" w:after="100" w:afterAutospacing="1"/>
      <w:jc w:val="center"/>
    </w:pPr>
    <w:rPr>
      <w:rFonts w:ascii="Times New Roman" w:hAnsi="Times New Roman"/>
      <w:kern w:val="0"/>
      <w:szCs w:val="21"/>
    </w:rPr>
  </w:style>
  <w:style w:type="paragraph" w:customStyle="1" w:styleId="553">
    <w:name w:val="xl64"/>
    <w:basedOn w:val="1"/>
    <w:qFormat/>
    <w:uiPriority w:val="0"/>
    <w:pPr>
      <w:pBdr>
        <w:bottom w:val="single" w:color="auto" w:sz="8" w:space="0"/>
        <w:right w:val="double" w:color="auto" w:sz="6" w:space="0"/>
      </w:pBdr>
      <w:spacing w:before="100" w:beforeAutospacing="1" w:after="100" w:afterAutospacing="1"/>
      <w:jc w:val="center"/>
    </w:pPr>
    <w:rPr>
      <w:rFonts w:ascii="Times New Roman" w:hAnsi="Times New Roman"/>
      <w:kern w:val="0"/>
      <w:szCs w:val="21"/>
    </w:rPr>
  </w:style>
  <w:style w:type="paragraph" w:customStyle="1" w:styleId="554">
    <w:name w:val="样式 表 + 首行缩进:  2 字符"/>
    <w:basedOn w:val="226"/>
    <w:qFormat/>
    <w:uiPriority w:val="0"/>
  </w:style>
  <w:style w:type="paragraph" w:customStyle="1" w:styleId="555">
    <w:name w:val="样式 样式 标题 2标题 1.1节标题节标题 1.1标题 yjm2第一章 标题 2Heading 2 HiddenHea...1..."/>
    <w:basedOn w:val="503"/>
    <w:qFormat/>
    <w:uiPriority w:val="0"/>
  </w:style>
  <w:style w:type="paragraph" w:customStyle="1" w:styleId="556">
    <w:name w:val="样式8"/>
    <w:basedOn w:val="1"/>
    <w:link w:val="557"/>
    <w:qFormat/>
    <w:uiPriority w:val="0"/>
    <w:pPr>
      <w:adjustRightInd w:val="0"/>
      <w:snapToGrid w:val="0"/>
      <w:spacing w:line="440" w:lineRule="atLeast"/>
      <w:ind w:firstLine="499"/>
    </w:pPr>
    <w:rPr>
      <w:rFonts w:ascii="宋体" w:hAnsi="Times New Roman"/>
      <w:snapToGrid w:val="0"/>
      <w:kern w:val="0"/>
      <w:sz w:val="28"/>
      <w:szCs w:val="20"/>
    </w:rPr>
  </w:style>
  <w:style w:type="character" w:customStyle="1" w:styleId="557">
    <w:name w:val="样式8 Char"/>
    <w:link w:val="556"/>
    <w:qFormat/>
    <w:uiPriority w:val="0"/>
    <w:rPr>
      <w:rFonts w:ascii="宋体"/>
      <w:snapToGrid w:val="0"/>
      <w:sz w:val="28"/>
    </w:rPr>
  </w:style>
  <w:style w:type="paragraph" w:customStyle="1" w:styleId="558">
    <w:name w:val="默认段落字体 Para Char Char Char Char Char Char Char Char Char Char Char Char Char1 Char"/>
    <w:basedOn w:val="26"/>
    <w:qFormat/>
    <w:uiPriority w:val="0"/>
    <w:pPr>
      <w:shd w:val="clear" w:color="auto" w:fill="000080"/>
      <w:adjustRightInd w:val="0"/>
      <w:snapToGrid w:val="0"/>
      <w:spacing w:line="360" w:lineRule="auto"/>
    </w:pPr>
    <w:rPr>
      <w:rFonts w:ascii="Tahoma" w:hAnsi="Tahoma" w:eastAsia="仿宋_GB2312"/>
      <w:sz w:val="28"/>
      <w:szCs w:val="20"/>
    </w:rPr>
  </w:style>
  <w:style w:type="paragraph" w:customStyle="1" w:styleId="559">
    <w:name w:val="发文正文"/>
    <w:basedOn w:val="1"/>
    <w:qFormat/>
    <w:uiPriority w:val="0"/>
    <w:pPr>
      <w:snapToGrid w:val="0"/>
      <w:spacing w:line="336" w:lineRule="auto"/>
      <w:ind w:firstLine="640" w:firstLineChars="200"/>
    </w:pPr>
    <w:rPr>
      <w:rFonts w:ascii="仿宋_GB2312" w:hAnsi="Times New Roman" w:eastAsia="仿宋_GB2312"/>
      <w:sz w:val="32"/>
      <w:szCs w:val="32"/>
    </w:rPr>
  </w:style>
  <w:style w:type="paragraph" w:customStyle="1" w:styleId="560">
    <w:name w:val="Char8 Char Char Char1"/>
    <w:basedOn w:val="1"/>
    <w:qFormat/>
    <w:uiPriority w:val="0"/>
    <w:pPr>
      <w:spacing w:line="360" w:lineRule="auto"/>
    </w:pPr>
    <w:rPr>
      <w:rFonts w:ascii="宋体" w:hAnsi="宋体" w:cs="宋体"/>
      <w:sz w:val="24"/>
      <w:szCs w:val="24"/>
    </w:rPr>
  </w:style>
  <w:style w:type="paragraph" w:customStyle="1" w:styleId="561">
    <w:name w:val="xl81"/>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宋体" w:hAnsi="宋体" w:cs="宋体"/>
      <w:b/>
      <w:bCs/>
      <w:color w:val="993366"/>
      <w:kern w:val="0"/>
      <w:sz w:val="18"/>
      <w:szCs w:val="18"/>
    </w:rPr>
  </w:style>
  <w:style w:type="paragraph" w:customStyle="1" w:styleId="562">
    <w:name w:val="Char Char2 Char Char Char Char1"/>
    <w:basedOn w:val="1"/>
    <w:semiHidden/>
    <w:qFormat/>
    <w:uiPriority w:val="0"/>
    <w:pPr>
      <w:spacing w:line="360" w:lineRule="auto"/>
      <w:ind w:firstLine="200" w:firstLineChars="200"/>
    </w:pPr>
    <w:rPr>
      <w:rFonts w:ascii="宋体" w:hAnsi="宋体" w:cs="宋体"/>
      <w:sz w:val="24"/>
      <w:szCs w:val="20"/>
    </w:rPr>
  </w:style>
  <w:style w:type="paragraph" w:customStyle="1" w:styleId="563">
    <w:name w:val="xl53"/>
    <w:basedOn w:val="1"/>
    <w:qFormat/>
    <w:uiPriority w:val="0"/>
    <w:pPr>
      <w:pBdr>
        <w:left w:val="double" w:color="auto" w:sz="6" w:space="0"/>
        <w:bottom w:val="single" w:color="auto" w:sz="8"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564">
    <w:name w:val="xl66"/>
    <w:basedOn w:val="1"/>
    <w:qFormat/>
    <w:uiPriority w:val="0"/>
    <w:pPr>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80"/>
      <w:kern w:val="0"/>
      <w:szCs w:val="21"/>
    </w:rPr>
  </w:style>
  <w:style w:type="paragraph" w:customStyle="1" w:styleId="565">
    <w:name w:val="样式 表格 + 加粗 居中 左侧:  0.98 厘米"/>
    <w:basedOn w:val="187"/>
    <w:qFormat/>
    <w:uiPriority w:val="0"/>
    <w:pPr>
      <w:adjustRightInd w:val="0"/>
      <w:snapToGrid w:val="0"/>
      <w:spacing w:before="100" w:beforeAutospacing="1" w:after="100" w:afterAutospacing="1" w:line="300" w:lineRule="exact"/>
      <w:ind w:left="560" w:leftChars="200" w:right="-120" w:rightChars="-50"/>
    </w:pPr>
    <w:rPr>
      <w:rFonts w:ascii="Arial" w:hAnsi="Arial"/>
      <w:b/>
      <w:bCs/>
      <w:color w:val="000000"/>
      <w:lang w:val="en-GB"/>
    </w:rPr>
  </w:style>
  <w:style w:type="paragraph" w:customStyle="1" w:styleId="566">
    <w:name w:val="0"/>
    <w:basedOn w:val="1"/>
    <w:qFormat/>
    <w:uiPriority w:val="0"/>
    <w:pPr>
      <w:snapToGrid w:val="0"/>
    </w:pPr>
    <w:rPr>
      <w:rFonts w:ascii="Times New Roman" w:hAnsi="Times New Roman"/>
      <w:kern w:val="0"/>
      <w:szCs w:val="20"/>
    </w:rPr>
  </w:style>
  <w:style w:type="paragraph" w:customStyle="1" w:styleId="567">
    <w:name w:val="样式4"/>
    <w:basedOn w:val="3"/>
    <w:link w:val="568"/>
    <w:qFormat/>
    <w:uiPriority w:val="0"/>
    <w:pPr>
      <w:tabs>
        <w:tab w:val="left" w:pos="360"/>
        <w:tab w:val="left" w:pos="990"/>
        <w:tab w:val="left" w:pos="1134"/>
        <w:tab w:val="left" w:pos="1440"/>
      </w:tabs>
    </w:pPr>
    <w:rPr>
      <w:rFonts w:ascii="Arial" w:hAnsi="Arial"/>
      <w:b w:val="0"/>
      <w:bCs w:val="0"/>
      <w:snapToGrid w:val="0"/>
      <w:kern w:val="0"/>
      <w:szCs w:val="20"/>
    </w:rPr>
  </w:style>
  <w:style w:type="character" w:customStyle="1" w:styleId="568">
    <w:name w:val="样式4 Char"/>
    <w:link w:val="567"/>
    <w:qFormat/>
    <w:uiPriority w:val="0"/>
    <w:rPr>
      <w:rFonts w:ascii="Arial" w:hAnsi="Arial"/>
      <w:snapToGrid w:val="0"/>
      <w:sz w:val="24"/>
    </w:rPr>
  </w:style>
  <w:style w:type="paragraph" w:customStyle="1" w:styleId="569">
    <w:name w:val="样式 标题 3条标题1.1.1 + 段前: 0.5 行 段后: 0.5 行"/>
    <w:basedOn w:val="7"/>
    <w:qFormat/>
    <w:uiPriority w:val="0"/>
    <w:pPr>
      <w:keepNext w:val="0"/>
      <w:keepLines w:val="0"/>
      <w:numPr>
        <w:numId w:val="0"/>
      </w:numPr>
      <w:tabs>
        <w:tab w:val="left" w:pos="1080"/>
      </w:tabs>
      <w:adjustRightInd w:val="0"/>
      <w:snapToGrid w:val="0"/>
      <w:spacing w:before="50" w:beforeLines="50" w:after="50" w:afterLines="50" w:line="520" w:lineRule="exact"/>
      <w:textAlignment w:val="baseline"/>
    </w:pPr>
    <w:rPr>
      <w:rFonts w:ascii="宋体" w:hAnsi="宋体" w:cs="宋体"/>
      <w:kern w:val="0"/>
      <w:szCs w:val="20"/>
    </w:rPr>
  </w:style>
  <w:style w:type="paragraph" w:customStyle="1" w:styleId="570">
    <w:name w:val="标题 1.tx"/>
    <w:basedOn w:val="5"/>
    <w:qFormat/>
    <w:uiPriority w:val="0"/>
    <w:pPr>
      <w:pageBreakBefore/>
      <w:autoSpaceDN w:val="0"/>
      <w:spacing w:before="120" w:after="120" w:line="520" w:lineRule="exact"/>
    </w:pPr>
    <w:rPr>
      <w:rFonts w:cs="宋体"/>
      <w:spacing w:val="8"/>
      <w:szCs w:val="20"/>
    </w:rPr>
  </w:style>
  <w:style w:type="paragraph" w:customStyle="1" w:styleId="571">
    <w:name w:val="样式 标题 2 + Times New Roman"/>
    <w:basedOn w:val="6"/>
    <w:qFormat/>
    <w:uiPriority w:val="0"/>
    <w:pPr>
      <w:tabs>
        <w:tab w:val="left" w:pos="0"/>
        <w:tab w:val="left" w:pos="495"/>
      </w:tabs>
      <w:spacing w:before="240" w:beforeLines="50" w:after="240" w:line="240" w:lineRule="auto"/>
      <w:ind w:left="1062" w:hanging="747"/>
    </w:pPr>
    <w:rPr>
      <w:sz w:val="24"/>
    </w:rPr>
  </w:style>
  <w:style w:type="paragraph" w:customStyle="1" w:styleId="572">
    <w:name w:val="xl28"/>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olor w:val="339966"/>
      <w:kern w:val="0"/>
      <w:sz w:val="18"/>
      <w:szCs w:val="18"/>
    </w:rPr>
  </w:style>
  <w:style w:type="paragraph" w:customStyle="1" w:styleId="573">
    <w:name w:val="Char Char Char Char Char Char1"/>
    <w:basedOn w:val="1"/>
    <w:qFormat/>
    <w:uiPriority w:val="0"/>
    <w:rPr>
      <w:rFonts w:ascii="Times New Roman" w:hAnsi="Times New Roman"/>
      <w:szCs w:val="24"/>
    </w:rPr>
  </w:style>
  <w:style w:type="paragraph" w:customStyle="1" w:styleId="574">
    <w:name w:val="02"/>
    <w:basedOn w:val="1"/>
    <w:qFormat/>
    <w:uiPriority w:val="0"/>
    <w:pPr>
      <w:keepNext/>
      <w:keepLines/>
      <w:spacing w:before="100" w:line="360" w:lineRule="auto"/>
      <w:outlineLvl w:val="0"/>
    </w:pPr>
    <w:rPr>
      <w:rFonts w:ascii="Times New Roman" w:hAnsi="Times New Roman" w:eastAsia="黑体"/>
      <w:color w:val="333333"/>
      <w:sz w:val="24"/>
      <w:szCs w:val="20"/>
    </w:rPr>
  </w:style>
  <w:style w:type="paragraph" w:customStyle="1" w:styleId="575">
    <w:name w:val="Char Char Char Char2"/>
    <w:basedOn w:val="1"/>
    <w:qFormat/>
    <w:uiPriority w:val="0"/>
    <w:rPr>
      <w:rFonts w:ascii="Times New Roman" w:hAnsi="Times New Roman"/>
      <w:szCs w:val="24"/>
    </w:rPr>
  </w:style>
  <w:style w:type="paragraph" w:customStyle="1" w:styleId="576">
    <w:name w:val="样式 正文缩进s4标题4 + 左侧:  0.98 厘米 首行缩进:  2 字符"/>
    <w:basedOn w:val="2"/>
    <w:qFormat/>
    <w:uiPriority w:val="0"/>
    <w:pPr>
      <w:adjustRightInd w:val="0"/>
      <w:snapToGrid w:val="0"/>
      <w:spacing w:line="360" w:lineRule="auto"/>
      <w:ind w:firstLine="560"/>
    </w:pPr>
    <w:rPr>
      <w:rFonts w:ascii="Times New Roman" w:hAnsi="Times New Roman" w:eastAsia="仿宋_GB2312"/>
      <w:sz w:val="28"/>
      <w:szCs w:val="20"/>
    </w:rPr>
  </w:style>
  <w:style w:type="paragraph" w:customStyle="1" w:styleId="577">
    <w:name w:val="6 Char Char Char Char Char Char1 Char"/>
    <w:basedOn w:val="1"/>
    <w:qFormat/>
    <w:uiPriority w:val="0"/>
    <w:rPr>
      <w:rFonts w:ascii="Times New Roman" w:hAnsi="Times New Roman"/>
      <w:szCs w:val="24"/>
    </w:rPr>
  </w:style>
  <w:style w:type="paragraph" w:customStyle="1" w:styleId="578">
    <w:name w:val="1.1"/>
    <w:basedOn w:val="1"/>
    <w:next w:val="3"/>
    <w:semiHidden/>
    <w:qFormat/>
    <w:uiPriority w:val="0"/>
    <w:pPr>
      <w:keepNext/>
      <w:keepLines/>
      <w:spacing w:line="300" w:lineRule="auto"/>
      <w:outlineLvl w:val="3"/>
    </w:pPr>
    <w:rPr>
      <w:rFonts w:ascii="宋体" w:hAnsi="宋体" w:eastAsia="黑体" w:cs="宋体"/>
      <w:sz w:val="30"/>
      <w:szCs w:val="20"/>
    </w:rPr>
  </w:style>
  <w:style w:type="paragraph" w:customStyle="1" w:styleId="579">
    <w:name w:val="xl50"/>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kern w:val="0"/>
      <w:szCs w:val="21"/>
    </w:rPr>
  </w:style>
  <w:style w:type="paragraph" w:customStyle="1" w:styleId="580">
    <w:name w:val="表中窄行"/>
    <w:qFormat/>
    <w:uiPriority w:val="0"/>
    <w:pPr>
      <w:widowControl w:val="0"/>
      <w:spacing w:before="120" w:beforeLines="50" w:after="120" w:afterLines="50" w:line="240" w:lineRule="exact"/>
      <w:jc w:val="center"/>
    </w:pPr>
    <w:rPr>
      <w:rFonts w:ascii="Arial" w:hAnsi="Arial" w:eastAsia="宋体" w:cs="Arial"/>
      <w:sz w:val="21"/>
      <w:szCs w:val="21"/>
      <w:lang w:val="en-US" w:eastAsia="zh-CN" w:bidi="ar-SA"/>
    </w:rPr>
  </w:style>
  <w:style w:type="paragraph" w:customStyle="1" w:styleId="581">
    <w:name w:val="样式 四号"/>
    <w:basedOn w:val="1"/>
    <w:qFormat/>
    <w:uiPriority w:val="0"/>
    <w:pPr>
      <w:adjustRightInd w:val="0"/>
      <w:snapToGrid w:val="0"/>
      <w:spacing w:line="440" w:lineRule="atLeast"/>
    </w:pPr>
    <w:rPr>
      <w:rFonts w:ascii="宋体" w:hAnsi="宋体"/>
      <w:snapToGrid w:val="0"/>
      <w:color w:val="000080"/>
      <w:kern w:val="0"/>
      <w:sz w:val="24"/>
      <w:szCs w:val="24"/>
    </w:rPr>
  </w:style>
  <w:style w:type="paragraph" w:customStyle="1" w:styleId="582">
    <w:name w:val="样式 标题 2节标题 1.1 + 非加粗"/>
    <w:basedOn w:val="7"/>
    <w:next w:val="7"/>
    <w:qFormat/>
    <w:uiPriority w:val="0"/>
    <w:pPr>
      <w:tabs>
        <w:tab w:val="left" w:pos="794"/>
      </w:tabs>
      <w:snapToGrid w:val="0"/>
      <w:spacing w:before="120" w:after="0" w:line="520" w:lineRule="exact"/>
      <w:ind w:left="794" w:hanging="794"/>
    </w:pPr>
    <w:rPr>
      <w:rFonts w:eastAsia="仿宋_GB2312"/>
      <w:b w:val="0"/>
      <w:snapToGrid w:val="0"/>
      <w:kern w:val="0"/>
    </w:rPr>
  </w:style>
  <w:style w:type="paragraph" w:customStyle="1" w:styleId="583">
    <w:name w:val="xl79"/>
    <w:basedOn w:val="1"/>
    <w:qFormat/>
    <w:uiPriority w:val="0"/>
    <w:pPr>
      <w:pBdr>
        <w:top w:val="single" w:color="auto" w:sz="8" w:space="0"/>
        <w:bottom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584">
    <w:name w:val="xl86"/>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b/>
      <w:bCs/>
      <w:color w:val="993366"/>
      <w:kern w:val="0"/>
      <w:sz w:val="18"/>
      <w:szCs w:val="18"/>
    </w:rPr>
  </w:style>
  <w:style w:type="paragraph" w:customStyle="1" w:styleId="585">
    <w:name w:val="样式 标题 4L4款标题款标题1.1.1.1 + (西文) Times New Roman (中文) 宋体 加粗 段..."/>
    <w:basedOn w:val="3"/>
    <w:qFormat/>
    <w:uiPriority w:val="0"/>
    <w:pPr>
      <w:tabs>
        <w:tab w:val="left" w:pos="578"/>
      </w:tabs>
      <w:adjustRightInd w:val="0"/>
      <w:snapToGrid w:val="0"/>
      <w:spacing w:before="60" w:after="60" w:line="500" w:lineRule="atLeast"/>
    </w:pPr>
    <w:rPr>
      <w:rFonts w:cs="宋体"/>
      <w:snapToGrid w:val="0"/>
      <w:kern w:val="0"/>
    </w:rPr>
  </w:style>
  <w:style w:type="paragraph" w:customStyle="1" w:styleId="586">
    <w:name w:val="6 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587">
    <w:name w:val="xl74"/>
    <w:basedOn w:val="1"/>
    <w:qFormat/>
    <w:uiPriority w:val="0"/>
    <w:pPr>
      <w:pBdr>
        <w:bottom w:val="single" w:color="auto" w:sz="8" w:space="0"/>
        <w:right w:val="single" w:color="auto" w:sz="8" w:space="0"/>
      </w:pBdr>
      <w:shd w:val="clear" w:color="000000" w:fill="FFFF00"/>
      <w:spacing w:before="100" w:beforeAutospacing="1" w:after="100" w:afterAutospacing="1"/>
      <w:jc w:val="center"/>
    </w:pPr>
    <w:rPr>
      <w:rFonts w:ascii="宋体" w:hAnsi="宋体" w:cs="宋体"/>
      <w:color w:val="000000"/>
      <w:kern w:val="0"/>
      <w:sz w:val="18"/>
      <w:szCs w:val="18"/>
    </w:rPr>
  </w:style>
  <w:style w:type="paragraph" w:customStyle="1" w:styleId="588">
    <w:name w:val="xl69"/>
    <w:basedOn w:val="1"/>
    <w:qFormat/>
    <w:uiPriority w:val="0"/>
    <w:pPr>
      <w:pBdr>
        <w:left w:val="single" w:color="auto" w:sz="12" w:space="0"/>
        <w:bottom w:val="single" w:color="auto" w:sz="8" w:space="0"/>
        <w:right w:val="single" w:color="auto" w:sz="8" w:space="0"/>
      </w:pBdr>
      <w:spacing w:before="100" w:beforeAutospacing="1" w:after="100" w:afterAutospacing="1"/>
      <w:jc w:val="center"/>
    </w:pPr>
    <w:rPr>
      <w:rFonts w:ascii="Times New Roman" w:hAnsi="Times New Roman"/>
      <w:color w:val="800000"/>
      <w:kern w:val="0"/>
      <w:szCs w:val="21"/>
    </w:rPr>
  </w:style>
  <w:style w:type="paragraph" w:customStyle="1" w:styleId="589">
    <w:name w:val="xl42"/>
    <w:basedOn w:val="1"/>
    <w:qFormat/>
    <w:uiPriority w:val="0"/>
    <w:pPr>
      <w:pBdr>
        <w:bottom w:val="single" w:color="auto" w:sz="8" w:space="0"/>
        <w:right w:val="single" w:color="auto" w:sz="8" w:space="0"/>
      </w:pBdr>
      <w:spacing w:before="100" w:beforeAutospacing="1" w:after="100" w:afterAutospacing="1"/>
      <w:jc w:val="center"/>
    </w:pPr>
    <w:rPr>
      <w:rFonts w:ascii="Times New Roman" w:hAnsi="Times New Roman"/>
      <w:color w:val="000080"/>
      <w:kern w:val="0"/>
      <w:sz w:val="18"/>
      <w:szCs w:val="18"/>
    </w:rPr>
  </w:style>
  <w:style w:type="paragraph" w:customStyle="1" w:styleId="590">
    <w:name w:val="xl47"/>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b/>
      <w:bCs/>
      <w:kern w:val="0"/>
      <w:szCs w:val="21"/>
    </w:rPr>
  </w:style>
  <w:style w:type="paragraph" w:customStyle="1" w:styleId="591">
    <w:name w:val="xl44"/>
    <w:basedOn w:val="1"/>
    <w:qFormat/>
    <w:uiPriority w:val="0"/>
    <w:pPr>
      <w:pBdr>
        <w:top w:val="single" w:color="auto" w:sz="8" w:space="0"/>
        <w:bottom w:val="single" w:color="auto" w:sz="8" w:space="0"/>
      </w:pBdr>
      <w:spacing w:before="100" w:beforeAutospacing="1" w:after="100" w:afterAutospacing="1"/>
      <w:jc w:val="center"/>
    </w:pPr>
    <w:rPr>
      <w:rFonts w:ascii="宋体" w:hAnsi="宋体" w:cs="宋体"/>
      <w:color w:val="000000"/>
      <w:kern w:val="0"/>
      <w:szCs w:val="21"/>
    </w:rPr>
  </w:style>
  <w:style w:type="paragraph" w:customStyle="1" w:styleId="592">
    <w:name w:val="font9"/>
    <w:basedOn w:val="1"/>
    <w:qFormat/>
    <w:uiPriority w:val="0"/>
    <w:pPr>
      <w:spacing w:before="100" w:beforeAutospacing="1" w:after="100" w:afterAutospacing="1"/>
    </w:pPr>
    <w:rPr>
      <w:rFonts w:ascii="Times New Roman" w:hAnsi="Times New Roman" w:eastAsia="Arial Unicode MS"/>
      <w:color w:val="000000"/>
      <w:kern w:val="0"/>
      <w:sz w:val="24"/>
      <w:szCs w:val="24"/>
    </w:rPr>
  </w:style>
  <w:style w:type="paragraph" w:customStyle="1" w:styleId="593">
    <w:name w:val="特性表"/>
    <w:basedOn w:val="1"/>
    <w:qFormat/>
    <w:uiPriority w:val="0"/>
    <w:pPr>
      <w:adjustRightInd w:val="0"/>
      <w:snapToGrid w:val="0"/>
      <w:spacing w:line="360" w:lineRule="auto"/>
      <w:jc w:val="center"/>
    </w:pPr>
    <w:rPr>
      <w:rFonts w:ascii="黑体" w:hAnsi="宋体" w:eastAsia="黑体"/>
      <w:sz w:val="30"/>
      <w:szCs w:val="20"/>
    </w:rPr>
  </w:style>
  <w:style w:type="paragraph" w:customStyle="1" w:styleId="594">
    <w:name w:val="表格文字（小五）"/>
    <w:basedOn w:val="189"/>
    <w:next w:val="2"/>
    <w:qFormat/>
    <w:uiPriority w:val="0"/>
    <w:pPr>
      <w:jc w:val="both"/>
      <w:textAlignment w:val="bottom"/>
    </w:pPr>
    <w:rPr>
      <w:sz w:val="18"/>
    </w:rPr>
  </w:style>
  <w:style w:type="paragraph" w:customStyle="1" w:styleId="595">
    <w:name w:val="表中内容"/>
    <w:basedOn w:val="34"/>
    <w:qFormat/>
    <w:uiPriority w:val="0"/>
    <w:pPr>
      <w:adjustRightInd w:val="0"/>
      <w:snapToGrid w:val="0"/>
      <w:spacing w:after="0"/>
      <w:jc w:val="center"/>
      <w:textAlignment w:val="center"/>
    </w:pPr>
    <w:rPr>
      <w:rFonts w:ascii="Times New Roman" w:hAnsi="Times New Roman"/>
      <w:spacing w:val="8"/>
      <w:sz w:val="22"/>
      <w:szCs w:val="21"/>
    </w:rPr>
  </w:style>
  <w:style w:type="paragraph" w:customStyle="1" w:styleId="596">
    <w:name w:val="样式 标题 3条标题1.1.1条标题BSH-3W3 + 仿宋_GB2312 非加粗"/>
    <w:basedOn w:val="7"/>
    <w:qFormat/>
    <w:uiPriority w:val="0"/>
    <w:pPr>
      <w:tabs>
        <w:tab w:val="left" w:pos="578"/>
      </w:tabs>
      <w:adjustRightInd w:val="0"/>
      <w:snapToGrid w:val="0"/>
      <w:spacing w:before="0" w:after="0"/>
    </w:pPr>
    <w:rPr>
      <w:rFonts w:ascii="宋体" w:hAnsi="宋体" w:cs="Arial Unicode MS"/>
      <w:bCs w:val="0"/>
      <w:color w:val="000000"/>
      <w:kern w:val="0"/>
    </w:rPr>
  </w:style>
  <w:style w:type="paragraph" w:customStyle="1" w:styleId="597">
    <w:name w:val="标题 2.tx"/>
    <w:basedOn w:val="6"/>
    <w:qFormat/>
    <w:uiPriority w:val="0"/>
    <w:pPr>
      <w:spacing w:before="120" w:after="120" w:line="520" w:lineRule="exact"/>
    </w:pPr>
    <w:rPr>
      <w:rFonts w:cs="宋体"/>
      <w:spacing w:val="8"/>
      <w:szCs w:val="20"/>
    </w:rPr>
  </w:style>
  <w:style w:type="paragraph" w:customStyle="1" w:styleId="598">
    <w:name w:val="xl24"/>
    <w:basedOn w:val="1"/>
    <w:qFormat/>
    <w:uiPriority w:val="0"/>
    <w:pPr>
      <w:pBdr>
        <w:bottom w:val="single" w:color="auto" w:sz="4" w:space="0"/>
        <w:right w:val="single" w:color="auto" w:sz="4" w:space="0"/>
      </w:pBdr>
      <w:spacing w:before="100" w:after="100"/>
      <w:jc w:val="center"/>
      <w:textAlignment w:val="top"/>
    </w:pPr>
    <w:rPr>
      <w:rFonts w:ascii="Times New Roman" w:hAnsi="Times New Roman"/>
      <w:kern w:val="0"/>
      <w:szCs w:val="20"/>
    </w:rPr>
  </w:style>
  <w:style w:type="paragraph" w:customStyle="1" w:styleId="599">
    <w:name w:val="xl77"/>
    <w:basedOn w:val="1"/>
    <w:qFormat/>
    <w:uiPriority w:val="0"/>
    <w:pPr>
      <w:pBdr>
        <w:left w:val="single" w:color="auto" w:sz="8" w:space="0"/>
        <w:bottom w:val="single" w:color="auto" w:sz="8" w:space="0"/>
        <w:right w:val="single" w:color="auto" w:sz="8" w:space="0"/>
      </w:pBdr>
      <w:shd w:val="clear" w:color="000000" w:fill="00FFFF"/>
      <w:spacing w:before="100" w:beforeAutospacing="1" w:after="100" w:afterAutospacing="1"/>
      <w:jc w:val="center"/>
    </w:pPr>
    <w:rPr>
      <w:rFonts w:ascii="宋体" w:hAnsi="宋体" w:cs="宋体"/>
      <w:color w:val="000000"/>
      <w:kern w:val="0"/>
      <w:sz w:val="18"/>
      <w:szCs w:val="18"/>
    </w:rPr>
  </w:style>
  <w:style w:type="paragraph" w:customStyle="1" w:styleId="600">
    <w:name w:val="xl54"/>
    <w:basedOn w:val="1"/>
    <w:qFormat/>
    <w:uiPriority w:val="0"/>
    <w:pPr>
      <w:pBdr>
        <w:left w:val="double" w:color="auto" w:sz="6" w:space="0"/>
        <w:bottom w:val="double" w:color="auto" w:sz="6" w:space="0"/>
        <w:right w:val="single" w:color="auto" w:sz="8" w:space="0"/>
      </w:pBdr>
      <w:spacing w:before="100" w:beforeAutospacing="1" w:after="100" w:afterAutospacing="1"/>
      <w:jc w:val="center"/>
    </w:pPr>
    <w:rPr>
      <w:rFonts w:ascii="Times New Roman" w:hAnsi="Times New Roman"/>
      <w:kern w:val="0"/>
      <w:szCs w:val="21"/>
    </w:rPr>
  </w:style>
  <w:style w:type="paragraph" w:customStyle="1" w:styleId="601">
    <w:name w:val="xl90"/>
    <w:basedOn w:val="1"/>
    <w:qFormat/>
    <w:uiPriority w:val="0"/>
    <w:pPr>
      <w:pBdr>
        <w:top w:val="single" w:color="auto" w:sz="8" w:space="0"/>
      </w:pBdr>
      <w:spacing w:before="100" w:beforeAutospacing="1" w:after="100" w:afterAutospacing="1"/>
    </w:pPr>
    <w:rPr>
      <w:rFonts w:ascii="宋体" w:hAnsi="宋体" w:cs="宋体"/>
      <w:color w:val="0000FF"/>
      <w:kern w:val="0"/>
      <w:sz w:val="18"/>
      <w:szCs w:val="18"/>
    </w:rPr>
  </w:style>
  <w:style w:type="paragraph" w:customStyle="1" w:styleId="602">
    <w:name w:val="font10"/>
    <w:basedOn w:val="1"/>
    <w:qFormat/>
    <w:uiPriority w:val="0"/>
    <w:pPr>
      <w:spacing w:before="100" w:beforeAutospacing="1" w:after="100" w:afterAutospacing="1"/>
    </w:pPr>
    <w:rPr>
      <w:rFonts w:ascii="宋体" w:hAnsi="宋体" w:cs="宋体"/>
      <w:b/>
      <w:bCs/>
      <w:kern w:val="0"/>
      <w:szCs w:val="21"/>
    </w:rPr>
  </w:style>
  <w:style w:type="paragraph" w:customStyle="1" w:styleId="603">
    <w:name w:val="样式 题注 + 左侧:  0.98 厘米 首行缩进:  2 字符"/>
    <w:basedOn w:val="22"/>
    <w:qFormat/>
    <w:uiPriority w:val="0"/>
    <w:pPr>
      <w:wordWrap w:val="0"/>
      <w:spacing w:line="240" w:lineRule="auto"/>
      <w:ind w:firstLine="0" w:firstLineChars="0"/>
    </w:pPr>
    <w:rPr>
      <w:rFonts w:hAnsi="宋体"/>
      <w:color w:val="000000"/>
    </w:rPr>
  </w:style>
  <w:style w:type="paragraph" w:customStyle="1" w:styleId="604">
    <w:name w:val="4"/>
    <w:basedOn w:val="1"/>
    <w:qFormat/>
    <w:uiPriority w:val="0"/>
    <w:pPr>
      <w:adjustRightInd w:val="0"/>
      <w:snapToGrid w:val="0"/>
      <w:spacing w:line="360" w:lineRule="auto"/>
      <w:ind w:firstLine="200" w:firstLineChars="200"/>
    </w:pPr>
    <w:rPr>
      <w:rFonts w:ascii="宋体" w:hAnsi="宋体" w:eastAsia="黑体" w:cs="宋体"/>
      <w:b/>
      <w:sz w:val="44"/>
      <w:szCs w:val="24"/>
    </w:rPr>
  </w:style>
  <w:style w:type="paragraph" w:customStyle="1" w:styleId="605">
    <w:name w:val="CM45"/>
    <w:basedOn w:val="160"/>
    <w:next w:val="160"/>
    <w:qFormat/>
    <w:uiPriority w:val="0"/>
    <w:rPr>
      <w:rFonts w:ascii="Arial" w:hAnsi="Arial" w:cs="Times New Roman"/>
      <w:color w:val="auto"/>
    </w:rPr>
  </w:style>
  <w:style w:type="paragraph" w:customStyle="1" w:styleId="606">
    <w:name w:val="样式 (西文) 仿宋_GB2312 左侧:  0.98 厘米"/>
    <w:basedOn w:val="1"/>
    <w:qFormat/>
    <w:uiPriority w:val="0"/>
    <w:pPr>
      <w:adjustRightInd w:val="0"/>
      <w:snapToGrid w:val="0"/>
      <w:spacing w:line="360" w:lineRule="auto"/>
      <w:ind w:firstLine="200" w:firstLineChars="200"/>
    </w:pPr>
    <w:rPr>
      <w:rFonts w:ascii="仿宋_GB2312" w:hAnsi="Times New Roman" w:eastAsia="仿宋_GB2312"/>
      <w:sz w:val="28"/>
      <w:szCs w:val="20"/>
    </w:rPr>
  </w:style>
  <w:style w:type="paragraph" w:customStyle="1" w:styleId="607">
    <w:name w:val="图片"/>
    <w:basedOn w:val="1"/>
    <w:qFormat/>
    <w:uiPriority w:val="0"/>
    <w:rPr>
      <w:rFonts w:ascii="Times New Roman" w:hAnsi="Times New Roman"/>
      <w:sz w:val="28"/>
      <w:szCs w:val="20"/>
    </w:rPr>
  </w:style>
  <w:style w:type="paragraph" w:customStyle="1" w:styleId="608">
    <w:name w:val="xl48"/>
    <w:basedOn w:val="1"/>
    <w:qFormat/>
    <w:uiPriority w:val="0"/>
    <w:pPr>
      <w:pBdr>
        <w:bottom w:val="single" w:color="auto" w:sz="8" w:space="0"/>
        <w:right w:val="single" w:color="auto" w:sz="8" w:space="0"/>
      </w:pBdr>
      <w:spacing w:before="100" w:beforeAutospacing="1" w:after="100" w:afterAutospacing="1"/>
      <w:jc w:val="center"/>
    </w:pPr>
    <w:rPr>
      <w:rFonts w:ascii="Arial" w:hAnsi="Arial" w:cs="Arial"/>
      <w:b/>
      <w:bCs/>
      <w:color w:val="000000"/>
      <w:kern w:val="0"/>
      <w:szCs w:val="21"/>
    </w:rPr>
  </w:style>
  <w:style w:type="paragraph" w:customStyle="1" w:styleId="609">
    <w:name w:val="xl67"/>
    <w:basedOn w:val="1"/>
    <w:qFormat/>
    <w:uiPriority w:val="0"/>
    <w:pPr>
      <w:pBdr>
        <w:left w:val="single" w:color="auto" w:sz="8" w:space="0"/>
        <w:right w:val="single" w:color="auto" w:sz="8" w:space="0"/>
      </w:pBdr>
      <w:spacing w:before="100" w:beforeAutospacing="1" w:after="100" w:afterAutospacing="1"/>
      <w:jc w:val="center"/>
    </w:pPr>
    <w:rPr>
      <w:rFonts w:ascii="宋体" w:hAnsi="宋体" w:cs="宋体"/>
      <w:color w:val="000080"/>
      <w:kern w:val="0"/>
      <w:szCs w:val="21"/>
    </w:rPr>
  </w:style>
  <w:style w:type="paragraph" w:customStyle="1" w:styleId="610">
    <w:name w:val="样式 标题 4款标题1.1.1.1 + 段前: 0.5 行 段后: 0.5 行"/>
    <w:basedOn w:val="3"/>
    <w:qFormat/>
    <w:uiPriority w:val="0"/>
    <w:pPr>
      <w:keepNext w:val="0"/>
      <w:keepLines w:val="0"/>
      <w:numPr>
        <w:numId w:val="0"/>
      </w:numPr>
      <w:tabs>
        <w:tab w:val="left" w:pos="864"/>
      </w:tabs>
      <w:adjustRightInd w:val="0"/>
      <w:snapToGrid w:val="0"/>
      <w:ind w:firstLine="560" w:firstLineChars="200"/>
      <w:textAlignment w:val="baseline"/>
    </w:pPr>
    <w:rPr>
      <w:rFonts w:ascii="仿宋_GB2312" w:eastAsia="仿宋_GB2312"/>
      <w:b w:val="0"/>
      <w:color w:val="FF0000"/>
    </w:rPr>
  </w:style>
  <w:style w:type="paragraph" w:customStyle="1" w:styleId="611">
    <w:name w:val="xl22"/>
    <w:basedOn w:val="1"/>
    <w:qFormat/>
    <w:uiPriority w:val="0"/>
    <w:pP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612">
    <w:name w:val="xl68"/>
    <w:basedOn w:val="1"/>
    <w:qFormat/>
    <w:uiPriority w:val="0"/>
    <w:pPr>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80"/>
      <w:kern w:val="0"/>
      <w:szCs w:val="21"/>
    </w:rPr>
  </w:style>
  <w:style w:type="paragraph" w:customStyle="1" w:styleId="613">
    <w:name w:val="font14"/>
    <w:basedOn w:val="1"/>
    <w:qFormat/>
    <w:uiPriority w:val="0"/>
    <w:pPr>
      <w:spacing w:before="100" w:beforeAutospacing="1" w:after="100" w:afterAutospacing="1"/>
    </w:pPr>
    <w:rPr>
      <w:rFonts w:ascii="Arial" w:hAnsi="Arial" w:cs="Arial"/>
      <w:color w:val="000000"/>
      <w:kern w:val="0"/>
      <w:sz w:val="18"/>
      <w:szCs w:val="18"/>
    </w:rPr>
  </w:style>
  <w:style w:type="paragraph" w:customStyle="1" w:styleId="614">
    <w:name w:val="样式 正文文本缩进 + 左侧:  0.98 厘米 首行缩进:  2 字符"/>
    <w:basedOn w:val="35"/>
    <w:qFormat/>
    <w:uiPriority w:val="0"/>
    <w:pPr>
      <w:snapToGrid w:val="0"/>
      <w:spacing w:after="0" w:line="360" w:lineRule="auto"/>
      <w:ind w:left="0" w:leftChars="0" w:firstLine="560" w:firstLineChars="200"/>
      <w:jc w:val="both"/>
      <w:textAlignment w:val="auto"/>
    </w:pPr>
    <w:rPr>
      <w:rFonts w:eastAsia="仿宋_GB2312"/>
      <w:kern w:val="2"/>
      <w:sz w:val="28"/>
    </w:rPr>
  </w:style>
  <w:style w:type="paragraph" w:customStyle="1" w:styleId="615">
    <w:name w:val="表左_小四"/>
    <w:basedOn w:val="414"/>
    <w:qFormat/>
    <w:uiPriority w:val="0"/>
    <w:pPr>
      <w:adjustRightInd/>
      <w:spacing w:line="160" w:lineRule="atLeast"/>
      <w:ind w:hanging="23"/>
      <w:jc w:val="left"/>
      <w:textAlignment w:val="top"/>
    </w:pPr>
    <w:rPr>
      <w:rFonts w:ascii="宋体" w:hAnsi="宋体" w:cs="宋体"/>
      <w:b/>
      <w:color w:val="auto"/>
      <w:spacing w:val="20"/>
      <w:position w:val="-12"/>
      <w:sz w:val="24"/>
      <w:szCs w:val="20"/>
    </w:rPr>
  </w:style>
  <w:style w:type="paragraph" w:customStyle="1" w:styleId="616">
    <w:name w:val="正文21"/>
    <w:basedOn w:val="1"/>
    <w:link w:val="617"/>
    <w:qFormat/>
    <w:uiPriority w:val="0"/>
    <w:pPr>
      <w:spacing w:line="360" w:lineRule="auto"/>
      <w:ind w:firstLine="200"/>
    </w:pPr>
    <w:rPr>
      <w:rFonts w:ascii="Times New Roman" w:hAnsi="Times New Roman"/>
      <w:kern w:val="0"/>
      <w:sz w:val="24"/>
      <w:szCs w:val="20"/>
    </w:rPr>
  </w:style>
  <w:style w:type="character" w:customStyle="1" w:styleId="617">
    <w:name w:val="正文2 Char Char"/>
    <w:link w:val="616"/>
    <w:qFormat/>
    <w:uiPriority w:val="0"/>
    <w:rPr>
      <w:rFonts w:ascii="Times New Roman" w:hAnsi="Times New Roman"/>
      <w:sz w:val="24"/>
    </w:rPr>
  </w:style>
  <w:style w:type="paragraph" w:customStyle="1" w:styleId="618">
    <w:name w:val="样式 样式 正文缩进s4正文缩进 Chars4 Char标题4表正文正文非缩进图标题文本正文不缩进 + 行距: 1.... + ...1"/>
    <w:basedOn w:val="334"/>
    <w:qFormat/>
    <w:uiPriority w:val="0"/>
    <w:pPr>
      <w:ind w:firstLine="0"/>
    </w:pPr>
    <w:rPr>
      <w:bCs/>
    </w:rPr>
  </w:style>
  <w:style w:type="paragraph" w:customStyle="1" w:styleId="619">
    <w:name w:val="03"/>
    <w:basedOn w:val="6"/>
    <w:qFormat/>
    <w:uiPriority w:val="0"/>
    <w:pPr>
      <w:keepNext w:val="0"/>
      <w:tabs>
        <w:tab w:val="left" w:pos="576"/>
      </w:tabs>
      <w:spacing w:before="156" w:beforeLines="50" w:after="156" w:afterLines="50"/>
      <w:outlineLvl w:val="0"/>
    </w:pPr>
    <w:rPr>
      <w:b w:val="0"/>
      <w:bCs w:val="0"/>
      <w:sz w:val="24"/>
      <w:szCs w:val="30"/>
    </w:rPr>
  </w:style>
  <w:style w:type="paragraph" w:customStyle="1" w:styleId="620">
    <w:name w:val="样式 宋体 小四 行距: 1.5 倍行距 首行缩进:  2 字符"/>
    <w:basedOn w:val="1"/>
    <w:qFormat/>
    <w:uiPriority w:val="0"/>
    <w:pPr>
      <w:spacing w:line="360" w:lineRule="auto"/>
      <w:ind w:firstLine="200" w:firstLineChars="200"/>
    </w:pPr>
    <w:rPr>
      <w:rFonts w:ascii="宋体" w:hAnsi="Times New Roman" w:cs="宋体"/>
      <w:sz w:val="24"/>
      <w:szCs w:val="20"/>
    </w:rPr>
  </w:style>
  <w:style w:type="paragraph" w:customStyle="1" w:styleId="621">
    <w:name w:val="xl27"/>
    <w:basedOn w:val="1"/>
    <w:qFormat/>
    <w:uiPriority w:val="0"/>
    <w:pPr>
      <w:pBdr>
        <w:bottom w:val="single" w:color="auto" w:sz="4" w:space="0"/>
        <w:right w:val="single" w:color="auto" w:sz="4" w:space="0"/>
      </w:pBdr>
      <w:spacing w:before="100" w:beforeAutospacing="1" w:after="100" w:afterAutospacing="1"/>
      <w:jc w:val="center"/>
      <w:textAlignment w:val="top"/>
    </w:pPr>
    <w:rPr>
      <w:rFonts w:ascii="Times New Roman" w:hAnsi="Times New Roman"/>
      <w:kern w:val="0"/>
      <w:sz w:val="24"/>
      <w:szCs w:val="24"/>
    </w:rPr>
  </w:style>
  <w:style w:type="paragraph" w:customStyle="1" w:styleId="622">
    <w:name w:val="Char5"/>
    <w:basedOn w:val="1"/>
    <w:qFormat/>
    <w:uiPriority w:val="0"/>
    <w:pPr>
      <w:spacing w:line="360" w:lineRule="auto"/>
      <w:ind w:firstLine="200" w:firstLineChars="200"/>
    </w:pPr>
    <w:rPr>
      <w:rFonts w:ascii="宋体" w:hAnsi="宋体" w:cs="宋体"/>
      <w:sz w:val="24"/>
      <w:szCs w:val="24"/>
    </w:rPr>
  </w:style>
  <w:style w:type="paragraph" w:customStyle="1" w:styleId="623">
    <w:name w:val="xl46"/>
    <w:basedOn w:val="1"/>
    <w:qFormat/>
    <w:uiPriority w:val="0"/>
    <w:pPr>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624">
    <w:name w:val="font0"/>
    <w:basedOn w:val="1"/>
    <w:qFormat/>
    <w:uiPriority w:val="0"/>
    <w:pPr>
      <w:spacing w:before="100" w:beforeAutospacing="1" w:after="100" w:afterAutospacing="1"/>
    </w:pPr>
    <w:rPr>
      <w:rFonts w:hint="eastAsia" w:ascii="宋体" w:hAnsi="宋体" w:cs="Arial Unicode MS"/>
      <w:kern w:val="0"/>
      <w:sz w:val="24"/>
      <w:szCs w:val="24"/>
    </w:rPr>
  </w:style>
  <w:style w:type="paragraph" w:customStyle="1" w:styleId="625">
    <w:name w:val="Char7 Char Char"/>
    <w:basedOn w:val="1"/>
    <w:semiHidden/>
    <w:qFormat/>
    <w:uiPriority w:val="0"/>
    <w:pPr>
      <w:snapToGrid w:val="0"/>
      <w:spacing w:line="360" w:lineRule="auto"/>
      <w:ind w:firstLine="200" w:firstLineChars="200"/>
    </w:pPr>
    <w:rPr>
      <w:rFonts w:ascii="宋体" w:hAnsi="宋体" w:cs="宋体"/>
      <w:sz w:val="24"/>
      <w:szCs w:val="24"/>
    </w:rPr>
  </w:style>
  <w:style w:type="paragraph" w:customStyle="1" w:styleId="626">
    <w:name w:val="样式 样式 标题 2节标题 1.1h2l22nd levelTitre22Header 2 + 段前: 0 磅 段后:... +..."/>
    <w:basedOn w:val="1"/>
    <w:qFormat/>
    <w:uiPriority w:val="0"/>
    <w:pPr>
      <w:keepNext/>
      <w:keepLines/>
      <w:tabs>
        <w:tab w:val="left" w:pos="720"/>
        <w:tab w:val="left" w:pos="1060"/>
      </w:tabs>
      <w:snapToGrid w:val="0"/>
      <w:spacing w:before="100" w:beforeLines="100" w:after="100" w:afterLines="100"/>
      <w:outlineLvl w:val="1"/>
    </w:pPr>
    <w:rPr>
      <w:rFonts w:ascii="Arial" w:hAnsi="Arial" w:cs="宋体"/>
      <w:b/>
      <w:bCs/>
      <w:sz w:val="28"/>
      <w:szCs w:val="20"/>
    </w:rPr>
  </w:style>
  <w:style w:type="paragraph" w:customStyle="1" w:styleId="627">
    <w:name w:val="样式1"/>
    <w:basedOn w:val="1"/>
    <w:next w:val="88"/>
    <w:link w:val="628"/>
    <w:qFormat/>
    <w:uiPriority w:val="0"/>
    <w:pPr>
      <w:overflowPunct w:val="0"/>
      <w:topLinePunct/>
      <w:autoSpaceDE w:val="0"/>
      <w:autoSpaceDN w:val="0"/>
      <w:adjustRightInd w:val="0"/>
      <w:snapToGrid w:val="0"/>
      <w:spacing w:line="400" w:lineRule="atLeast"/>
      <w:textAlignment w:val="baseline"/>
    </w:pPr>
    <w:rPr>
      <w:rFonts w:ascii="宋体" w:hAnsi="Times New Roman"/>
      <w:szCs w:val="20"/>
    </w:rPr>
  </w:style>
  <w:style w:type="character" w:customStyle="1" w:styleId="628">
    <w:name w:val="样式1 Char Char Char"/>
    <w:link w:val="627"/>
    <w:qFormat/>
    <w:uiPriority w:val="0"/>
    <w:rPr>
      <w:rFonts w:ascii="宋体"/>
      <w:kern w:val="2"/>
      <w:sz w:val="21"/>
    </w:rPr>
  </w:style>
  <w:style w:type="paragraph" w:customStyle="1" w:styleId="629">
    <w:name w:val="6 Char Char Char Char"/>
    <w:basedOn w:val="1"/>
    <w:qFormat/>
    <w:uiPriority w:val="0"/>
    <w:rPr>
      <w:rFonts w:ascii="Times New Roman" w:hAnsi="Times New Roman"/>
      <w:szCs w:val="24"/>
    </w:rPr>
  </w:style>
  <w:style w:type="paragraph" w:customStyle="1" w:styleId="630">
    <w:name w:val="样式 小四 黑色 行距: 固定值 26 磅"/>
    <w:basedOn w:val="1"/>
    <w:qFormat/>
    <w:uiPriority w:val="0"/>
    <w:pPr>
      <w:spacing w:line="480" w:lineRule="exact"/>
      <w:ind w:firstLine="200" w:firstLineChars="200"/>
    </w:pPr>
    <w:rPr>
      <w:rFonts w:ascii="Times New Roman" w:hAnsi="Times New Roman" w:cs="宋体"/>
      <w:color w:val="000000"/>
      <w:sz w:val="24"/>
      <w:szCs w:val="20"/>
    </w:rPr>
  </w:style>
  <w:style w:type="paragraph" w:customStyle="1" w:styleId="631">
    <w:name w:val="图目录"/>
    <w:basedOn w:val="76"/>
    <w:qFormat/>
    <w:uiPriority w:val="0"/>
    <w:pPr>
      <w:tabs>
        <w:tab w:val="clear" w:pos="510"/>
      </w:tabs>
      <w:adjustRightInd/>
      <w:snapToGrid/>
      <w:spacing w:line="240" w:lineRule="auto"/>
      <w:ind w:left="420" w:hanging="420"/>
      <w:textAlignment w:val="auto"/>
    </w:pPr>
    <w:rPr>
      <w:kern w:val="2"/>
    </w:rPr>
  </w:style>
  <w:style w:type="paragraph" w:customStyle="1" w:styleId="632">
    <w:name w:val="xl26"/>
    <w:basedOn w:val="1"/>
    <w:link w:val="633"/>
    <w:qFormat/>
    <w:uiPriority w:val="0"/>
    <w:pPr>
      <w:pBdr>
        <w:right w:val="single" w:color="auto" w:sz="4" w:space="0"/>
      </w:pBdr>
      <w:spacing w:before="100" w:after="100"/>
      <w:jc w:val="center"/>
      <w:textAlignment w:val="top"/>
    </w:pPr>
    <w:rPr>
      <w:rFonts w:ascii="宋体" w:hAnsi="宋体"/>
      <w:kern w:val="0"/>
      <w:szCs w:val="20"/>
    </w:rPr>
  </w:style>
  <w:style w:type="character" w:customStyle="1" w:styleId="633">
    <w:name w:val="xl26 Char Char"/>
    <w:link w:val="632"/>
    <w:qFormat/>
    <w:uiPriority w:val="0"/>
    <w:rPr>
      <w:rFonts w:ascii="宋体" w:hAnsi="宋体"/>
      <w:sz w:val="21"/>
    </w:rPr>
  </w:style>
  <w:style w:type="paragraph" w:customStyle="1" w:styleId="634">
    <w:name w:val="页眉3"/>
    <w:basedOn w:val="1"/>
    <w:qFormat/>
    <w:uiPriority w:val="0"/>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customStyle="1" w:styleId="635">
    <w:name w:val="xl71"/>
    <w:basedOn w:val="1"/>
    <w:qFormat/>
    <w:uiPriority w:val="0"/>
    <w:pPr>
      <w:pBdr>
        <w:bottom w:val="single" w:color="auto" w:sz="8" w:space="0"/>
        <w:right w:val="single" w:color="auto" w:sz="8" w:space="0"/>
      </w:pBdr>
      <w:spacing w:before="100" w:beforeAutospacing="1" w:after="100" w:afterAutospacing="1"/>
      <w:jc w:val="center"/>
    </w:pPr>
    <w:rPr>
      <w:rFonts w:ascii="Times New Roman" w:hAnsi="Times New Roman"/>
      <w:color w:val="800000"/>
      <w:kern w:val="0"/>
      <w:szCs w:val="21"/>
    </w:rPr>
  </w:style>
  <w:style w:type="paragraph" w:customStyle="1" w:styleId="636">
    <w:name w:val="正文文本 31"/>
    <w:basedOn w:val="1"/>
    <w:qFormat/>
    <w:uiPriority w:val="0"/>
    <w:pPr>
      <w:adjustRightInd w:val="0"/>
      <w:snapToGrid w:val="0"/>
      <w:spacing w:line="360" w:lineRule="auto"/>
    </w:pPr>
    <w:rPr>
      <w:color w:val="0000FF"/>
      <w:kern w:val="0"/>
      <w:sz w:val="28"/>
      <w:szCs w:val="20"/>
    </w:rPr>
  </w:style>
  <w:style w:type="paragraph" w:customStyle="1" w:styleId="637">
    <w:name w:val="xl91"/>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bottom"/>
    </w:pPr>
    <w:rPr>
      <w:rFonts w:ascii="Arial" w:hAnsi="Arial" w:cs="Arial"/>
      <w:color w:val="000000"/>
      <w:kern w:val="0"/>
      <w:sz w:val="20"/>
      <w:szCs w:val="20"/>
    </w:rPr>
  </w:style>
  <w:style w:type="paragraph" w:customStyle="1" w:styleId="638">
    <w:name w:val="Char3 Char Char Char"/>
    <w:basedOn w:val="1"/>
    <w:qFormat/>
    <w:uiPriority w:val="0"/>
    <w:pPr>
      <w:spacing w:line="360" w:lineRule="auto"/>
    </w:pPr>
    <w:rPr>
      <w:rFonts w:ascii="宋体" w:hAnsi="宋体" w:cs="宋体"/>
      <w:sz w:val="24"/>
      <w:szCs w:val="24"/>
    </w:rPr>
  </w:style>
  <w:style w:type="paragraph" w:customStyle="1" w:styleId="639">
    <w:name w:val="样式 标题 3 + 小四 行距: 1.5 倍行距"/>
    <w:basedOn w:val="7"/>
    <w:qFormat/>
    <w:uiPriority w:val="0"/>
    <w:pPr>
      <w:keepNext w:val="0"/>
      <w:keepLines w:val="0"/>
      <w:spacing w:before="156" w:beforeLines="50" w:after="0"/>
    </w:pPr>
    <w:rPr>
      <w:rFonts w:ascii="宋体" w:hAnsi="宋体"/>
      <w:b w:val="0"/>
      <w:sz w:val="24"/>
      <w:szCs w:val="24"/>
    </w:rPr>
  </w:style>
  <w:style w:type="paragraph" w:customStyle="1" w:styleId="640">
    <w:name w:val="CM8"/>
    <w:basedOn w:val="160"/>
    <w:next w:val="160"/>
    <w:qFormat/>
    <w:uiPriority w:val="0"/>
    <w:pPr>
      <w:spacing w:line="531" w:lineRule="atLeast"/>
    </w:pPr>
    <w:rPr>
      <w:rFonts w:ascii="HiddenHorzOCl" w:hAnsi="Times New Roman" w:eastAsia="HiddenHorzOCl" w:cs="Times New Roman"/>
      <w:color w:val="auto"/>
    </w:rPr>
  </w:style>
  <w:style w:type="table" w:customStyle="1" w:styleId="641">
    <w:name w:val="(环评报告表）1"/>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2">
    <w:name w:val="表格主题1"/>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3">
    <w:name w:val="网格型 1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44">
    <w:name w:val="网格型 71"/>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45">
    <w:name w:val="列表型 8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646">
    <w:name w:val="网格型 5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647">
    <w:name w:val="简明型 3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648">
    <w:name w:val="网页型 31"/>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649">
    <w:name w:val="简明型 11"/>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650">
    <w:name w:val="典雅型1"/>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character" w:customStyle="1" w:styleId="651">
    <w:name w:val="表格 Char Char"/>
    <w:qFormat/>
    <w:uiPriority w:val="0"/>
    <w:rPr>
      <w:color w:val="FF0000"/>
      <w:sz w:val="24"/>
      <w:szCs w:val="24"/>
    </w:rPr>
  </w:style>
  <w:style w:type="character" w:customStyle="1" w:styleId="652">
    <w:name w:val="表文5号 Char Char"/>
    <w:link w:val="653"/>
    <w:qFormat/>
    <w:uiPriority w:val="0"/>
    <w:rPr>
      <w:rFonts w:cs="宋体"/>
      <w:sz w:val="21"/>
      <w:szCs w:val="21"/>
      <w:u w:color="000000"/>
    </w:rPr>
  </w:style>
  <w:style w:type="paragraph" w:customStyle="1" w:styleId="653">
    <w:name w:val="表文5号"/>
    <w:basedOn w:val="1"/>
    <w:link w:val="652"/>
    <w:qFormat/>
    <w:uiPriority w:val="0"/>
    <w:pPr>
      <w:widowControl w:val="0"/>
      <w:spacing w:line="0" w:lineRule="atLeast"/>
      <w:jc w:val="both"/>
    </w:pPr>
    <w:rPr>
      <w:rFonts w:cs="宋体"/>
      <w:kern w:val="0"/>
      <w:szCs w:val="21"/>
      <w:u w:color="000000"/>
    </w:rPr>
  </w:style>
  <w:style w:type="character" w:customStyle="1" w:styleId="654">
    <w:name w:val="正文2 Char1"/>
    <w:qFormat/>
    <w:uiPriority w:val="0"/>
    <w:rPr>
      <w:rFonts w:ascii="宋体" w:eastAsia="宋体" w:cs="宋体"/>
      <w:sz w:val="24"/>
      <w:szCs w:val="18"/>
      <w:lang w:val="zh-CN" w:eastAsia="zh-CN" w:bidi="ar-SA"/>
    </w:rPr>
  </w:style>
  <w:style w:type="character" w:customStyle="1" w:styleId="655">
    <w:name w:val="脚注文本 Char1"/>
    <w:qFormat/>
    <w:uiPriority w:val="0"/>
    <w:rPr>
      <w:kern w:val="2"/>
      <w:sz w:val="18"/>
      <w:szCs w:val="18"/>
    </w:rPr>
  </w:style>
  <w:style w:type="character" w:customStyle="1" w:styleId="656">
    <w:name w:val="t_tag"/>
    <w:qFormat/>
    <w:uiPriority w:val="0"/>
  </w:style>
  <w:style w:type="character" w:customStyle="1" w:styleId="657">
    <w:name w:val="三级标题 Char Char"/>
    <w:link w:val="658"/>
    <w:qFormat/>
    <w:uiPriority w:val="0"/>
    <w:rPr>
      <w:rFonts w:ascii="宋体" w:hAnsi="宋体" w:eastAsia="仿宋_GB2312" w:cs="Arial"/>
      <w:bCs/>
      <w:sz w:val="30"/>
      <w:szCs w:val="30"/>
    </w:rPr>
  </w:style>
  <w:style w:type="paragraph" w:customStyle="1" w:styleId="658">
    <w:name w:val="三级标题"/>
    <w:basedOn w:val="1"/>
    <w:next w:val="1"/>
    <w:link w:val="657"/>
    <w:qFormat/>
    <w:uiPriority w:val="0"/>
    <w:pPr>
      <w:widowControl w:val="0"/>
      <w:overflowPunct w:val="0"/>
      <w:autoSpaceDE w:val="0"/>
      <w:autoSpaceDN w:val="0"/>
      <w:spacing w:line="360" w:lineRule="auto"/>
      <w:ind w:firstLine="600" w:firstLineChars="200"/>
      <w:textAlignment w:val="baseline"/>
    </w:pPr>
    <w:rPr>
      <w:rFonts w:ascii="宋体" w:hAnsi="宋体" w:eastAsia="仿宋_GB2312" w:cs="Arial"/>
      <w:bCs/>
      <w:kern w:val="0"/>
      <w:sz w:val="30"/>
      <w:szCs w:val="30"/>
    </w:rPr>
  </w:style>
  <w:style w:type="character" w:customStyle="1" w:styleId="659">
    <w:name w:val="表T Char Char"/>
    <w:link w:val="660"/>
    <w:qFormat/>
    <w:uiPriority w:val="0"/>
    <w:rPr>
      <w:b/>
      <w:sz w:val="21"/>
      <w:szCs w:val="24"/>
    </w:rPr>
  </w:style>
  <w:style w:type="paragraph" w:customStyle="1" w:styleId="660">
    <w:name w:val="表T"/>
    <w:basedOn w:val="1"/>
    <w:next w:val="1"/>
    <w:link w:val="659"/>
    <w:qFormat/>
    <w:uiPriority w:val="0"/>
    <w:pPr>
      <w:widowControl w:val="0"/>
      <w:spacing w:before="156" w:beforeLines="50"/>
      <w:jc w:val="both"/>
    </w:pPr>
    <w:rPr>
      <w:b/>
      <w:kern w:val="0"/>
      <w:szCs w:val="24"/>
    </w:rPr>
  </w:style>
  <w:style w:type="character" w:customStyle="1" w:styleId="661">
    <w:name w:val="样式 条题 + 宋体 Char"/>
    <w:qFormat/>
    <w:uiPriority w:val="0"/>
    <w:rPr>
      <w:rFonts w:ascii="宋体" w:hAnsi="宋体" w:eastAsia="宋体"/>
      <w:bCs/>
      <w:color w:val="000000"/>
      <w:kern w:val="2"/>
      <w:sz w:val="24"/>
      <w:szCs w:val="24"/>
      <w:lang w:val="en-US" w:eastAsia="zh-CN" w:bidi="ar-SA"/>
    </w:rPr>
  </w:style>
  <w:style w:type="character" w:customStyle="1" w:styleId="662">
    <w:name w:val="正文首行缩进 Char1"/>
    <w:qFormat/>
    <w:uiPriority w:val="0"/>
  </w:style>
  <w:style w:type="character" w:customStyle="1" w:styleId="663">
    <w:name w:val="正文文本 Char1"/>
    <w:qFormat/>
    <w:uiPriority w:val="0"/>
    <w:rPr>
      <w:kern w:val="2"/>
      <w:sz w:val="21"/>
      <w:szCs w:val="24"/>
    </w:rPr>
  </w:style>
  <w:style w:type="character" w:customStyle="1" w:styleId="664">
    <w:name w:val="A9"/>
    <w:qFormat/>
    <w:uiPriority w:val="0"/>
    <w:rPr>
      <w:rFonts w:cs="华文细黑"/>
      <w:color w:val="000000"/>
      <w:sz w:val="22"/>
      <w:szCs w:val="22"/>
    </w:rPr>
  </w:style>
  <w:style w:type="character" w:customStyle="1" w:styleId="665">
    <w:name w:val="表格 Char Char Char"/>
    <w:qFormat/>
    <w:uiPriority w:val="0"/>
    <w:rPr>
      <w:rFonts w:ascii="宋体" w:hAnsi="宋体"/>
      <w:bCs/>
      <w:sz w:val="24"/>
      <w:szCs w:val="24"/>
    </w:rPr>
  </w:style>
  <w:style w:type="character" w:customStyle="1" w:styleId="666">
    <w:name w:val="表文5号 Char Char Char"/>
    <w:qFormat/>
    <w:uiPriority w:val="0"/>
    <w:rPr>
      <w:rFonts w:cs="宋体"/>
      <w:sz w:val="21"/>
      <w:szCs w:val="21"/>
      <w:u w:color="000000"/>
    </w:rPr>
  </w:style>
  <w:style w:type="paragraph" w:customStyle="1" w:styleId="667">
    <w:name w:val="样式 样式 样式 首行缩进:  2 字符 段前: 0.5 行 段后: 1 行 + 首行缩进:  2 字符 + 首行缩进:  2 ..."/>
    <w:basedOn w:val="1"/>
    <w:qFormat/>
    <w:uiPriority w:val="0"/>
    <w:pPr>
      <w:widowControl w:val="0"/>
      <w:spacing w:line="360" w:lineRule="auto"/>
      <w:ind w:firstLine="200" w:firstLineChars="200"/>
      <w:jc w:val="both"/>
    </w:pPr>
    <w:rPr>
      <w:rFonts w:ascii="Times New Roman" w:hAnsi="Times New Roman" w:cs="宋体"/>
      <w:sz w:val="24"/>
      <w:szCs w:val="20"/>
    </w:rPr>
  </w:style>
  <w:style w:type="paragraph" w:customStyle="1" w:styleId="668">
    <w:name w:val="样式 a3_标题2 + (西文) 黑体 (中文) 黑体 非加粗 段前: 7.8 磅 行距: 固定值 23 磅"/>
    <w:basedOn w:val="669"/>
    <w:qFormat/>
    <w:uiPriority w:val="0"/>
    <w:pPr>
      <w:spacing w:line="460" w:lineRule="exact"/>
      <w:ind w:left="420" w:firstLine="0"/>
    </w:pPr>
    <w:rPr>
      <w:rFonts w:eastAsia="黑体" w:cs="宋体"/>
      <w:b w:val="0"/>
      <w:szCs w:val="20"/>
    </w:rPr>
  </w:style>
  <w:style w:type="paragraph" w:customStyle="1" w:styleId="669">
    <w:name w:val="a3_标题2"/>
    <w:basedOn w:val="1"/>
    <w:qFormat/>
    <w:uiPriority w:val="0"/>
    <w:pPr>
      <w:widowControl w:val="0"/>
      <w:adjustRightInd w:val="0"/>
      <w:snapToGrid w:val="0"/>
      <w:spacing w:line="360" w:lineRule="auto"/>
      <w:ind w:left="709" w:hanging="709"/>
      <w:outlineLvl w:val="2"/>
    </w:pPr>
    <w:rPr>
      <w:rFonts w:ascii="Times New Roman" w:hAnsi="Times New Roman" w:eastAsia="华文细黑"/>
      <w:b/>
      <w:sz w:val="30"/>
      <w:szCs w:val="24"/>
    </w:rPr>
  </w:style>
  <w:style w:type="paragraph" w:customStyle="1" w:styleId="670">
    <w:name w:val="样式 a3_标题1 + 黑体 小三 非加粗 段后: 0.5 行1"/>
    <w:basedOn w:val="671"/>
    <w:qFormat/>
    <w:uiPriority w:val="0"/>
    <w:pPr>
      <w:tabs>
        <w:tab w:val="left" w:pos="767"/>
      </w:tabs>
      <w:spacing w:after="0" w:afterLines="0"/>
      <w:ind w:left="0" w:firstLine="0"/>
    </w:pPr>
    <w:rPr>
      <w:rFonts w:ascii="黑体" w:eastAsia="黑体" w:cs="宋体"/>
      <w:b w:val="0"/>
      <w:sz w:val="30"/>
      <w:szCs w:val="20"/>
    </w:rPr>
  </w:style>
  <w:style w:type="paragraph" w:customStyle="1" w:styleId="671">
    <w:name w:val="a3_标题1"/>
    <w:basedOn w:val="1"/>
    <w:qFormat/>
    <w:uiPriority w:val="0"/>
    <w:pPr>
      <w:widowControl w:val="0"/>
      <w:tabs>
        <w:tab w:val="left" w:pos="767"/>
      </w:tabs>
      <w:adjustRightInd w:val="0"/>
      <w:snapToGrid w:val="0"/>
      <w:spacing w:after="156" w:afterLines="50" w:line="360" w:lineRule="auto"/>
      <w:ind w:left="767" w:hanging="567"/>
      <w:outlineLvl w:val="1"/>
    </w:pPr>
    <w:rPr>
      <w:rFonts w:ascii="Times New Roman" w:hAnsi="Times New Roman" w:eastAsia="华文细黑"/>
      <w:b/>
      <w:sz w:val="32"/>
      <w:szCs w:val="24"/>
    </w:rPr>
  </w:style>
  <w:style w:type="paragraph" w:customStyle="1" w:styleId="672">
    <w:name w:val="nilo_标题0"/>
    <w:basedOn w:val="1"/>
    <w:qFormat/>
    <w:uiPriority w:val="0"/>
    <w:pPr>
      <w:widowControl w:val="0"/>
      <w:numPr>
        <w:ilvl w:val="0"/>
        <w:numId w:val="3"/>
      </w:numPr>
      <w:spacing w:line="300" w:lineRule="auto"/>
      <w:jc w:val="center"/>
      <w:outlineLvl w:val="0"/>
    </w:pPr>
    <w:rPr>
      <w:rFonts w:ascii="黑体" w:hAnsi="宋体" w:eastAsia="黑体"/>
      <w:sz w:val="32"/>
      <w:szCs w:val="21"/>
    </w:rPr>
  </w:style>
  <w:style w:type="paragraph" w:customStyle="1" w:styleId="673">
    <w:name w:val="样式 a3_标题1 + 黑体"/>
    <w:basedOn w:val="671"/>
    <w:qFormat/>
    <w:uiPriority w:val="0"/>
    <w:pPr>
      <w:spacing w:after="0" w:afterLines="0"/>
      <w:outlineLvl w:val="0"/>
    </w:pPr>
    <w:rPr>
      <w:rFonts w:ascii="黑体" w:eastAsia="黑体" w:cs="宋体"/>
      <w:b w:val="0"/>
      <w:kern w:val="0"/>
      <w:sz w:val="36"/>
      <w:szCs w:val="20"/>
    </w:rPr>
  </w:style>
  <w:style w:type="paragraph" w:customStyle="1" w:styleId="674">
    <w:name w:val="a3_标题0"/>
    <w:basedOn w:val="1"/>
    <w:qFormat/>
    <w:uiPriority w:val="0"/>
    <w:pPr>
      <w:widowControl w:val="0"/>
      <w:numPr>
        <w:ilvl w:val="0"/>
        <w:numId w:val="4"/>
      </w:numPr>
      <w:spacing w:line="300" w:lineRule="auto"/>
      <w:jc w:val="center"/>
      <w:outlineLvl w:val="0"/>
    </w:pPr>
    <w:rPr>
      <w:rFonts w:ascii="华文细黑" w:hAnsi="宋体" w:eastAsia="华文细黑"/>
      <w:b/>
      <w:sz w:val="36"/>
      <w:szCs w:val="21"/>
    </w:rPr>
  </w:style>
  <w:style w:type="paragraph" w:customStyle="1" w:styleId="675">
    <w:name w:val="条文正文 + 段后: 0.5 行"/>
    <w:basedOn w:val="1"/>
    <w:qFormat/>
    <w:uiPriority w:val="0"/>
    <w:pPr>
      <w:widowControl w:val="0"/>
      <w:spacing w:after="156" w:afterLines="50" w:line="400" w:lineRule="exact"/>
      <w:jc w:val="both"/>
    </w:pPr>
    <w:rPr>
      <w:rFonts w:ascii="Arial" w:hAnsi="Arial" w:cs="宋体"/>
      <w:kern w:val="0"/>
      <w:szCs w:val="20"/>
    </w:rPr>
  </w:style>
  <w:style w:type="paragraph" w:customStyle="1" w:styleId="676">
    <w:name w:val="样式 A3标题1 黑体 小二"/>
    <w:basedOn w:val="677"/>
    <w:next w:val="680"/>
    <w:qFormat/>
    <w:uiPriority w:val="0"/>
    <w:pPr>
      <w:numPr>
        <w:ilvl w:val="0"/>
        <w:numId w:val="5"/>
      </w:numPr>
      <w:tabs>
        <w:tab w:val="left" w:pos="767"/>
      </w:tabs>
      <w:jc w:val="left"/>
    </w:pPr>
  </w:style>
  <w:style w:type="paragraph" w:customStyle="1" w:styleId="677">
    <w:name w:val="A3标题1 黑体 小二"/>
    <w:basedOn w:val="678"/>
    <w:qFormat/>
    <w:uiPriority w:val="0"/>
    <w:pPr>
      <w:tabs>
        <w:tab w:val="left" w:pos="767"/>
      </w:tabs>
      <w:spacing w:line="540" w:lineRule="exact"/>
    </w:pPr>
  </w:style>
  <w:style w:type="paragraph" w:customStyle="1" w:styleId="678">
    <w:name w:val="样式 样式 a3_标题1 + 黑体 非加粗 段后: 0.5 行 行距: 固定值 25 磅 + 段后: 0.5 行"/>
    <w:basedOn w:val="679"/>
    <w:qFormat/>
    <w:uiPriority w:val="0"/>
    <w:pPr>
      <w:tabs>
        <w:tab w:val="left" w:pos="767"/>
      </w:tabs>
      <w:jc w:val="center"/>
    </w:pPr>
    <w:rPr>
      <w:sz w:val="36"/>
    </w:rPr>
  </w:style>
  <w:style w:type="paragraph" w:customStyle="1" w:styleId="679">
    <w:name w:val="样式 a3_标题1 + 黑体 非加粗 段后: 0.5 行 行距: 固定值 25 磅"/>
    <w:basedOn w:val="671"/>
    <w:qFormat/>
    <w:uiPriority w:val="0"/>
    <w:pPr>
      <w:spacing w:line="500" w:lineRule="exact"/>
      <w:ind w:left="0" w:firstLine="0"/>
      <w:outlineLvl w:val="0"/>
    </w:pPr>
    <w:rPr>
      <w:rFonts w:ascii="黑体" w:eastAsia="黑体" w:cs="宋体"/>
      <w:b w:val="0"/>
      <w:szCs w:val="20"/>
    </w:rPr>
  </w:style>
  <w:style w:type="paragraph" w:customStyle="1" w:styleId="680">
    <w:name w:val="A3标题2 黑体 小三"/>
    <w:basedOn w:val="669"/>
    <w:qFormat/>
    <w:uiPriority w:val="0"/>
    <w:pPr>
      <w:spacing w:line="500" w:lineRule="exact"/>
      <w:outlineLvl w:val="1"/>
    </w:pPr>
    <w:rPr>
      <w:rFonts w:ascii="黑体" w:eastAsia="黑体" w:cs="宋体"/>
      <w:b w:val="0"/>
      <w:szCs w:val="20"/>
    </w:rPr>
  </w:style>
  <w:style w:type="paragraph" w:customStyle="1" w:styleId="681">
    <w:name w:val="样式 正文文本 + 首行缩进:  0.85 厘米 段前: 6 磅 行距: 固定值 22 磅"/>
    <w:basedOn w:val="34"/>
    <w:qFormat/>
    <w:uiPriority w:val="0"/>
    <w:pPr>
      <w:widowControl w:val="0"/>
      <w:spacing w:before="120" w:line="440" w:lineRule="exact"/>
      <w:ind w:firstLine="482"/>
      <w:jc w:val="both"/>
    </w:pPr>
    <w:rPr>
      <w:rFonts w:ascii="Times New Roman" w:hAnsi="Times New Roman" w:cs="宋体"/>
      <w:sz w:val="24"/>
      <w:szCs w:val="20"/>
      <w:lang w:val="zh-CN"/>
    </w:rPr>
  </w:style>
  <w:style w:type="paragraph" w:customStyle="1" w:styleId="682">
    <w:name w:val="样式 a3_标题1 + 段后: 0.5 行"/>
    <w:basedOn w:val="671"/>
    <w:qFormat/>
    <w:uiPriority w:val="0"/>
    <w:pPr>
      <w:ind w:left="567"/>
    </w:pPr>
    <w:rPr>
      <w:rFonts w:cs="宋体"/>
      <w:bCs/>
      <w:szCs w:val="20"/>
    </w:rPr>
  </w:style>
  <w:style w:type="paragraph" w:customStyle="1" w:styleId="683">
    <w:name w:val="样式 样式 a3_标题2 + 黑体 + 小三 加粗 段前: 7.8 磅 段后: 7.8 磅 行距: 固定值 23 磅"/>
    <w:basedOn w:val="684"/>
    <w:qFormat/>
    <w:uiPriority w:val="0"/>
    <w:pPr>
      <w:numPr>
        <w:ilvl w:val="0"/>
        <w:numId w:val="6"/>
      </w:numPr>
      <w:spacing w:before="156" w:after="156" w:line="460" w:lineRule="exact"/>
    </w:pPr>
    <w:rPr>
      <w:b/>
      <w:bCs/>
      <w:sz w:val="30"/>
    </w:rPr>
  </w:style>
  <w:style w:type="paragraph" w:customStyle="1" w:styleId="684">
    <w:name w:val="样式 a3_标题2 + 黑体"/>
    <w:basedOn w:val="669"/>
    <w:qFormat/>
    <w:uiPriority w:val="0"/>
    <w:pPr>
      <w:spacing w:line="500" w:lineRule="exact"/>
      <w:outlineLvl w:val="1"/>
    </w:pPr>
    <w:rPr>
      <w:rFonts w:ascii="黑体" w:eastAsia="黑体" w:cs="宋体"/>
      <w:b w:val="0"/>
      <w:sz w:val="32"/>
      <w:szCs w:val="20"/>
    </w:rPr>
  </w:style>
  <w:style w:type="paragraph" w:customStyle="1" w:styleId="685">
    <w:name w:val="样式 样式 A3标题2 黑体 小三"/>
    <w:basedOn w:val="677"/>
    <w:next w:val="686"/>
    <w:qFormat/>
    <w:uiPriority w:val="0"/>
    <w:pPr>
      <w:numPr>
        <w:ilvl w:val="0"/>
        <w:numId w:val="7"/>
      </w:numPr>
      <w:spacing w:after="0" w:afterLines="0" w:line="500" w:lineRule="exact"/>
      <w:ind w:left="0" w:firstLine="0"/>
      <w:jc w:val="left"/>
      <w:outlineLvl w:val="1"/>
    </w:pPr>
    <w:rPr>
      <w:sz w:val="30"/>
    </w:rPr>
  </w:style>
  <w:style w:type="paragraph" w:customStyle="1" w:styleId="686">
    <w:name w:val="样式 A3标题3 黑体 四号"/>
    <w:basedOn w:val="687"/>
    <w:qFormat/>
    <w:uiPriority w:val="0"/>
    <w:pPr>
      <w:tabs>
        <w:tab w:val="left" w:pos="0"/>
      </w:tabs>
      <w:spacing w:line="440" w:lineRule="exact"/>
      <w:ind w:left="0" w:firstLine="0"/>
      <w:outlineLvl w:val="2"/>
    </w:pPr>
    <w:rPr>
      <w:rFonts w:ascii="黑体" w:eastAsia="黑体" w:cs="宋体"/>
      <w:b w:val="0"/>
      <w:szCs w:val="20"/>
    </w:rPr>
  </w:style>
  <w:style w:type="paragraph" w:customStyle="1" w:styleId="687">
    <w:name w:val="a3_标题3"/>
    <w:basedOn w:val="1"/>
    <w:qFormat/>
    <w:uiPriority w:val="0"/>
    <w:pPr>
      <w:widowControl w:val="0"/>
      <w:tabs>
        <w:tab w:val="left" w:pos="0"/>
      </w:tabs>
      <w:adjustRightInd w:val="0"/>
      <w:snapToGrid w:val="0"/>
      <w:spacing w:line="360" w:lineRule="auto"/>
      <w:ind w:left="851" w:hanging="851"/>
      <w:outlineLvl w:val="3"/>
    </w:pPr>
    <w:rPr>
      <w:rFonts w:ascii="Times New Roman" w:hAnsi="Times New Roman" w:eastAsia="华文细黑"/>
      <w:b/>
      <w:sz w:val="28"/>
      <w:szCs w:val="24"/>
    </w:rPr>
  </w:style>
  <w:style w:type="paragraph" w:customStyle="1" w:styleId="688">
    <w:name w:val="样式 a3_标题3 + 黑体"/>
    <w:basedOn w:val="687"/>
    <w:qFormat/>
    <w:uiPriority w:val="0"/>
    <w:pPr>
      <w:tabs>
        <w:tab w:val="clear" w:pos="0"/>
      </w:tabs>
      <w:spacing w:line="440" w:lineRule="exact"/>
      <w:outlineLvl w:val="2"/>
    </w:pPr>
    <w:rPr>
      <w:rFonts w:ascii="黑体" w:hAnsi="黑体" w:eastAsia="黑体"/>
      <w:b w:val="0"/>
    </w:rPr>
  </w:style>
  <w:style w:type="paragraph" w:customStyle="1" w:styleId="689">
    <w:name w:val="Char1 Char Char Char Char Char Char"/>
    <w:basedOn w:val="1"/>
    <w:qFormat/>
    <w:uiPriority w:val="0"/>
    <w:pPr>
      <w:widowControl w:val="0"/>
      <w:spacing w:line="360" w:lineRule="auto"/>
      <w:ind w:firstLine="200" w:firstLineChars="200"/>
      <w:jc w:val="both"/>
    </w:pPr>
    <w:rPr>
      <w:rFonts w:ascii="宋体" w:hAnsi="宋体" w:cs="宋体"/>
      <w:sz w:val="24"/>
      <w:szCs w:val="24"/>
    </w:rPr>
  </w:style>
  <w:style w:type="paragraph" w:customStyle="1" w:styleId="690">
    <w:name w:val="nilo_标题4"/>
    <w:basedOn w:val="1"/>
    <w:qFormat/>
    <w:uiPriority w:val="0"/>
    <w:pPr>
      <w:widowControl w:val="0"/>
      <w:numPr>
        <w:ilvl w:val="4"/>
        <w:numId w:val="3"/>
      </w:numPr>
      <w:spacing w:before="240" w:after="80" w:line="440" w:lineRule="exact"/>
      <w:outlineLvl w:val="4"/>
    </w:pPr>
    <w:rPr>
      <w:rFonts w:ascii="Times New Roman" w:hAnsi="Times New Roman" w:eastAsia="黑体"/>
      <w:b/>
      <w:szCs w:val="24"/>
    </w:rPr>
  </w:style>
  <w:style w:type="paragraph" w:customStyle="1" w:styleId="691">
    <w:name w:val="a3_正文"/>
    <w:basedOn w:val="1"/>
    <w:qFormat/>
    <w:uiPriority w:val="0"/>
    <w:pPr>
      <w:widowControl w:val="0"/>
      <w:adjustRightInd w:val="0"/>
      <w:snapToGrid w:val="0"/>
      <w:spacing w:line="300" w:lineRule="auto"/>
      <w:ind w:firstLine="200" w:firstLineChars="200"/>
    </w:pPr>
    <w:rPr>
      <w:rFonts w:ascii="Times New Roman" w:hAnsi="Times New Roman" w:eastAsia="华文细黑"/>
      <w:sz w:val="24"/>
      <w:szCs w:val="21"/>
    </w:rPr>
  </w:style>
  <w:style w:type="paragraph" w:customStyle="1" w:styleId="692">
    <w:name w:val="a3_表格文字"/>
    <w:basedOn w:val="1"/>
    <w:qFormat/>
    <w:uiPriority w:val="0"/>
    <w:pPr>
      <w:widowControl w:val="0"/>
      <w:spacing w:line="280" w:lineRule="exact"/>
    </w:pPr>
    <w:rPr>
      <w:rFonts w:ascii="Times New Roman" w:hAnsi="Times New Roman" w:eastAsia="华文细黑"/>
      <w:szCs w:val="21"/>
    </w:rPr>
  </w:style>
  <w:style w:type="paragraph" w:customStyle="1" w:styleId="693">
    <w:name w:val="标题5"/>
    <w:basedOn w:val="1"/>
    <w:next w:val="616"/>
    <w:qFormat/>
    <w:uiPriority w:val="0"/>
    <w:pPr>
      <w:widowControl w:val="0"/>
      <w:adjustRightInd w:val="0"/>
      <w:spacing w:before="156" w:beforeLines="50" w:after="93"/>
      <w:textAlignment w:val="baseline"/>
    </w:pPr>
    <w:rPr>
      <w:rFonts w:ascii="Times New Roman" w:hAnsi="Times New Roman"/>
      <w:b/>
      <w:bCs/>
      <w:kern w:val="0"/>
      <w:sz w:val="24"/>
      <w:szCs w:val="20"/>
    </w:rPr>
  </w:style>
  <w:style w:type="paragraph" w:customStyle="1" w:styleId="694">
    <w:name w:val="段"/>
    <w:link w:val="695"/>
    <w:qFormat/>
    <w:uiPriority w:val="0"/>
    <w:pPr>
      <w:autoSpaceDE w:val="0"/>
      <w:autoSpaceDN w:val="0"/>
      <w:ind w:firstLine="425"/>
      <w:jc w:val="both"/>
    </w:pPr>
    <w:rPr>
      <w:rFonts w:ascii="宋体" w:hAnsi="Times New Roman" w:eastAsia="宋体" w:cs="Times New Roman"/>
      <w:sz w:val="21"/>
      <w:lang w:val="en-US" w:eastAsia="zh-CN" w:bidi="ar-SA"/>
    </w:rPr>
  </w:style>
  <w:style w:type="character" w:customStyle="1" w:styleId="695">
    <w:name w:val="段 Char Char"/>
    <w:link w:val="694"/>
    <w:qFormat/>
    <w:uiPriority w:val="0"/>
    <w:rPr>
      <w:rFonts w:ascii="宋体" w:hAnsi="Times New Roman"/>
      <w:sz w:val="21"/>
    </w:rPr>
  </w:style>
  <w:style w:type="paragraph" w:customStyle="1" w:styleId="696">
    <w:name w:val="正文 1"/>
    <w:basedOn w:val="1"/>
    <w:qFormat/>
    <w:uiPriority w:val="0"/>
    <w:pPr>
      <w:widowControl w:val="0"/>
      <w:spacing w:line="440" w:lineRule="exact"/>
      <w:ind w:firstLine="510"/>
      <w:jc w:val="both"/>
    </w:pPr>
    <w:rPr>
      <w:rFonts w:ascii="Times New Roman" w:hAnsi="Times New Roman"/>
      <w:sz w:val="24"/>
      <w:szCs w:val="24"/>
    </w:rPr>
  </w:style>
  <w:style w:type="paragraph" w:customStyle="1" w:styleId="697">
    <w:name w:val="nilo_标题3"/>
    <w:basedOn w:val="1"/>
    <w:qFormat/>
    <w:uiPriority w:val="0"/>
    <w:pPr>
      <w:widowControl w:val="0"/>
      <w:numPr>
        <w:ilvl w:val="3"/>
        <w:numId w:val="3"/>
      </w:numPr>
      <w:tabs>
        <w:tab w:val="left" w:pos="0"/>
      </w:tabs>
      <w:spacing w:line="360" w:lineRule="auto"/>
      <w:ind w:left="1049"/>
      <w:outlineLvl w:val="3"/>
    </w:pPr>
    <w:rPr>
      <w:rFonts w:ascii="Times New Roman" w:hAnsi="Times New Roman" w:eastAsia="黑体"/>
      <w:kern w:val="0"/>
      <w:sz w:val="24"/>
      <w:szCs w:val="24"/>
    </w:rPr>
  </w:style>
  <w:style w:type="paragraph" w:customStyle="1" w:styleId="698">
    <w:name w:val="nilo_表头"/>
    <w:basedOn w:val="1"/>
    <w:qFormat/>
    <w:uiPriority w:val="0"/>
    <w:pPr>
      <w:widowControl w:val="0"/>
      <w:numPr>
        <w:ilvl w:val="5"/>
        <w:numId w:val="3"/>
      </w:numPr>
      <w:spacing w:before="120" w:after="120" w:line="440" w:lineRule="exact"/>
      <w:jc w:val="center"/>
      <w:outlineLvl w:val="5"/>
    </w:pPr>
    <w:rPr>
      <w:rFonts w:ascii="Times New Roman" w:hAnsi="Times New Roman"/>
      <w:szCs w:val="21"/>
    </w:rPr>
  </w:style>
  <w:style w:type="paragraph" w:customStyle="1" w:styleId="699">
    <w:name w:val="表格头 1"/>
    <w:basedOn w:val="1"/>
    <w:qFormat/>
    <w:uiPriority w:val="0"/>
    <w:pPr>
      <w:widowControl w:val="0"/>
      <w:spacing w:before="120" w:after="120"/>
      <w:jc w:val="center"/>
    </w:pPr>
    <w:rPr>
      <w:rFonts w:ascii="Times New Roman" w:hAnsi="Times New Roman" w:eastAsia="黑体"/>
      <w:szCs w:val="24"/>
    </w:rPr>
  </w:style>
  <w:style w:type="paragraph" w:customStyle="1" w:styleId="700">
    <w:name w:val="样式 样式 a3_标题3 + 黑体 + 加粗 行距: 固定值 23 磅"/>
    <w:basedOn w:val="688"/>
    <w:qFormat/>
    <w:uiPriority w:val="0"/>
    <w:pPr>
      <w:numPr>
        <w:ilvl w:val="0"/>
        <w:numId w:val="8"/>
      </w:numPr>
      <w:spacing w:line="460" w:lineRule="exact"/>
    </w:pPr>
    <w:rPr>
      <w:rFonts w:cs="宋体"/>
      <w:b/>
      <w:bCs/>
      <w:szCs w:val="20"/>
    </w:rPr>
  </w:style>
  <w:style w:type="paragraph" w:customStyle="1" w:styleId="701">
    <w:name w:val="样式 小四 首行缩进:  2 字符"/>
    <w:basedOn w:val="1"/>
    <w:qFormat/>
    <w:uiPriority w:val="0"/>
    <w:pPr>
      <w:widowControl w:val="0"/>
      <w:spacing w:line="400" w:lineRule="exact"/>
      <w:ind w:firstLine="200" w:firstLineChars="200"/>
      <w:jc w:val="both"/>
    </w:pPr>
    <w:rPr>
      <w:rFonts w:ascii="Times New Roman" w:hAnsi="Times New Roman" w:cs="宋体"/>
      <w:sz w:val="24"/>
      <w:szCs w:val="20"/>
    </w:rPr>
  </w:style>
  <w:style w:type="paragraph" w:customStyle="1" w:styleId="702">
    <w:name w:val="样式 首行缩进:  0.85 厘米"/>
    <w:basedOn w:val="1"/>
    <w:qFormat/>
    <w:uiPriority w:val="0"/>
    <w:pPr>
      <w:widowControl w:val="0"/>
      <w:spacing w:line="400" w:lineRule="exact"/>
      <w:ind w:firstLine="561" w:firstLineChars="200"/>
      <w:jc w:val="both"/>
    </w:pPr>
    <w:rPr>
      <w:rFonts w:ascii="Times New Roman" w:hAnsi="Times New Roman"/>
      <w:bCs/>
      <w:sz w:val="24"/>
      <w:szCs w:val="24"/>
    </w:rPr>
  </w:style>
  <w:style w:type="paragraph" w:customStyle="1" w:styleId="703">
    <w:name w:val="样式 宋体 四号 两端对齐 行距: 1.5 倍行距"/>
    <w:basedOn w:val="1"/>
    <w:qFormat/>
    <w:uiPriority w:val="0"/>
    <w:pPr>
      <w:widowControl w:val="0"/>
      <w:spacing w:before="156" w:after="156" w:line="360" w:lineRule="auto"/>
      <w:ind w:firstLine="480" w:firstLineChars="200"/>
      <w:jc w:val="both"/>
    </w:pPr>
    <w:rPr>
      <w:rFonts w:ascii="宋体" w:hAnsi="宋体" w:cs="宋体"/>
      <w:sz w:val="24"/>
      <w:szCs w:val="24"/>
    </w:rPr>
  </w:style>
  <w:style w:type="paragraph" w:customStyle="1" w:styleId="704">
    <w:name w:val="a3_标题4"/>
    <w:basedOn w:val="1"/>
    <w:qFormat/>
    <w:uiPriority w:val="0"/>
    <w:pPr>
      <w:widowControl w:val="0"/>
      <w:adjustRightInd w:val="0"/>
      <w:snapToGrid w:val="0"/>
      <w:spacing w:before="156" w:beforeLines="50" w:line="360" w:lineRule="auto"/>
      <w:outlineLvl w:val="4"/>
    </w:pPr>
    <w:rPr>
      <w:rFonts w:ascii="Times New Roman" w:hAnsi="Times New Roman" w:eastAsia="华文细黑"/>
      <w:b/>
      <w:sz w:val="24"/>
      <w:szCs w:val="24"/>
    </w:rPr>
  </w:style>
  <w:style w:type="paragraph" w:customStyle="1" w:styleId="705">
    <w:name w:val="样式 A3标题2 黑体 小三"/>
    <w:basedOn w:val="680"/>
    <w:qFormat/>
    <w:uiPriority w:val="0"/>
    <w:pPr>
      <w:spacing w:line="460" w:lineRule="exact"/>
    </w:pPr>
  </w:style>
  <w:style w:type="paragraph" w:customStyle="1" w:styleId="706">
    <w:name w:val="nilo_标题2"/>
    <w:basedOn w:val="1"/>
    <w:qFormat/>
    <w:uiPriority w:val="0"/>
    <w:pPr>
      <w:widowControl w:val="0"/>
      <w:numPr>
        <w:ilvl w:val="2"/>
        <w:numId w:val="3"/>
      </w:numPr>
      <w:spacing w:before="120" w:line="440" w:lineRule="exact"/>
      <w:ind w:left="907"/>
      <w:outlineLvl w:val="2"/>
    </w:pPr>
    <w:rPr>
      <w:rFonts w:ascii="Times New Roman" w:hAnsi="Times New Roman" w:eastAsia="黑体"/>
      <w:b/>
      <w:kern w:val="0"/>
      <w:sz w:val="28"/>
      <w:szCs w:val="24"/>
    </w:rPr>
  </w:style>
  <w:style w:type="paragraph" w:customStyle="1" w:styleId="707">
    <w:name w:val="样式 段后: 0.5 行1"/>
    <w:basedOn w:val="1"/>
    <w:qFormat/>
    <w:uiPriority w:val="0"/>
    <w:pPr>
      <w:widowControl w:val="0"/>
      <w:spacing w:after="156" w:afterLines="50" w:line="360" w:lineRule="auto"/>
      <w:ind w:firstLine="200" w:firstLineChars="200"/>
      <w:jc w:val="both"/>
    </w:pPr>
    <w:rPr>
      <w:rFonts w:ascii="Times New Roman" w:hAnsi="Times New Roman" w:cs="宋体"/>
      <w:sz w:val="24"/>
      <w:szCs w:val="20"/>
    </w:rPr>
  </w:style>
  <w:style w:type="paragraph" w:customStyle="1" w:styleId="708">
    <w:name w:val="正文 + 黑色"/>
    <w:basedOn w:val="1"/>
    <w:qFormat/>
    <w:uiPriority w:val="0"/>
    <w:pPr>
      <w:widowControl w:val="0"/>
      <w:jc w:val="center"/>
    </w:pPr>
    <w:rPr>
      <w:rFonts w:ascii="Times New Roman" w:hAnsi="Times New Roman"/>
      <w:color w:val="FF0000"/>
      <w:sz w:val="24"/>
      <w:szCs w:val="21"/>
    </w:rPr>
  </w:style>
  <w:style w:type="paragraph" w:customStyle="1" w:styleId="709">
    <w:name w:val="文章正文"/>
    <w:basedOn w:val="1"/>
    <w:qFormat/>
    <w:uiPriority w:val="0"/>
    <w:pPr>
      <w:widowControl w:val="0"/>
      <w:spacing w:line="360" w:lineRule="auto"/>
      <w:ind w:firstLine="480" w:firstLineChars="200"/>
      <w:jc w:val="both"/>
    </w:pPr>
    <w:rPr>
      <w:rFonts w:ascii="Times New Roman" w:hAnsi="Times New Roman"/>
      <w:sz w:val="24"/>
      <w:szCs w:val="20"/>
    </w:rPr>
  </w:style>
  <w:style w:type="paragraph" w:customStyle="1" w:styleId="710">
    <w:name w:val="样式 a3_标题1 + 黑体 小三 非加粗 段后: 0.5 行"/>
    <w:basedOn w:val="671"/>
    <w:qFormat/>
    <w:uiPriority w:val="0"/>
    <w:pPr>
      <w:numPr>
        <w:ilvl w:val="0"/>
        <w:numId w:val="9"/>
      </w:numPr>
      <w:spacing w:after="0" w:afterLines="0"/>
      <w:ind w:left="0" w:firstLine="0"/>
    </w:pPr>
    <w:rPr>
      <w:rFonts w:ascii="黑体" w:eastAsia="黑体" w:cs="宋体"/>
      <w:b w:val="0"/>
      <w:sz w:val="30"/>
      <w:szCs w:val="20"/>
    </w:rPr>
  </w:style>
  <w:style w:type="paragraph" w:customStyle="1" w:styleId="711">
    <w:name w:val="正文-第几条"/>
    <w:basedOn w:val="1"/>
    <w:qFormat/>
    <w:uiPriority w:val="0"/>
    <w:pPr>
      <w:widowControl w:val="0"/>
      <w:spacing w:line="360" w:lineRule="auto"/>
      <w:jc w:val="both"/>
    </w:pPr>
    <w:rPr>
      <w:rFonts w:ascii="Times New Roman" w:hAnsi="Times New Roman"/>
      <w:b/>
      <w:sz w:val="24"/>
      <w:szCs w:val="24"/>
    </w:rPr>
  </w:style>
  <w:style w:type="paragraph" w:customStyle="1" w:styleId="712">
    <w:name w:val="a3_图名"/>
    <w:basedOn w:val="1"/>
    <w:qFormat/>
    <w:uiPriority w:val="0"/>
    <w:pPr>
      <w:widowControl w:val="0"/>
      <w:numPr>
        <w:ilvl w:val="6"/>
        <w:numId w:val="4"/>
      </w:numPr>
      <w:adjustRightInd w:val="0"/>
      <w:snapToGrid w:val="0"/>
      <w:spacing w:line="440" w:lineRule="exact"/>
      <w:outlineLvl w:val="6"/>
    </w:pPr>
    <w:rPr>
      <w:rFonts w:ascii="Times New Roman" w:hAnsi="Times New Roman" w:eastAsia="华文细黑"/>
      <w:b/>
      <w:sz w:val="24"/>
      <w:szCs w:val="21"/>
    </w:rPr>
  </w:style>
  <w:style w:type="paragraph" w:customStyle="1" w:styleId="713">
    <w:name w:val="样式 a3_标题3 + (西文) 黑体 (中文) 黑体 非加粗 行距: 固定值 23 磅"/>
    <w:basedOn w:val="687"/>
    <w:qFormat/>
    <w:uiPriority w:val="0"/>
    <w:pPr>
      <w:tabs>
        <w:tab w:val="clear" w:pos="0"/>
      </w:tabs>
      <w:spacing w:line="460" w:lineRule="exact"/>
      <w:ind w:left="1051"/>
    </w:pPr>
    <w:rPr>
      <w:rFonts w:eastAsia="黑体" w:cs="宋体"/>
      <w:b w:val="0"/>
      <w:szCs w:val="20"/>
    </w:rPr>
  </w:style>
  <w:style w:type="paragraph" w:customStyle="1" w:styleId="714">
    <w:name w:val="表格排序"/>
    <w:basedOn w:val="1"/>
    <w:next w:val="39"/>
    <w:qFormat/>
    <w:uiPriority w:val="0"/>
    <w:pPr>
      <w:numPr>
        <w:ilvl w:val="0"/>
        <w:numId w:val="10"/>
      </w:numPr>
      <w:jc w:val="center"/>
    </w:pPr>
    <w:rPr>
      <w:rFonts w:ascii="宋体" w:hAnsi="宋体"/>
      <w:b/>
      <w:sz w:val="24"/>
      <w:szCs w:val="24"/>
    </w:rPr>
  </w:style>
  <w:style w:type="paragraph" w:customStyle="1" w:styleId="715">
    <w:name w:val="Char Char1"/>
    <w:basedOn w:val="1"/>
    <w:qFormat/>
    <w:uiPriority w:val="0"/>
    <w:pPr>
      <w:widowControl w:val="0"/>
      <w:tabs>
        <w:tab w:val="left" w:pos="420"/>
      </w:tabs>
      <w:snapToGrid w:val="0"/>
      <w:spacing w:line="360" w:lineRule="auto"/>
      <w:ind w:left="420" w:hanging="420"/>
      <w:jc w:val="both"/>
    </w:pPr>
    <w:rPr>
      <w:rFonts w:ascii="Times New Roman" w:hAnsi="Times New Roman" w:eastAsia="仿宋_GB2312" w:cs="宋体"/>
      <w:sz w:val="24"/>
      <w:szCs w:val="24"/>
    </w:rPr>
  </w:style>
  <w:style w:type="paragraph" w:customStyle="1" w:styleId="716">
    <w:name w:val="样式 标题 2 + 宋体 小三 首行缩进:  2 字符"/>
    <w:basedOn w:val="6"/>
    <w:qFormat/>
    <w:uiPriority w:val="0"/>
    <w:pPr>
      <w:widowControl w:val="0"/>
      <w:spacing w:before="260" w:after="260" w:line="415" w:lineRule="auto"/>
    </w:pPr>
    <w:rPr>
      <w:rFonts w:cs="宋体"/>
      <w:szCs w:val="20"/>
      <w:lang w:val="zh-CN"/>
    </w:rPr>
  </w:style>
  <w:style w:type="paragraph" w:customStyle="1" w:styleId="717">
    <w:name w:val="nilo_标题1"/>
    <w:basedOn w:val="1"/>
    <w:qFormat/>
    <w:uiPriority w:val="0"/>
    <w:pPr>
      <w:widowControl w:val="0"/>
      <w:numPr>
        <w:ilvl w:val="1"/>
        <w:numId w:val="3"/>
      </w:numPr>
      <w:spacing w:line="360" w:lineRule="auto"/>
      <w:outlineLvl w:val="1"/>
    </w:pPr>
    <w:rPr>
      <w:rFonts w:ascii="Times New Roman" w:hAnsi="Times New Roman" w:eastAsia="黑体"/>
      <w:sz w:val="30"/>
      <w:szCs w:val="24"/>
    </w:rPr>
  </w:style>
  <w:style w:type="paragraph" w:customStyle="1" w:styleId="718">
    <w:name w:val="TOC 标题1"/>
    <w:basedOn w:val="5"/>
    <w:next w:val="1"/>
    <w:qFormat/>
    <w:uiPriority w:val="0"/>
    <w:pPr>
      <w:numPr>
        <w:numId w:val="0"/>
      </w:numPr>
      <w:spacing w:before="480" w:after="0" w:line="276" w:lineRule="auto"/>
      <w:outlineLvl w:val="9"/>
    </w:pPr>
    <w:rPr>
      <w:rFonts w:ascii="Cambria" w:hAnsi="Cambria"/>
      <w:color w:val="365F91"/>
      <w:kern w:val="0"/>
      <w:sz w:val="28"/>
      <w:szCs w:val="28"/>
    </w:rPr>
  </w:style>
  <w:style w:type="paragraph" w:customStyle="1" w:styleId="719">
    <w:name w:val="area"/>
    <w:basedOn w:val="1"/>
    <w:qFormat/>
    <w:uiPriority w:val="0"/>
    <w:pPr>
      <w:spacing w:before="60" w:after="60" w:line="360" w:lineRule="auto"/>
      <w:ind w:left="200" w:right="300"/>
    </w:pPr>
    <w:rPr>
      <w:rFonts w:ascii="̥_GB2312" w:hAnsi="̥_GB2312"/>
      <w:kern w:val="0"/>
      <w:sz w:val="18"/>
      <w:szCs w:val="18"/>
    </w:rPr>
  </w:style>
  <w:style w:type="paragraph" w:customStyle="1" w:styleId="720">
    <w:name w:val="a3_表头"/>
    <w:basedOn w:val="1"/>
    <w:qFormat/>
    <w:uiPriority w:val="0"/>
    <w:pPr>
      <w:widowControl w:val="0"/>
      <w:numPr>
        <w:ilvl w:val="5"/>
        <w:numId w:val="4"/>
      </w:numPr>
      <w:spacing w:line="300" w:lineRule="auto"/>
      <w:outlineLvl w:val="5"/>
    </w:pPr>
    <w:rPr>
      <w:rFonts w:ascii="Times New Roman" w:hAnsi="Times New Roman" w:eastAsia="华文细黑"/>
      <w:b/>
      <w:sz w:val="24"/>
      <w:szCs w:val="21"/>
    </w:rPr>
  </w:style>
  <w:style w:type="paragraph" w:customStyle="1" w:styleId="721">
    <w:name w:val="nilo_图名"/>
    <w:basedOn w:val="1"/>
    <w:qFormat/>
    <w:uiPriority w:val="0"/>
    <w:pPr>
      <w:widowControl w:val="0"/>
      <w:numPr>
        <w:ilvl w:val="6"/>
        <w:numId w:val="3"/>
      </w:numPr>
      <w:spacing w:after="156" w:afterLines="50" w:line="300" w:lineRule="auto"/>
      <w:jc w:val="center"/>
      <w:outlineLvl w:val="6"/>
    </w:pPr>
    <w:rPr>
      <w:rFonts w:ascii="Times New Roman" w:hAnsi="Times New Roman" w:eastAsia="黑体"/>
      <w:szCs w:val="21"/>
    </w:rPr>
  </w:style>
  <w:style w:type="paragraph" w:customStyle="1" w:styleId="722">
    <w:name w:val="样式 a3_标题1 + (西文) 黑体 (中文) 黑体 非加粗 段后: 0.5 行 行距: 固定值 23 磅"/>
    <w:basedOn w:val="671"/>
    <w:qFormat/>
    <w:uiPriority w:val="0"/>
    <w:pPr>
      <w:tabs>
        <w:tab w:val="left" w:pos="200"/>
        <w:tab w:val="clear" w:pos="767"/>
      </w:tabs>
      <w:spacing w:after="0" w:afterLines="0" w:line="500" w:lineRule="exact"/>
      <w:ind w:left="200" w:firstLine="0"/>
    </w:pPr>
    <w:rPr>
      <w:rFonts w:eastAsia="黑体" w:cs="宋体"/>
      <w:b w:val="0"/>
      <w:kern w:val="0"/>
      <w:szCs w:val="20"/>
    </w:rPr>
  </w:style>
  <w:style w:type="paragraph" w:customStyle="1" w:styleId="723">
    <w:name w:val="样式 a3_标题0 +"/>
    <w:basedOn w:val="674"/>
    <w:qFormat/>
    <w:uiPriority w:val="0"/>
    <w:pPr>
      <w:numPr>
        <w:numId w:val="0"/>
      </w:numPr>
      <w:tabs>
        <w:tab w:val="left" w:pos="0"/>
      </w:tabs>
      <w:spacing w:line="360" w:lineRule="auto"/>
      <w:ind w:left="1080" w:hanging="1080"/>
    </w:pPr>
    <w:rPr>
      <w:rFonts w:ascii="Times New Roman" w:hAnsi="Times New Roman" w:eastAsia="黑体"/>
      <w:b w:val="0"/>
      <w:bCs/>
      <w:kern w:val="0"/>
    </w:rPr>
  </w:style>
  <w:style w:type="paragraph" w:customStyle="1" w:styleId="724">
    <w:name w:val="Char Char Char Char Char Char Char Char Char Char Char Char Char Char Char Char"/>
    <w:basedOn w:val="1"/>
    <w:qFormat/>
    <w:uiPriority w:val="0"/>
    <w:pPr>
      <w:widowControl w:val="0"/>
      <w:jc w:val="both"/>
    </w:pPr>
    <w:rPr>
      <w:rFonts w:ascii="仿宋_GB2312" w:hAnsi="Times New Roman" w:eastAsia="仿宋_GB2312"/>
      <w:b/>
      <w:sz w:val="32"/>
      <w:szCs w:val="32"/>
    </w:rPr>
  </w:style>
  <w:style w:type="table" w:customStyle="1" w:styleId="725">
    <w:name w:val="网格型1"/>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26">
    <w:name w:val="gfp-正文"/>
    <w:basedOn w:val="1"/>
    <w:qFormat/>
    <w:uiPriority w:val="0"/>
    <w:pPr>
      <w:widowControl w:val="0"/>
      <w:spacing w:line="360" w:lineRule="auto"/>
      <w:ind w:firstLine="200" w:firstLineChars="200"/>
      <w:jc w:val="both"/>
    </w:pPr>
    <w:rPr>
      <w:rFonts w:ascii="Times New Roman" w:hAnsi="Times New Roman"/>
      <w:sz w:val="24"/>
      <w:szCs w:val="24"/>
    </w:rPr>
  </w:style>
  <w:style w:type="table" w:customStyle="1" w:styleId="727">
    <w:name w:val="网格型2"/>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8">
    <w:name w:val="表格主题2"/>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29">
    <w:name w:val="典雅型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730">
    <w:name w:val="简明型 12"/>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731">
    <w:name w:val="简明型 3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732">
    <w:name w:val="列表型 8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733">
    <w:name w:val="网格型 1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34">
    <w:name w:val="网格型 5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35">
    <w:name w:val="网格型 72"/>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36">
    <w:name w:val="网页型 32"/>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737">
    <w:name w:val="(环评报告表）11"/>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8">
    <w:name w:val="表格主题11"/>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39">
    <w:name w:val="网格型 11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40">
    <w:name w:val="网格型 711"/>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41">
    <w:name w:val="列表型 81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742">
    <w:name w:val="网格型 51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743">
    <w:name w:val="简明型 31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744">
    <w:name w:val="网页型 311"/>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745">
    <w:name w:val="简明型 111"/>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746">
    <w:name w:val="典雅型11"/>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747">
    <w:name w:val="网格型11"/>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48">
    <w:name w:val="网格型3"/>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49">
    <w:name w:val="纯文本 字符"/>
    <w:qFormat/>
    <w:uiPriority w:val="0"/>
    <w:rPr>
      <w:rFonts w:ascii="宋体" w:hAnsi="Courier New" w:eastAsia="宋体" w:cs="Times New Roman"/>
      <w:sz w:val="24"/>
      <w:szCs w:val="21"/>
      <w:lang w:val="zh-CN" w:eastAsia="zh-CN"/>
    </w:rPr>
  </w:style>
  <w:style w:type="character" w:customStyle="1" w:styleId="750">
    <w:name w:val="Unresolved Mention"/>
    <w:semiHidden/>
    <w:unhideWhenUsed/>
    <w:qFormat/>
    <w:uiPriority w:val="99"/>
    <w:rPr>
      <w:color w:val="808080"/>
      <w:shd w:val="clear" w:color="auto" w:fill="E6E6E6"/>
    </w:rPr>
  </w:style>
  <w:style w:type="character" w:customStyle="1" w:styleId="751">
    <w:name w:val="页脚 字符"/>
    <w:qFormat/>
    <w:uiPriority w:val="99"/>
  </w:style>
  <w:style w:type="paragraph" w:customStyle="1" w:styleId="752">
    <w:name w:val="6-表头"/>
    <w:basedOn w:val="1"/>
    <w:qFormat/>
    <w:uiPriority w:val="0"/>
    <w:pPr>
      <w:widowControl w:val="0"/>
      <w:autoSpaceDE w:val="0"/>
      <w:autoSpaceDN w:val="0"/>
      <w:adjustRightInd w:val="0"/>
      <w:spacing w:before="70" w:beforeLines="70"/>
      <w:jc w:val="center"/>
    </w:pPr>
    <w:rPr>
      <w:rFonts w:ascii="Times New Roman" w:hAnsi="Times New Roman"/>
      <w:b/>
      <w:bCs/>
      <w:szCs w:val="21"/>
    </w:rPr>
  </w:style>
  <w:style w:type="character" w:customStyle="1" w:styleId="753">
    <w:name w:val="批注框文本 字符"/>
    <w:qFormat/>
    <w:uiPriority w:val="0"/>
    <w:rPr>
      <w:rFonts w:ascii="Times New Roman" w:hAnsi="Times New Roman" w:eastAsia="宋体" w:cs="Times New Roman"/>
      <w:sz w:val="18"/>
      <w:szCs w:val="18"/>
    </w:rPr>
  </w:style>
  <w:style w:type="character" w:customStyle="1" w:styleId="754">
    <w:name w:val="标题 2 字符"/>
    <w:qFormat/>
    <w:uiPriority w:val="0"/>
    <w:rPr>
      <w:rFonts w:ascii="Arial" w:hAnsi="Arial" w:eastAsia="黑体"/>
      <w:b/>
      <w:bCs/>
      <w:kern w:val="2"/>
      <w:sz w:val="32"/>
      <w:szCs w:val="32"/>
    </w:rPr>
  </w:style>
  <w:style w:type="character" w:customStyle="1" w:styleId="755">
    <w:name w:val="页眉 字符"/>
    <w:qFormat/>
    <w:uiPriority w:val="99"/>
    <w:rPr>
      <w:kern w:val="2"/>
      <w:sz w:val="18"/>
      <w:szCs w:val="18"/>
    </w:rPr>
  </w:style>
  <w:style w:type="character" w:customStyle="1" w:styleId="756">
    <w:name w:val="正文文本缩进 字符"/>
    <w:qFormat/>
    <w:uiPriority w:val="0"/>
    <w:rPr>
      <w:kern w:val="2"/>
      <w:sz w:val="21"/>
      <w:szCs w:val="24"/>
    </w:rPr>
  </w:style>
  <w:style w:type="paragraph" w:customStyle="1" w:styleId="757">
    <w:name w:val="B表格文字"/>
    <w:link w:val="758"/>
    <w:qFormat/>
    <w:uiPriority w:val="0"/>
    <w:pPr>
      <w:jc w:val="center"/>
    </w:pPr>
    <w:rPr>
      <w:rFonts w:ascii="Times New Roman" w:hAnsi="Times New Roman" w:eastAsia="宋体" w:cs="Times New Roman"/>
      <w:kern w:val="2"/>
      <w:sz w:val="21"/>
      <w:szCs w:val="24"/>
      <w:lang w:val="en-US" w:eastAsia="zh-CN" w:bidi="ar-SA"/>
    </w:rPr>
  </w:style>
  <w:style w:type="character" w:customStyle="1" w:styleId="758">
    <w:name w:val="B表格文字 Char"/>
    <w:link w:val="757"/>
    <w:qFormat/>
    <w:uiPriority w:val="0"/>
    <w:rPr>
      <w:rFonts w:ascii="Times New Roman" w:hAnsi="Times New Roman"/>
      <w:kern w:val="2"/>
      <w:sz w:val="21"/>
      <w:szCs w:val="24"/>
    </w:rPr>
  </w:style>
  <w:style w:type="paragraph" w:customStyle="1" w:styleId="759">
    <w:name w:val="B表头"/>
    <w:link w:val="760"/>
    <w:qFormat/>
    <w:uiPriority w:val="0"/>
    <w:pPr>
      <w:jc w:val="center"/>
    </w:pPr>
    <w:rPr>
      <w:rFonts w:ascii="Times New Roman" w:hAnsi="Times New Roman" w:eastAsia="宋体" w:cs="Times New Roman"/>
      <w:b/>
      <w:kern w:val="2"/>
      <w:sz w:val="24"/>
      <w:szCs w:val="24"/>
      <w:lang w:val="en-US" w:eastAsia="zh-CN" w:bidi="ar-SA"/>
    </w:rPr>
  </w:style>
  <w:style w:type="character" w:customStyle="1" w:styleId="760">
    <w:name w:val="B表头 Char"/>
    <w:link w:val="759"/>
    <w:qFormat/>
    <w:uiPriority w:val="0"/>
    <w:rPr>
      <w:rFonts w:ascii="Times New Roman" w:hAnsi="Times New Roman"/>
      <w:b/>
      <w:kern w:val="2"/>
      <w:sz w:val="24"/>
      <w:szCs w:val="24"/>
    </w:rPr>
  </w:style>
  <w:style w:type="character" w:customStyle="1" w:styleId="761">
    <w:name w:val="正文文本缩进 3 字符"/>
    <w:qFormat/>
    <w:uiPriority w:val="0"/>
    <w:rPr>
      <w:kern w:val="2"/>
      <w:sz w:val="16"/>
      <w:szCs w:val="16"/>
    </w:rPr>
  </w:style>
  <w:style w:type="paragraph" w:customStyle="1" w:styleId="762">
    <w:name w:val="11111"/>
    <w:basedOn w:val="1"/>
    <w:qFormat/>
    <w:uiPriority w:val="0"/>
    <w:pPr>
      <w:widowControl w:val="0"/>
      <w:spacing w:line="460" w:lineRule="exact"/>
      <w:ind w:firstLine="200" w:firstLineChars="200"/>
      <w:jc w:val="both"/>
    </w:pPr>
    <w:rPr>
      <w:rFonts w:ascii="仿宋_GB2312" w:hAnsi="仿宋_GB2312" w:eastAsia="仿宋_GB2312"/>
      <w:kern w:val="0"/>
      <w:sz w:val="24"/>
      <w:szCs w:val="24"/>
    </w:rPr>
  </w:style>
  <w:style w:type="paragraph" w:customStyle="1" w:styleId="763">
    <w:name w:val="!BG_正文"/>
    <w:basedOn w:val="1"/>
    <w:link w:val="764"/>
    <w:qFormat/>
    <w:uiPriority w:val="0"/>
    <w:pPr>
      <w:widowControl w:val="0"/>
      <w:tabs>
        <w:tab w:val="left" w:pos="360"/>
        <w:tab w:val="left" w:pos="540"/>
      </w:tabs>
      <w:spacing w:line="360" w:lineRule="auto"/>
      <w:ind w:firstLine="200" w:firstLineChars="200"/>
      <w:jc w:val="both"/>
    </w:pPr>
    <w:rPr>
      <w:rFonts w:ascii="Times New Roman" w:hAnsi="Times New Roman"/>
      <w:sz w:val="24"/>
      <w:szCs w:val="24"/>
    </w:rPr>
  </w:style>
  <w:style w:type="character" w:customStyle="1" w:styleId="764">
    <w:name w:val="!BG_正文 Char"/>
    <w:link w:val="763"/>
    <w:qFormat/>
    <w:uiPriority w:val="0"/>
    <w:rPr>
      <w:rFonts w:ascii="Times New Roman" w:hAnsi="Times New Roman"/>
      <w:kern w:val="2"/>
      <w:sz w:val="24"/>
      <w:szCs w:val="24"/>
    </w:rPr>
  </w:style>
  <w:style w:type="character" w:customStyle="1" w:styleId="765">
    <w:name w:val="文档结构图 字符"/>
    <w:qFormat/>
    <w:uiPriority w:val="0"/>
    <w:rPr>
      <w:rFonts w:ascii="宋体"/>
      <w:kern w:val="2"/>
      <w:sz w:val="18"/>
      <w:szCs w:val="18"/>
    </w:rPr>
  </w:style>
  <w:style w:type="character" w:customStyle="1" w:styleId="766">
    <w:name w:val="标题 3 字符"/>
    <w:qFormat/>
    <w:uiPriority w:val="0"/>
    <w:rPr>
      <w:b/>
      <w:bCs/>
      <w:kern w:val="2"/>
      <w:sz w:val="32"/>
      <w:szCs w:val="32"/>
    </w:rPr>
  </w:style>
  <w:style w:type="table" w:customStyle="1" w:styleId="767">
    <w:name w:val="网格型4"/>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68">
    <w:name w:val="正文文本_"/>
    <w:basedOn w:val="101"/>
    <w:link w:val="769"/>
    <w:qFormat/>
    <w:uiPriority w:val="0"/>
    <w:rPr>
      <w:rFonts w:ascii="Arial Unicode MS" w:hAnsi="Arial Unicode MS" w:eastAsia="Arial Unicode MS" w:cs="Arial Unicode MS"/>
      <w:sz w:val="27"/>
      <w:szCs w:val="27"/>
      <w:shd w:val="clear" w:color="auto" w:fill="FFFFFF"/>
    </w:rPr>
  </w:style>
  <w:style w:type="paragraph" w:customStyle="1" w:styleId="769">
    <w:name w:val="正文文本1"/>
    <w:basedOn w:val="1"/>
    <w:link w:val="768"/>
    <w:qFormat/>
    <w:uiPriority w:val="0"/>
    <w:pPr>
      <w:widowControl w:val="0"/>
      <w:shd w:val="clear" w:color="auto" w:fill="FFFFFF"/>
      <w:spacing w:line="619" w:lineRule="exact"/>
    </w:pPr>
    <w:rPr>
      <w:rFonts w:ascii="Arial Unicode MS" w:hAnsi="Arial Unicode MS" w:eastAsia="Arial Unicode MS" w:cs="Arial Unicode MS"/>
      <w:kern w:val="0"/>
      <w:sz w:val="27"/>
      <w:szCs w:val="27"/>
    </w:rPr>
  </w:style>
  <w:style w:type="character" w:customStyle="1" w:styleId="770">
    <w:name w:val="正文文本 + 9.5 pt"/>
    <w:qFormat/>
    <w:uiPriority w:val="0"/>
    <w:rPr>
      <w:rFonts w:ascii="Arial Unicode MS" w:hAnsi="Arial Unicode MS" w:eastAsia="Arial Unicode MS" w:cs="Arial Unicode MS"/>
      <w:color w:val="000000"/>
      <w:spacing w:val="0"/>
      <w:w w:val="100"/>
      <w:position w:val="0"/>
      <w:sz w:val="19"/>
      <w:szCs w:val="19"/>
      <w:shd w:val="clear" w:color="auto" w:fill="FFFFFF"/>
      <w:lang w:val="zh-TW"/>
    </w:rPr>
  </w:style>
  <w:style w:type="character" w:customStyle="1" w:styleId="771">
    <w:name w:val="正文文本 + Times New Roman"/>
    <w:qFormat/>
    <w:uiPriority w:val="0"/>
    <w:rPr>
      <w:rFonts w:ascii="Times New Roman" w:hAnsi="Times New Roman" w:eastAsia="Times New Roman" w:cs="Times New Roman"/>
      <w:color w:val="000000"/>
      <w:spacing w:val="0"/>
      <w:w w:val="100"/>
      <w:position w:val="0"/>
      <w:sz w:val="20"/>
      <w:szCs w:val="20"/>
      <w:shd w:val="clear" w:color="auto" w:fill="FFFFFF"/>
      <w:lang w:val="en-US"/>
    </w:rPr>
  </w:style>
  <w:style w:type="character" w:customStyle="1" w:styleId="772">
    <w:name w:val="标题 字符"/>
    <w:qFormat/>
    <w:uiPriority w:val="0"/>
    <w:rPr>
      <w:rFonts w:ascii="Cambria" w:hAnsi="Cambria"/>
      <w:b/>
      <w:bCs/>
      <w:kern w:val="2"/>
      <w:sz w:val="32"/>
      <w:szCs w:val="32"/>
    </w:rPr>
  </w:style>
  <w:style w:type="character" w:customStyle="1" w:styleId="773">
    <w:name w:val="标题 Char1"/>
    <w:qFormat/>
    <w:uiPriority w:val="0"/>
    <w:rPr>
      <w:rFonts w:ascii="Cambria" w:hAnsi="Cambria" w:cs="Times New Roman"/>
      <w:b/>
      <w:bCs/>
      <w:kern w:val="2"/>
      <w:sz w:val="32"/>
      <w:szCs w:val="32"/>
    </w:rPr>
  </w:style>
  <w:style w:type="character" w:customStyle="1" w:styleId="774">
    <w:name w:val="正文首行缩进 2 字符"/>
    <w:qFormat/>
    <w:uiPriority w:val="0"/>
  </w:style>
  <w:style w:type="paragraph" w:customStyle="1" w:styleId="775">
    <w:name w:val="列出段落1"/>
    <w:basedOn w:val="1"/>
    <w:qFormat/>
    <w:uiPriority w:val="34"/>
    <w:pPr>
      <w:widowControl w:val="0"/>
      <w:ind w:firstLine="420" w:firstLineChars="200"/>
      <w:jc w:val="both"/>
    </w:pPr>
    <w:rPr>
      <w:rFonts w:ascii="Times New Roman" w:hAnsi="Times New Roman"/>
      <w:szCs w:val="21"/>
    </w:rPr>
  </w:style>
  <w:style w:type="table" w:customStyle="1" w:styleId="776">
    <w:name w:val="网格型5"/>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7">
    <w:name w:val="网格型6"/>
    <w:basedOn w:val="90"/>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8">
    <w:name w:val="网格型7"/>
    <w:basedOn w:val="90"/>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79">
    <w:name w:val="0正文 Char Char"/>
    <w:link w:val="780"/>
    <w:qFormat/>
    <w:uiPriority w:val="0"/>
    <w:rPr>
      <w:rFonts w:ascii="Times New Roman" w:hAnsi="Times New Roman"/>
      <w:color w:val="0000FF"/>
      <w:kern w:val="2"/>
      <w:sz w:val="24"/>
      <w:szCs w:val="24"/>
    </w:rPr>
  </w:style>
  <w:style w:type="paragraph" w:customStyle="1" w:styleId="780">
    <w:name w:val="0正文"/>
    <w:basedOn w:val="1"/>
    <w:link w:val="779"/>
    <w:qFormat/>
    <w:uiPriority w:val="0"/>
    <w:pPr>
      <w:widowControl w:val="0"/>
      <w:spacing w:line="360" w:lineRule="auto"/>
      <w:ind w:firstLine="480" w:firstLineChars="200"/>
      <w:jc w:val="both"/>
    </w:pPr>
    <w:rPr>
      <w:rFonts w:ascii="Times New Roman" w:hAnsi="Times New Roman"/>
      <w:color w:val="0000FF"/>
      <w:sz w:val="24"/>
      <w:szCs w:val="24"/>
    </w:rPr>
  </w:style>
  <w:style w:type="table" w:customStyle="1" w:styleId="781">
    <w:name w:val="网格型12"/>
    <w:basedOn w:val="90"/>
    <w:qFormat/>
    <w:uiPriority w:val="0"/>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2">
    <w:name w:val="网格型8"/>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3">
    <w:name w:val="表格主题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84">
    <w:name w:val="Char Char Char Char Char2 Char Char Char Char"/>
    <w:basedOn w:val="1"/>
    <w:qFormat/>
    <w:uiPriority w:val="0"/>
    <w:pPr>
      <w:widowControl w:val="0"/>
      <w:adjustRightInd w:val="0"/>
      <w:snapToGrid w:val="0"/>
      <w:spacing w:line="360" w:lineRule="auto"/>
      <w:ind w:firstLine="200" w:firstLineChars="200"/>
      <w:jc w:val="both"/>
    </w:pPr>
    <w:rPr>
      <w:rFonts w:ascii="宋体" w:hAnsi="宋体" w:cs="宋体"/>
      <w:sz w:val="24"/>
      <w:szCs w:val="26"/>
    </w:rPr>
  </w:style>
  <w:style w:type="character" w:customStyle="1" w:styleId="785">
    <w:name w:val="表格标题 Char"/>
    <w:qFormat/>
    <w:uiPriority w:val="0"/>
    <w:rPr>
      <w:rFonts w:ascii="Arial" w:hAnsi="Arial" w:eastAsia="黑体"/>
      <w:bCs/>
      <w:kern w:val="2"/>
      <w:sz w:val="24"/>
      <w:szCs w:val="32"/>
      <w:lang w:val="en-US" w:eastAsia="zh-CN" w:bidi="ar-SA"/>
    </w:rPr>
  </w:style>
  <w:style w:type="character" w:customStyle="1" w:styleId="786">
    <w:name w:val="报告 Char"/>
    <w:link w:val="787"/>
    <w:qFormat/>
    <w:uiPriority w:val="0"/>
    <w:rPr>
      <w:sz w:val="24"/>
      <w:lang w:val="en-GB"/>
    </w:rPr>
  </w:style>
  <w:style w:type="paragraph" w:customStyle="1" w:styleId="787">
    <w:name w:val="报告"/>
    <w:basedOn w:val="1"/>
    <w:link w:val="786"/>
    <w:qFormat/>
    <w:uiPriority w:val="0"/>
    <w:pPr>
      <w:widowControl w:val="0"/>
      <w:tabs>
        <w:tab w:val="left" w:pos="1440"/>
      </w:tabs>
      <w:overflowPunct w:val="0"/>
      <w:autoSpaceDE w:val="0"/>
      <w:autoSpaceDN w:val="0"/>
      <w:adjustRightInd w:val="0"/>
      <w:snapToGrid w:val="0"/>
      <w:spacing w:before="120" w:after="120" w:line="400" w:lineRule="atLeast"/>
      <w:ind w:left="840" w:leftChars="400"/>
      <w:jc w:val="both"/>
      <w:textAlignment w:val="baseline"/>
    </w:pPr>
    <w:rPr>
      <w:kern w:val="0"/>
      <w:sz w:val="24"/>
      <w:szCs w:val="20"/>
      <w:lang w:val="en-GB"/>
    </w:rPr>
  </w:style>
  <w:style w:type="paragraph" w:customStyle="1" w:styleId="788">
    <w:name w:val="章标题"/>
    <w:next w:val="694"/>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789">
    <w:name w:val="Char Char Char Char Char Char Char Char Char Char Char Char1 Char"/>
    <w:basedOn w:val="1"/>
    <w:qFormat/>
    <w:uiPriority w:val="0"/>
    <w:pPr>
      <w:widowControl w:val="0"/>
      <w:spacing w:line="360" w:lineRule="auto"/>
      <w:ind w:firstLine="200" w:firstLineChars="200"/>
      <w:jc w:val="both"/>
    </w:pPr>
    <w:rPr>
      <w:rFonts w:ascii="宋体" w:hAnsi="宋体" w:cs="宋体"/>
      <w:sz w:val="24"/>
      <w:szCs w:val="24"/>
    </w:rPr>
  </w:style>
  <w:style w:type="paragraph" w:customStyle="1" w:styleId="790">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791">
    <w:name w:val="三级条标题"/>
    <w:basedOn w:val="792"/>
    <w:next w:val="1"/>
    <w:qFormat/>
    <w:uiPriority w:val="0"/>
    <w:pPr>
      <w:tabs>
        <w:tab w:val="left" w:pos="360"/>
      </w:tabs>
      <w:outlineLvl w:val="4"/>
    </w:pPr>
  </w:style>
  <w:style w:type="paragraph" w:customStyle="1" w:styleId="792">
    <w:name w:val="二级条标题"/>
    <w:basedOn w:val="793"/>
    <w:next w:val="1"/>
    <w:qFormat/>
    <w:uiPriority w:val="0"/>
    <w:pPr>
      <w:tabs>
        <w:tab w:val="left" w:pos="360"/>
      </w:tabs>
      <w:outlineLvl w:val="3"/>
    </w:pPr>
  </w:style>
  <w:style w:type="paragraph" w:customStyle="1" w:styleId="793">
    <w:name w:val="一级条标题"/>
    <w:basedOn w:val="788"/>
    <w:next w:val="1"/>
    <w:qFormat/>
    <w:uiPriority w:val="0"/>
    <w:pPr>
      <w:tabs>
        <w:tab w:val="left" w:pos="360"/>
      </w:tabs>
      <w:spacing w:before="0" w:after="0"/>
      <w:outlineLvl w:val="2"/>
    </w:pPr>
  </w:style>
  <w:style w:type="paragraph" w:customStyle="1" w:styleId="794">
    <w:name w:val="样式 标题 2标题 1.1节标题 1.1h2l22nd levelTitre22Header 211.1标题..."/>
    <w:basedOn w:val="6"/>
    <w:qFormat/>
    <w:uiPriority w:val="0"/>
    <w:pPr>
      <w:widowControl w:val="0"/>
      <w:numPr>
        <w:ilvl w:val="0"/>
        <w:numId w:val="0"/>
      </w:numPr>
      <w:tabs>
        <w:tab w:val="clear" w:pos="525"/>
      </w:tabs>
      <w:spacing w:before="120" w:beforeLines="0" w:after="120" w:afterLines="0"/>
      <w:outlineLvl w:val="0"/>
    </w:pPr>
    <w:rPr>
      <w:rFonts w:ascii="黑体" w:eastAsia="黑体" w:cs="宋体"/>
      <w:szCs w:val="20"/>
    </w:rPr>
  </w:style>
  <w:style w:type="paragraph" w:customStyle="1" w:styleId="795">
    <w:name w:val="四级标题1.1.1.1"/>
    <w:basedOn w:val="1"/>
    <w:next w:val="1"/>
    <w:qFormat/>
    <w:uiPriority w:val="0"/>
    <w:pPr>
      <w:keepNext/>
      <w:keepLines/>
      <w:adjustRightInd w:val="0"/>
      <w:spacing w:before="40" w:after="40" w:line="360" w:lineRule="auto"/>
      <w:ind w:firstLine="200" w:firstLineChars="200"/>
      <w:jc w:val="both"/>
      <w:textAlignment w:val="baseline"/>
      <w:outlineLvl w:val="3"/>
    </w:pPr>
    <w:rPr>
      <w:rFonts w:ascii="Times New Roman" w:hAnsi="Times New Roman" w:eastAsia="仿宋_GB2312" w:cs="宋体"/>
      <w:b/>
      <w:kern w:val="0"/>
      <w:sz w:val="24"/>
      <w:szCs w:val="28"/>
    </w:rPr>
  </w:style>
  <w:style w:type="paragraph" w:customStyle="1" w:styleId="796">
    <w:name w:val="五级条标题"/>
    <w:basedOn w:val="797"/>
    <w:next w:val="1"/>
    <w:qFormat/>
    <w:uiPriority w:val="0"/>
    <w:pPr>
      <w:tabs>
        <w:tab w:val="left" w:pos="360"/>
      </w:tabs>
      <w:outlineLvl w:val="6"/>
    </w:pPr>
  </w:style>
  <w:style w:type="paragraph" w:customStyle="1" w:styleId="797">
    <w:name w:val="四级条标题"/>
    <w:basedOn w:val="791"/>
    <w:next w:val="1"/>
    <w:qFormat/>
    <w:uiPriority w:val="0"/>
    <w:pPr>
      <w:outlineLvl w:val="5"/>
    </w:pPr>
  </w:style>
  <w:style w:type="paragraph" w:customStyle="1" w:styleId="798">
    <w:name w:val="中文报告书样式"/>
    <w:basedOn w:val="1"/>
    <w:qFormat/>
    <w:uiPriority w:val="0"/>
    <w:pPr>
      <w:widowControl w:val="0"/>
      <w:adjustRightInd w:val="0"/>
      <w:spacing w:line="480" w:lineRule="atLeast"/>
      <w:ind w:firstLine="482"/>
      <w:jc w:val="both"/>
      <w:textAlignment w:val="baseline"/>
    </w:pPr>
    <w:rPr>
      <w:rFonts w:ascii="Times New Roman" w:hAnsi="Times New Roman"/>
      <w:kern w:val="24"/>
      <w:sz w:val="24"/>
      <w:szCs w:val="20"/>
    </w:rPr>
  </w:style>
  <w:style w:type="paragraph" w:customStyle="1" w:styleId="799">
    <w:name w:val="表格正文"/>
    <w:basedOn w:val="1"/>
    <w:qFormat/>
    <w:uiPriority w:val="0"/>
    <w:pPr>
      <w:widowControl w:val="0"/>
      <w:spacing w:line="360" w:lineRule="exact"/>
      <w:jc w:val="center"/>
    </w:pPr>
    <w:rPr>
      <w:rFonts w:ascii="Times New Roman" w:hAnsi="Times New Roman"/>
      <w:szCs w:val="24"/>
    </w:rPr>
  </w:style>
  <w:style w:type="paragraph" w:customStyle="1" w:styleId="800">
    <w:name w:val="zww"/>
    <w:basedOn w:val="1"/>
    <w:qFormat/>
    <w:uiPriority w:val="0"/>
    <w:pPr>
      <w:widowControl w:val="0"/>
      <w:spacing w:line="360" w:lineRule="auto"/>
      <w:ind w:firstLine="410" w:firstLineChars="171"/>
      <w:jc w:val="both"/>
    </w:pPr>
    <w:rPr>
      <w:rFonts w:ascii="宋体" w:hAnsi="宋体" w:cs="宋体"/>
      <w:kern w:val="0"/>
      <w:sz w:val="24"/>
      <w:szCs w:val="24"/>
    </w:rPr>
  </w:style>
  <w:style w:type="paragraph" w:customStyle="1" w:styleId="801">
    <w:name w:val="表内容"/>
    <w:basedOn w:val="1"/>
    <w:qFormat/>
    <w:uiPriority w:val="9"/>
    <w:pPr>
      <w:widowControl w:val="0"/>
      <w:adjustRightInd w:val="0"/>
      <w:spacing w:before="60" w:after="60"/>
      <w:jc w:val="center"/>
      <w:textAlignment w:val="baseline"/>
    </w:pPr>
    <w:rPr>
      <w:rFonts w:ascii="Times New Roman" w:hAnsi="Times New Roman"/>
      <w:kern w:val="0"/>
      <w:szCs w:val="20"/>
    </w:rPr>
  </w:style>
  <w:style w:type="table" w:customStyle="1" w:styleId="802">
    <w:name w:val="三线1"/>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03">
    <w:name w:val="列表段落1"/>
    <w:basedOn w:val="1"/>
    <w:qFormat/>
    <w:uiPriority w:val="0"/>
    <w:pPr>
      <w:widowControl w:val="0"/>
      <w:ind w:firstLine="420" w:firstLineChars="200"/>
      <w:jc w:val="both"/>
    </w:pPr>
    <w:rPr>
      <w:rFonts w:ascii="Times New Roman" w:hAnsi="Times New Roman"/>
      <w:szCs w:val="24"/>
    </w:rPr>
  </w:style>
  <w:style w:type="character" w:customStyle="1" w:styleId="804">
    <w:name w:val="zw Char"/>
    <w:link w:val="805"/>
    <w:qFormat/>
    <w:locked/>
    <w:uiPriority w:val="0"/>
    <w:rPr>
      <w:rFonts w:ascii="宋体" w:hAnsi="宋体" w:cs="宋体"/>
      <w:kern w:val="2"/>
      <w:sz w:val="28"/>
    </w:rPr>
  </w:style>
  <w:style w:type="paragraph" w:customStyle="1" w:styleId="805">
    <w:name w:val="zw"/>
    <w:basedOn w:val="1"/>
    <w:link w:val="804"/>
    <w:qFormat/>
    <w:uiPriority w:val="0"/>
    <w:pPr>
      <w:widowControl w:val="0"/>
      <w:adjustRightInd w:val="0"/>
      <w:snapToGrid w:val="0"/>
      <w:spacing w:line="360" w:lineRule="auto"/>
      <w:ind w:firstLine="560" w:firstLineChars="200"/>
      <w:jc w:val="both"/>
    </w:pPr>
    <w:rPr>
      <w:rFonts w:ascii="宋体" w:hAnsi="宋体" w:cs="宋体"/>
      <w:sz w:val="28"/>
      <w:szCs w:val="20"/>
    </w:rPr>
  </w:style>
  <w:style w:type="character" w:customStyle="1" w:styleId="806">
    <w:name w:val="Body Text Indent 3 Char"/>
    <w:qFormat/>
    <w:uiPriority w:val="0"/>
    <w:rPr>
      <w:rFonts w:eastAsia="宋体"/>
      <w:kern w:val="2"/>
      <w:sz w:val="16"/>
      <w:szCs w:val="16"/>
      <w:lang w:val="en-US" w:eastAsia="zh-CN" w:bidi="ar-SA"/>
    </w:rPr>
  </w:style>
  <w:style w:type="table" w:customStyle="1" w:styleId="807">
    <w:name w:val="表格主题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08">
    <w:name w:val="description"/>
    <w:basedOn w:val="101"/>
    <w:qFormat/>
    <w:uiPriority w:val="0"/>
  </w:style>
  <w:style w:type="paragraph" w:customStyle="1" w:styleId="809">
    <w:name w:val="reader-word-layer reader-word-s2-7"/>
    <w:basedOn w:val="1"/>
    <w:qFormat/>
    <w:uiPriority w:val="0"/>
    <w:pPr>
      <w:spacing w:before="100" w:beforeAutospacing="1" w:after="100" w:afterAutospacing="1"/>
    </w:pPr>
    <w:rPr>
      <w:rFonts w:ascii="宋体" w:hAnsi="宋体" w:cs="宋体"/>
      <w:kern w:val="0"/>
      <w:sz w:val="24"/>
      <w:szCs w:val="24"/>
    </w:rPr>
  </w:style>
  <w:style w:type="paragraph" w:customStyle="1" w:styleId="810">
    <w:name w:val="reader-word-layer reader-word-s2-9"/>
    <w:basedOn w:val="1"/>
    <w:qFormat/>
    <w:uiPriority w:val="0"/>
    <w:pPr>
      <w:spacing w:before="100" w:beforeAutospacing="1" w:after="100" w:afterAutospacing="1"/>
    </w:pPr>
    <w:rPr>
      <w:rFonts w:ascii="宋体" w:hAnsi="宋体" w:cs="宋体"/>
      <w:kern w:val="0"/>
      <w:sz w:val="24"/>
      <w:szCs w:val="24"/>
    </w:rPr>
  </w:style>
  <w:style w:type="paragraph" w:customStyle="1" w:styleId="811">
    <w:name w:val="reader-word-layer reader-word-s2-10"/>
    <w:basedOn w:val="1"/>
    <w:qFormat/>
    <w:uiPriority w:val="0"/>
    <w:pPr>
      <w:spacing w:before="100" w:beforeAutospacing="1" w:after="100" w:afterAutospacing="1"/>
    </w:pPr>
    <w:rPr>
      <w:rFonts w:ascii="宋体" w:hAnsi="宋体" w:cs="宋体"/>
      <w:kern w:val="0"/>
      <w:sz w:val="24"/>
      <w:szCs w:val="24"/>
    </w:rPr>
  </w:style>
  <w:style w:type="character" w:customStyle="1" w:styleId="812">
    <w:name w:val="even Char Char"/>
    <w:qFormat/>
    <w:uiPriority w:val="0"/>
    <w:rPr>
      <w:rFonts w:eastAsia="宋体"/>
      <w:kern w:val="2"/>
      <w:sz w:val="18"/>
      <w:szCs w:val="18"/>
      <w:lang w:val="en-US" w:eastAsia="zh-CN" w:bidi="ar-SA"/>
    </w:rPr>
  </w:style>
  <w:style w:type="character" w:customStyle="1" w:styleId="813">
    <w:name w:val="ninept"/>
    <w:basedOn w:val="101"/>
    <w:qFormat/>
    <w:uiPriority w:val="0"/>
  </w:style>
  <w:style w:type="paragraph" w:customStyle="1" w:styleId="814">
    <w:name w:val="简单回函地址"/>
    <w:basedOn w:val="1"/>
    <w:qFormat/>
    <w:uiPriority w:val="0"/>
    <w:pPr>
      <w:widowControl w:val="0"/>
      <w:adjustRightInd w:val="0"/>
      <w:spacing w:line="312" w:lineRule="atLeast"/>
      <w:jc w:val="both"/>
      <w:textAlignment w:val="baseline"/>
    </w:pPr>
    <w:rPr>
      <w:rFonts w:ascii="Times New Roman" w:hAnsi="Times New Roman"/>
      <w:kern w:val="0"/>
      <w:szCs w:val="20"/>
    </w:rPr>
  </w:style>
  <w:style w:type="paragraph" w:customStyle="1" w:styleId="815">
    <w:name w:val="表内格式"/>
    <w:basedOn w:val="1"/>
    <w:qFormat/>
    <w:uiPriority w:val="0"/>
    <w:pPr>
      <w:widowControl w:val="0"/>
      <w:jc w:val="center"/>
    </w:pPr>
    <w:rPr>
      <w:rFonts w:ascii="Times New Roman" w:hAnsi="Times New Roman"/>
      <w:sz w:val="18"/>
      <w:szCs w:val="24"/>
    </w:rPr>
  </w:style>
  <w:style w:type="paragraph" w:customStyle="1" w:styleId="816">
    <w:name w:val="WPS Plain"/>
    <w:qFormat/>
    <w:uiPriority w:val="0"/>
    <w:rPr>
      <w:rFonts w:ascii="Times New Roman" w:hAnsi="Times New Roman" w:eastAsia="宋体" w:cs="Times New Roman"/>
      <w:lang w:val="en-US" w:eastAsia="zh-CN" w:bidi="ar-SA"/>
    </w:rPr>
  </w:style>
  <w:style w:type="paragraph" w:customStyle="1" w:styleId="817">
    <w:name w:val="Z"/>
    <w:basedOn w:val="1"/>
    <w:qFormat/>
    <w:uiPriority w:val="0"/>
    <w:pPr>
      <w:widowControl w:val="0"/>
      <w:spacing w:line="460" w:lineRule="exact"/>
      <w:ind w:firstLine="200" w:firstLineChars="200"/>
      <w:jc w:val="both"/>
    </w:pPr>
    <w:rPr>
      <w:rFonts w:ascii="宋体" w:hAnsi="宋体"/>
      <w:sz w:val="25"/>
      <w:szCs w:val="24"/>
    </w:rPr>
  </w:style>
  <w:style w:type="paragraph" w:customStyle="1" w:styleId="818">
    <w:name w:val="表格式"/>
    <w:basedOn w:val="39"/>
    <w:qFormat/>
    <w:uiPriority w:val="0"/>
    <w:pPr>
      <w:widowControl w:val="0"/>
      <w:adjustRightInd/>
      <w:spacing w:line="240" w:lineRule="auto"/>
      <w:ind w:left="0" w:firstLine="0"/>
      <w:jc w:val="center"/>
      <w:textAlignment w:val="auto"/>
    </w:pPr>
    <w:rPr>
      <w:rFonts w:ascii="宋体"/>
      <w:kern w:val="2"/>
      <w:sz w:val="21"/>
    </w:rPr>
  </w:style>
  <w:style w:type="paragraph" w:customStyle="1" w:styleId="819">
    <w:name w:val="样式 样式 正文首行缩进 2 + (西文) Calibri (符号) 宋体 四号 居中 首行缩进:  2 字符 + 首行缩进: ..."/>
    <w:basedOn w:val="1"/>
    <w:qFormat/>
    <w:uiPriority w:val="0"/>
    <w:pPr>
      <w:widowControl w:val="0"/>
      <w:spacing w:line="360" w:lineRule="auto"/>
      <w:ind w:firstLine="200" w:firstLineChars="200"/>
      <w:jc w:val="both"/>
    </w:pPr>
    <w:rPr>
      <w:rFonts w:hAnsi="宋体" w:cs="宋体"/>
      <w:sz w:val="24"/>
      <w:szCs w:val="20"/>
    </w:rPr>
  </w:style>
  <w:style w:type="character" w:customStyle="1" w:styleId="820">
    <w:name w:val="上标样式"/>
    <w:qFormat/>
    <w:uiPriority w:val="0"/>
    <w:rPr>
      <w:rFonts w:ascii="宋体" w:eastAsia="宋体"/>
      <w:b/>
      <w:sz w:val="21"/>
      <w:szCs w:val="21"/>
      <w:vertAlign w:val="superscript"/>
    </w:rPr>
  </w:style>
  <w:style w:type="paragraph" w:customStyle="1" w:styleId="821">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822">
    <w:name w:val="正文缩近"/>
    <w:basedOn w:val="1"/>
    <w:qFormat/>
    <w:uiPriority w:val="0"/>
    <w:pPr>
      <w:widowControl w:val="0"/>
      <w:spacing w:line="360" w:lineRule="auto"/>
      <w:ind w:firstLine="560" w:firstLineChars="200"/>
      <w:jc w:val="both"/>
    </w:pPr>
    <w:rPr>
      <w:rFonts w:ascii="Times New Roman" w:hAnsi="Times New Roman"/>
      <w:sz w:val="28"/>
      <w:szCs w:val="28"/>
    </w:rPr>
  </w:style>
  <w:style w:type="character" w:customStyle="1" w:styleId="823">
    <w:name w:val="Plain Text Char"/>
    <w:qFormat/>
    <w:locked/>
    <w:uiPriority w:val="0"/>
    <w:rPr>
      <w:rFonts w:ascii="宋体" w:hAnsi="Courier New" w:cs="Times New Roman"/>
      <w:kern w:val="2"/>
      <w:sz w:val="28"/>
    </w:rPr>
  </w:style>
  <w:style w:type="paragraph" w:customStyle="1" w:styleId="824">
    <w:name w:val="p7"/>
    <w:basedOn w:val="1"/>
    <w:qFormat/>
    <w:uiPriority w:val="0"/>
    <w:pPr>
      <w:snapToGrid w:val="0"/>
      <w:spacing w:line="360" w:lineRule="auto"/>
      <w:jc w:val="both"/>
    </w:pPr>
    <w:rPr>
      <w:rFonts w:ascii="Times New Roman" w:hAnsi="Times New Roman"/>
      <w:b/>
      <w:bCs/>
      <w:kern w:val="0"/>
      <w:sz w:val="28"/>
      <w:szCs w:val="28"/>
    </w:rPr>
  </w:style>
  <w:style w:type="character" w:customStyle="1" w:styleId="825">
    <w:name w:val="正文文本 (2)_"/>
    <w:basedOn w:val="101"/>
    <w:link w:val="826"/>
    <w:qFormat/>
    <w:uiPriority w:val="99"/>
    <w:rPr>
      <w:rFonts w:ascii="MingLiU" w:eastAsia="MingLiU" w:cs="MingLiU"/>
      <w:sz w:val="26"/>
      <w:szCs w:val="26"/>
    </w:rPr>
  </w:style>
  <w:style w:type="paragraph" w:customStyle="1" w:styleId="826">
    <w:name w:val="正文文本 (2)1"/>
    <w:basedOn w:val="1"/>
    <w:link w:val="825"/>
    <w:qFormat/>
    <w:uiPriority w:val="99"/>
    <w:pPr>
      <w:shd w:val="clear" w:color="auto" w:fill="FFFFFF"/>
      <w:spacing w:line="240" w:lineRule="atLeast"/>
      <w:ind w:hanging="160"/>
    </w:pPr>
    <w:rPr>
      <w:rFonts w:ascii="MingLiU" w:eastAsia="MingLiU" w:cs="MingLiU"/>
      <w:sz w:val="26"/>
      <w:szCs w:val="26"/>
    </w:rPr>
  </w:style>
  <w:style w:type="paragraph" w:customStyle="1" w:styleId="827">
    <w:name w:val="正文文本 (2)"/>
    <w:basedOn w:val="1"/>
    <w:qFormat/>
    <w:uiPriority w:val="0"/>
    <w:pPr>
      <w:shd w:val="clear" w:color="auto" w:fill="FFFFFF"/>
    </w:pPr>
    <w:rPr>
      <w:kern w:val="0"/>
      <w:sz w:val="20"/>
      <w:szCs w:val="20"/>
    </w:rPr>
  </w:style>
  <w:style w:type="character" w:customStyle="1" w:styleId="828">
    <w:name w:val="正文文本 (2) + SimSun"/>
    <w:qFormat/>
    <w:uiPriority w:val="0"/>
    <w:rPr>
      <w:rFonts w:hint="eastAsia" w:eastAsia="宋体"/>
      <w:sz w:val="18"/>
      <w:lang w:bidi="ar-SA"/>
    </w:rPr>
  </w:style>
  <w:style w:type="character" w:customStyle="1" w:styleId="829">
    <w:name w:val="正文文本 (2) + SimSun_0"/>
    <w:qFormat/>
    <w:uiPriority w:val="0"/>
    <w:rPr>
      <w:rFonts w:hint="eastAsia" w:eastAsia="宋体"/>
      <w:w w:val="100"/>
      <w:lang w:bidi="ar-SA"/>
    </w:rPr>
  </w:style>
  <w:style w:type="paragraph" w:customStyle="1" w:styleId="830">
    <w:name w:val="Hu表内"/>
    <w:basedOn w:val="1"/>
    <w:qFormat/>
    <w:uiPriority w:val="0"/>
    <w:pPr>
      <w:widowControl w:val="0"/>
      <w:adjustRightInd w:val="0"/>
      <w:spacing w:line="240" w:lineRule="atLeast"/>
      <w:jc w:val="center"/>
      <w:textAlignment w:val="baseline"/>
    </w:pPr>
    <w:rPr>
      <w:rFonts w:ascii="宋体" w:hAnsi="宋体"/>
      <w:kern w:val="0"/>
      <w:sz w:val="24"/>
      <w:szCs w:val="20"/>
    </w:rPr>
  </w:style>
  <w:style w:type="table" w:customStyle="1" w:styleId="831">
    <w:name w:val="000"/>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832">
    <w:name w:val="表格样式11"/>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character" w:customStyle="1" w:styleId="833">
    <w:name w:val="样式 样式 首行缩进:  1 字符 + 首行缩进:  2 字符2 Char"/>
    <w:qFormat/>
    <w:uiPriority w:val="0"/>
    <w:rPr>
      <w:rFonts w:eastAsia="宋体" w:cs="宋体"/>
      <w:kern w:val="2"/>
      <w:sz w:val="24"/>
      <w:lang w:val="en-US" w:eastAsia="zh-CN" w:bidi="ar-SA"/>
    </w:rPr>
  </w:style>
  <w:style w:type="character" w:customStyle="1" w:styleId="834">
    <w:name w:val="style161"/>
    <w:qFormat/>
    <w:uiPriority w:val="0"/>
    <w:rPr>
      <w:sz w:val="15"/>
      <w:szCs w:val="15"/>
      <w:u w:val="none"/>
    </w:rPr>
  </w:style>
  <w:style w:type="character" w:customStyle="1" w:styleId="835">
    <w:name w:val="style1"/>
    <w:qFormat/>
    <w:uiPriority w:val="0"/>
  </w:style>
  <w:style w:type="character" w:customStyle="1" w:styleId="836">
    <w:name w:val="headline-content3"/>
    <w:qFormat/>
    <w:uiPriority w:val="0"/>
  </w:style>
  <w:style w:type="character" w:customStyle="1" w:styleId="837">
    <w:name w:val="lh131"/>
    <w:qFormat/>
    <w:uiPriority w:val="0"/>
  </w:style>
  <w:style w:type="character" w:customStyle="1" w:styleId="838">
    <w:name w:val="Char Char4"/>
    <w:qFormat/>
    <w:uiPriority w:val="0"/>
    <w:rPr>
      <w:kern w:val="2"/>
      <w:sz w:val="18"/>
      <w:szCs w:val="18"/>
    </w:rPr>
  </w:style>
  <w:style w:type="character" w:customStyle="1" w:styleId="839">
    <w:name w:val="l171"/>
    <w:qFormat/>
    <w:uiPriority w:val="0"/>
  </w:style>
  <w:style w:type="character" w:customStyle="1" w:styleId="840">
    <w:name w:val="ldl表头 Char"/>
    <w:link w:val="841"/>
    <w:qFormat/>
    <w:uiPriority w:val="0"/>
    <w:rPr>
      <w:b/>
      <w:color w:val="000000"/>
      <w:kern w:val="2"/>
      <w:sz w:val="21"/>
      <w:szCs w:val="21"/>
    </w:rPr>
  </w:style>
  <w:style w:type="paragraph" w:customStyle="1" w:styleId="841">
    <w:name w:val="ldl表头"/>
    <w:basedOn w:val="1"/>
    <w:link w:val="840"/>
    <w:qFormat/>
    <w:uiPriority w:val="0"/>
    <w:pPr>
      <w:widowControl w:val="0"/>
      <w:spacing w:beforeLines="50" w:line="360" w:lineRule="auto"/>
      <w:ind w:firstLine="200" w:firstLineChars="200"/>
      <w:jc w:val="center"/>
    </w:pPr>
    <w:rPr>
      <w:b/>
      <w:color w:val="000000"/>
      <w:szCs w:val="21"/>
    </w:rPr>
  </w:style>
  <w:style w:type="character" w:customStyle="1" w:styleId="842">
    <w:name w:val="t12deegreyline1"/>
    <w:qFormat/>
    <w:uiPriority w:val="0"/>
    <w:rPr>
      <w:rFonts w:hint="default" w:ascii="ˎ̥" w:hAnsi="ˎ̥"/>
      <w:color w:val="333333"/>
      <w:sz w:val="24"/>
      <w:u w:val="none"/>
    </w:rPr>
  </w:style>
  <w:style w:type="character" w:customStyle="1" w:styleId="843">
    <w:name w:val="wz2"/>
    <w:qFormat/>
    <w:uiPriority w:val="0"/>
    <w:rPr>
      <w:rFonts w:hint="eastAsia" w:ascii="宋体" w:hAnsi="宋体" w:eastAsia="宋体"/>
      <w:sz w:val="18"/>
      <w:u w:val="none"/>
    </w:rPr>
  </w:style>
  <w:style w:type="character" w:customStyle="1" w:styleId="844">
    <w:name w:val="style71"/>
    <w:qFormat/>
    <w:uiPriority w:val="0"/>
    <w:rPr>
      <w:sz w:val="24"/>
      <w:szCs w:val="24"/>
    </w:rPr>
  </w:style>
  <w:style w:type="character" w:customStyle="1" w:styleId="845">
    <w:name w:val="样式 样式 首行缩进:  1 字符 + 首行缩进:  2 字符1 Char"/>
    <w:qFormat/>
    <w:uiPriority w:val="0"/>
    <w:rPr>
      <w:rFonts w:eastAsia="宋体" w:cs="宋体"/>
      <w:kern w:val="2"/>
      <w:sz w:val="24"/>
      <w:lang w:val="en-US" w:eastAsia="zh-CN" w:bidi="ar-SA"/>
    </w:rPr>
  </w:style>
  <w:style w:type="character" w:customStyle="1" w:styleId="846">
    <w:name w:val="timu1"/>
    <w:qFormat/>
    <w:uiPriority w:val="0"/>
  </w:style>
  <w:style w:type="character" w:customStyle="1" w:styleId="847">
    <w:name w:val="报告正文 Char"/>
    <w:link w:val="848"/>
    <w:qFormat/>
    <w:uiPriority w:val="0"/>
    <w:rPr>
      <w:kern w:val="2"/>
      <w:sz w:val="24"/>
    </w:rPr>
  </w:style>
  <w:style w:type="paragraph" w:customStyle="1" w:styleId="848">
    <w:name w:val="报告正文"/>
    <w:basedOn w:val="1"/>
    <w:link w:val="847"/>
    <w:qFormat/>
    <w:uiPriority w:val="0"/>
    <w:pPr>
      <w:widowControl w:val="0"/>
      <w:spacing w:line="360" w:lineRule="auto"/>
      <w:jc w:val="center"/>
    </w:pPr>
    <w:rPr>
      <w:sz w:val="24"/>
      <w:szCs w:val="20"/>
    </w:rPr>
  </w:style>
  <w:style w:type="character" w:customStyle="1" w:styleId="849">
    <w:name w:val="javascript1"/>
    <w:qFormat/>
    <w:uiPriority w:val="0"/>
    <w:rPr>
      <w:rFonts w:hint="default" w:ascii="Tahoma" w:hAnsi="Tahoma" w:cs="Tahoma"/>
      <w:sz w:val="18"/>
      <w:szCs w:val="18"/>
    </w:rPr>
  </w:style>
  <w:style w:type="character" w:customStyle="1" w:styleId="850">
    <w:name w:val="Char Char1 Char Char Char Char Char Char Char Char Char Char Char Char Char Char Char Char Char Char Char Char1 Char Char"/>
    <w:link w:val="851"/>
    <w:qFormat/>
    <w:uiPriority w:val="0"/>
    <w:rPr>
      <w:rFonts w:ascii="宋体" w:hAnsi="宋体"/>
      <w:kern w:val="2"/>
      <w:sz w:val="24"/>
      <w:szCs w:val="24"/>
    </w:rPr>
  </w:style>
  <w:style w:type="paragraph" w:customStyle="1" w:styleId="851">
    <w:name w:val="Char Char1 Char Char Char Char Char Char Char Char Char Char Char Char Char Char Char Char Char Char Char Char1 Char"/>
    <w:basedOn w:val="1"/>
    <w:link w:val="850"/>
    <w:qFormat/>
    <w:uiPriority w:val="0"/>
    <w:pPr>
      <w:widowControl w:val="0"/>
      <w:spacing w:line="360" w:lineRule="auto"/>
      <w:ind w:firstLine="200" w:firstLineChars="200"/>
      <w:jc w:val="both"/>
    </w:pPr>
    <w:rPr>
      <w:rFonts w:ascii="宋体" w:hAnsi="宋体"/>
      <w:sz w:val="24"/>
      <w:szCs w:val="24"/>
    </w:rPr>
  </w:style>
  <w:style w:type="character" w:customStyle="1" w:styleId="852">
    <w:name w:val="spelle"/>
    <w:qFormat/>
    <w:uiPriority w:val="0"/>
  </w:style>
  <w:style w:type="character" w:customStyle="1" w:styleId="853">
    <w:name w:val="样式 宋体 小四 右侧:  -0.09 厘米 行距: 多倍行距 1.45 字行 Char Char"/>
    <w:link w:val="854"/>
    <w:qFormat/>
    <w:uiPriority w:val="0"/>
    <w:rPr>
      <w:rFonts w:ascii="宋体" w:hAnsi="宋体"/>
      <w:kern w:val="2"/>
      <w:sz w:val="24"/>
      <w:szCs w:val="24"/>
    </w:rPr>
  </w:style>
  <w:style w:type="paragraph" w:customStyle="1" w:styleId="854">
    <w:name w:val="样式 宋体 小四 右侧:  -0.09 厘米 行距: 多倍行距 1.45 字行"/>
    <w:basedOn w:val="1"/>
    <w:link w:val="853"/>
    <w:qFormat/>
    <w:uiPriority w:val="0"/>
    <w:pPr>
      <w:widowControl w:val="0"/>
      <w:adjustRightInd w:val="0"/>
      <w:snapToGrid w:val="0"/>
      <w:spacing w:line="360" w:lineRule="auto"/>
      <w:ind w:firstLine="200" w:firstLineChars="200"/>
      <w:jc w:val="both"/>
    </w:pPr>
    <w:rPr>
      <w:rFonts w:ascii="宋体" w:hAnsi="宋体"/>
      <w:sz w:val="24"/>
      <w:szCs w:val="24"/>
    </w:rPr>
  </w:style>
  <w:style w:type="character" w:customStyle="1" w:styleId="855">
    <w:name w:val="样式 样式 宋体 小四 右侧:  -0.09 厘米 行距: 多倍行距 1.45 字行 + 黑色 Char Char"/>
    <w:link w:val="856"/>
    <w:qFormat/>
    <w:uiPriority w:val="0"/>
    <w:rPr>
      <w:rFonts w:ascii="宋体" w:hAnsi="宋体"/>
      <w:color w:val="000000"/>
      <w:kern w:val="2"/>
      <w:sz w:val="24"/>
      <w:szCs w:val="24"/>
    </w:rPr>
  </w:style>
  <w:style w:type="paragraph" w:customStyle="1" w:styleId="856">
    <w:name w:val="样式 样式 宋体 小四 右侧:  -0.09 厘米 行距: 多倍行距 1.45 字行 + 黑色"/>
    <w:basedOn w:val="854"/>
    <w:link w:val="855"/>
    <w:qFormat/>
    <w:uiPriority w:val="0"/>
    <w:rPr>
      <w:color w:val="000000"/>
    </w:rPr>
  </w:style>
  <w:style w:type="paragraph" w:customStyle="1" w:styleId="857">
    <w:name w:val="样式 标题 1H1NMP Heading 1Ch章标题章标题 1Head 1wsa一、标题 1 Char章节标..."/>
    <w:basedOn w:val="5"/>
    <w:qFormat/>
    <w:uiPriority w:val="0"/>
    <w:pPr>
      <w:widowControl w:val="0"/>
      <w:numPr>
        <w:numId w:val="0"/>
      </w:numPr>
      <w:tabs>
        <w:tab w:val="left" w:pos="360"/>
        <w:tab w:val="left" w:pos="482"/>
      </w:tabs>
      <w:spacing w:before="0" w:after="0"/>
    </w:pPr>
    <w:rPr>
      <w:rFonts w:ascii="Calibri" w:hAnsi="华文中宋" w:eastAsia="华文中宋"/>
      <w:b/>
      <w:sz w:val="36"/>
      <w:szCs w:val="20"/>
    </w:rPr>
  </w:style>
  <w:style w:type="paragraph" w:customStyle="1" w:styleId="858">
    <w:name w:val="报告书表格"/>
    <w:basedOn w:val="1"/>
    <w:qFormat/>
    <w:uiPriority w:val="0"/>
    <w:pPr>
      <w:widowControl w:val="0"/>
      <w:adjustRightInd w:val="0"/>
      <w:spacing w:before="60" w:after="60" w:line="240" w:lineRule="atLeast"/>
      <w:jc w:val="center"/>
      <w:textAlignment w:val="baseline"/>
    </w:pPr>
    <w:rPr>
      <w:rFonts w:ascii="Times New Roman" w:hAnsi="Times New Roman"/>
      <w:kern w:val="0"/>
      <w:szCs w:val="20"/>
    </w:rPr>
  </w:style>
  <w:style w:type="paragraph" w:customStyle="1" w:styleId="859">
    <w:name w:val="样式 样式 标题 3ReHead 3 WSAh3H3level_3PIM 3Level 3 HeadHeading 3... +..."/>
    <w:basedOn w:val="1"/>
    <w:qFormat/>
    <w:uiPriority w:val="0"/>
    <w:pPr>
      <w:keepNext/>
      <w:keepLines/>
      <w:widowControl w:val="0"/>
      <w:tabs>
        <w:tab w:val="left" w:pos="360"/>
        <w:tab w:val="left" w:pos="1740"/>
      </w:tabs>
      <w:spacing w:line="360" w:lineRule="auto"/>
      <w:jc w:val="both"/>
      <w:outlineLvl w:val="2"/>
    </w:pPr>
    <w:rPr>
      <w:rFonts w:ascii="Times New Roman" w:hAnsi="Times New Roman" w:eastAsia="黑体" w:cs="宋体"/>
      <w:color w:val="000000"/>
      <w:sz w:val="24"/>
      <w:szCs w:val="24"/>
    </w:rPr>
  </w:style>
  <w:style w:type="paragraph" w:customStyle="1" w:styleId="860">
    <w:name w:val="g_p_center g_t_wrap g_t_left g_t_20 g_c_pdin c07"/>
    <w:basedOn w:val="1"/>
    <w:qFormat/>
    <w:uiPriority w:val="0"/>
    <w:pPr>
      <w:spacing w:before="100" w:beforeAutospacing="1" w:after="100" w:afterAutospacing="1"/>
    </w:pPr>
    <w:rPr>
      <w:rFonts w:ascii="宋体" w:hAnsi="宋体" w:cs="宋体"/>
      <w:kern w:val="0"/>
      <w:sz w:val="24"/>
      <w:szCs w:val="24"/>
    </w:rPr>
  </w:style>
  <w:style w:type="paragraph" w:customStyle="1" w:styleId="861">
    <w:name w:val="样式 标题 3 Char1 Char Char1标题 3 Char Char1 Char Char2标题 3 Char1 C...1"/>
    <w:basedOn w:val="1"/>
    <w:qFormat/>
    <w:uiPriority w:val="0"/>
    <w:pPr>
      <w:widowControl w:val="0"/>
      <w:tabs>
        <w:tab w:val="left" w:pos="360"/>
        <w:tab w:val="left" w:pos="540"/>
      </w:tabs>
      <w:jc w:val="both"/>
    </w:pPr>
    <w:rPr>
      <w:rFonts w:ascii="Times New Roman" w:hAnsi="Times New Roman"/>
      <w:szCs w:val="24"/>
    </w:rPr>
  </w:style>
  <w:style w:type="character" w:customStyle="1" w:styleId="862">
    <w:name w:val="尾注文本 Char1"/>
    <w:semiHidden/>
    <w:qFormat/>
    <w:uiPriority w:val="0"/>
    <w:rPr>
      <w:kern w:val="2"/>
      <w:sz w:val="21"/>
      <w:szCs w:val="22"/>
    </w:rPr>
  </w:style>
  <w:style w:type="paragraph" w:customStyle="1" w:styleId="863">
    <w:name w:val="样式 样式 样式 标题 1 + 两端对齐 右侧:  1.73 厘米 + 四号 加粗 + 宋体 四号 加粗"/>
    <w:basedOn w:val="1"/>
    <w:qFormat/>
    <w:uiPriority w:val="0"/>
    <w:pPr>
      <w:keepNext/>
      <w:widowControl w:val="0"/>
      <w:spacing w:beforeLines="25" w:afterLines="25" w:line="300" w:lineRule="auto"/>
      <w:jc w:val="both"/>
      <w:outlineLvl w:val="0"/>
    </w:pPr>
    <w:rPr>
      <w:rFonts w:ascii="宋体" w:hAnsi="宋体" w:cs="宋体"/>
      <w:bCs/>
      <w:sz w:val="28"/>
      <w:szCs w:val="20"/>
    </w:rPr>
  </w:style>
  <w:style w:type="character" w:customStyle="1" w:styleId="864">
    <w:name w:val="Char Char13"/>
    <w:qFormat/>
    <w:uiPriority w:val="0"/>
    <w:rPr>
      <w:rFonts w:ascii="宋体" w:hAnsi="宋体"/>
      <w:kern w:val="2"/>
      <w:sz w:val="24"/>
      <w:szCs w:val="24"/>
    </w:rPr>
  </w:style>
  <w:style w:type="paragraph" w:customStyle="1" w:styleId="865">
    <w:name w:val="样式 标题 2 + (符号) Times New Roman"/>
    <w:basedOn w:val="6"/>
    <w:qFormat/>
    <w:uiPriority w:val="0"/>
    <w:pPr>
      <w:widowControl w:val="0"/>
      <w:numPr>
        <w:ilvl w:val="0"/>
        <w:numId w:val="0"/>
      </w:numPr>
      <w:tabs>
        <w:tab w:val="left" w:pos="360"/>
        <w:tab w:val="left" w:pos="1320"/>
        <w:tab w:val="clear" w:pos="525"/>
      </w:tabs>
      <w:spacing w:before="0" w:beforeLines="0" w:after="0" w:afterLines="0"/>
    </w:pPr>
    <w:rPr>
      <w:rFonts w:eastAsia="黑体"/>
      <w:b w:val="0"/>
      <w:bCs w:val="0"/>
      <w:szCs w:val="30"/>
    </w:rPr>
  </w:style>
  <w:style w:type="paragraph" w:customStyle="1" w:styleId="866">
    <w:name w:val="样式 样式 首行缩进:  1 字符 + 首行缩进:  2 字符1"/>
    <w:basedOn w:val="1"/>
    <w:qFormat/>
    <w:uiPriority w:val="0"/>
    <w:pPr>
      <w:widowControl w:val="0"/>
      <w:spacing w:line="360" w:lineRule="auto"/>
      <w:ind w:firstLine="200" w:firstLineChars="200"/>
      <w:jc w:val="both"/>
    </w:pPr>
    <w:rPr>
      <w:rFonts w:ascii="Times New Roman" w:hAnsi="Times New Roman" w:cs="宋体"/>
      <w:sz w:val="24"/>
      <w:szCs w:val="20"/>
    </w:rPr>
  </w:style>
  <w:style w:type="character" w:customStyle="1" w:styleId="867">
    <w:name w:val="Char Char12"/>
    <w:qFormat/>
    <w:uiPriority w:val="0"/>
    <w:rPr>
      <w:kern w:val="2"/>
      <w:sz w:val="21"/>
      <w:szCs w:val="22"/>
    </w:rPr>
  </w:style>
  <w:style w:type="paragraph" w:customStyle="1" w:styleId="868">
    <w:name w:val="Char Char Char Char Char2 Char Char Char Char1"/>
    <w:basedOn w:val="1"/>
    <w:semiHidden/>
    <w:qFormat/>
    <w:uiPriority w:val="0"/>
    <w:pPr>
      <w:widowControl w:val="0"/>
      <w:adjustRightInd w:val="0"/>
      <w:snapToGrid w:val="0"/>
      <w:spacing w:line="360" w:lineRule="auto"/>
      <w:ind w:firstLine="200" w:firstLineChars="200"/>
      <w:jc w:val="both"/>
    </w:pPr>
    <w:rPr>
      <w:rFonts w:ascii="宋体" w:hAnsi="宋体" w:cs="宋体"/>
      <w:sz w:val="24"/>
      <w:szCs w:val="26"/>
    </w:rPr>
  </w:style>
  <w:style w:type="character" w:customStyle="1" w:styleId="869">
    <w:name w:val="批注主题 Char1"/>
    <w:qFormat/>
    <w:uiPriority w:val="0"/>
    <w:rPr>
      <w:b/>
      <w:bCs/>
      <w:kern w:val="2"/>
      <w:sz w:val="21"/>
      <w:szCs w:val="22"/>
    </w:rPr>
  </w:style>
  <w:style w:type="paragraph" w:customStyle="1" w:styleId="870">
    <w:name w:val="中文报告书"/>
    <w:basedOn w:val="1"/>
    <w:qFormat/>
    <w:uiPriority w:val="0"/>
    <w:pPr>
      <w:widowControl w:val="0"/>
      <w:adjustRightInd w:val="0"/>
      <w:spacing w:after="80" w:line="420" w:lineRule="atLeast"/>
      <w:textAlignment w:val="baseline"/>
    </w:pPr>
    <w:rPr>
      <w:rFonts w:ascii="Times New Roman" w:hAnsi="Times New Roman"/>
      <w:kern w:val="0"/>
      <w:sz w:val="24"/>
      <w:szCs w:val="20"/>
    </w:rPr>
  </w:style>
  <w:style w:type="paragraph" w:customStyle="1" w:styleId="871">
    <w:name w:val="样式 标题 3 + 首行缩进:  0 厘米"/>
    <w:basedOn w:val="7"/>
    <w:next w:val="1"/>
    <w:qFormat/>
    <w:uiPriority w:val="0"/>
    <w:pPr>
      <w:widowControl w:val="0"/>
      <w:numPr>
        <w:ilvl w:val="0"/>
        <w:numId w:val="0"/>
      </w:numPr>
      <w:tabs>
        <w:tab w:val="clear" w:pos="630"/>
      </w:tabs>
      <w:spacing w:before="100" w:beforeLines="0" w:beforeAutospacing="1" w:after="100" w:afterLines="0" w:afterAutospacing="1"/>
    </w:pPr>
    <w:rPr>
      <w:rFonts w:ascii="宋体" w:cs="宋体"/>
      <w:sz w:val="30"/>
      <w:szCs w:val="30"/>
      <w:lang w:val="zh-CN"/>
    </w:rPr>
  </w:style>
  <w:style w:type="character" w:customStyle="1" w:styleId="872">
    <w:name w:val="页脚 Char1"/>
    <w:qFormat/>
    <w:uiPriority w:val="99"/>
    <w:rPr>
      <w:kern w:val="2"/>
      <w:sz w:val="18"/>
      <w:szCs w:val="18"/>
    </w:rPr>
  </w:style>
  <w:style w:type="paragraph" w:customStyle="1" w:styleId="873">
    <w:name w:val="样式 样式 首行缩进:  1 字符 + 首行缩进:  2 字符2"/>
    <w:basedOn w:val="1"/>
    <w:qFormat/>
    <w:uiPriority w:val="0"/>
    <w:pPr>
      <w:widowControl w:val="0"/>
      <w:spacing w:line="360" w:lineRule="auto"/>
      <w:ind w:firstLine="200" w:firstLineChars="200"/>
      <w:jc w:val="both"/>
    </w:pPr>
    <w:rPr>
      <w:rFonts w:ascii="Times New Roman" w:hAnsi="Times New Roman" w:cs="宋体"/>
      <w:sz w:val="24"/>
      <w:szCs w:val="20"/>
    </w:rPr>
  </w:style>
  <w:style w:type="paragraph" w:customStyle="1" w:styleId="874">
    <w:name w:val="Char Char Char2 Char"/>
    <w:basedOn w:val="1"/>
    <w:qFormat/>
    <w:uiPriority w:val="0"/>
    <w:pPr>
      <w:widowControl w:val="0"/>
      <w:spacing w:line="360" w:lineRule="auto"/>
      <w:ind w:firstLine="200" w:firstLineChars="200"/>
      <w:jc w:val="both"/>
    </w:pPr>
    <w:rPr>
      <w:rFonts w:ascii="宋体" w:hAnsi="宋体" w:cs="宋体"/>
      <w:sz w:val="24"/>
      <w:szCs w:val="24"/>
    </w:rPr>
  </w:style>
  <w:style w:type="paragraph" w:customStyle="1" w:styleId="875">
    <w:name w:val="样式 正文缩进表正文正文非缩进 + 首行缩进:  2 字符"/>
    <w:basedOn w:val="2"/>
    <w:qFormat/>
    <w:uiPriority w:val="0"/>
    <w:pPr>
      <w:widowControl w:val="0"/>
      <w:adjustRightInd w:val="0"/>
      <w:snapToGrid w:val="0"/>
      <w:spacing w:line="360" w:lineRule="auto"/>
      <w:ind w:firstLine="480" w:firstLineChars="0"/>
      <w:jc w:val="both"/>
    </w:pPr>
    <w:rPr>
      <w:rFonts w:ascii="宋体" w:hAnsi="宋体" w:cs="宋体"/>
      <w:bCs/>
      <w:sz w:val="28"/>
      <w:szCs w:val="20"/>
    </w:rPr>
  </w:style>
  <w:style w:type="paragraph" w:customStyle="1" w:styleId="876">
    <w:name w:val="样式 样式 样式 宋体 小四 右侧:  -0.09 厘米 行距: 多倍行距 1.45 字行 + 黑色 + 首行缩进:  2 字符"/>
    <w:basedOn w:val="856"/>
    <w:qFormat/>
    <w:uiPriority w:val="0"/>
    <w:rPr>
      <w:szCs w:val="20"/>
    </w:rPr>
  </w:style>
  <w:style w:type="character" w:customStyle="1" w:styleId="877">
    <w:name w:val="报告表正文 Char"/>
    <w:link w:val="878"/>
    <w:qFormat/>
    <w:uiPriority w:val="0"/>
    <w:rPr>
      <w:kern w:val="2"/>
      <w:sz w:val="24"/>
      <w:szCs w:val="24"/>
    </w:rPr>
  </w:style>
  <w:style w:type="paragraph" w:customStyle="1" w:styleId="878">
    <w:name w:val="报告表正文"/>
    <w:basedOn w:val="1"/>
    <w:link w:val="877"/>
    <w:qFormat/>
    <w:uiPriority w:val="0"/>
    <w:pPr>
      <w:widowControl w:val="0"/>
      <w:ind w:firstLine="454" w:firstLineChars="200"/>
      <w:contextualSpacing/>
      <w:jc w:val="both"/>
    </w:pPr>
    <w:rPr>
      <w:sz w:val="24"/>
      <w:szCs w:val="24"/>
    </w:rPr>
  </w:style>
  <w:style w:type="character" w:customStyle="1" w:styleId="879">
    <w:name w:val="报告表-表格内容 Char"/>
    <w:link w:val="880"/>
    <w:qFormat/>
    <w:uiPriority w:val="0"/>
    <w:rPr>
      <w:snapToGrid w:val="0"/>
      <w:w w:val="90"/>
      <w:sz w:val="21"/>
      <w:szCs w:val="21"/>
    </w:rPr>
  </w:style>
  <w:style w:type="paragraph" w:customStyle="1" w:styleId="880">
    <w:name w:val="报告表-表格内容"/>
    <w:link w:val="879"/>
    <w:qFormat/>
    <w:uiPriority w:val="0"/>
    <w:pPr>
      <w:adjustRightInd w:val="0"/>
      <w:snapToGrid w:val="0"/>
      <w:jc w:val="center"/>
    </w:pPr>
    <w:rPr>
      <w:rFonts w:ascii="Calibri" w:hAnsi="Calibri" w:eastAsia="宋体" w:cs="Times New Roman"/>
      <w:snapToGrid w:val="0"/>
      <w:w w:val="90"/>
      <w:sz w:val="21"/>
      <w:szCs w:val="21"/>
      <w:lang w:val="en-US" w:eastAsia="zh-CN" w:bidi="ar-SA"/>
    </w:rPr>
  </w:style>
  <w:style w:type="character" w:customStyle="1" w:styleId="881">
    <w:name w:val="表一级标题 Char"/>
    <w:link w:val="882"/>
    <w:qFormat/>
    <w:uiPriority w:val="0"/>
    <w:rPr>
      <w:rFonts w:eastAsia="黑体"/>
      <w:kern w:val="44"/>
      <w:sz w:val="24"/>
      <w:szCs w:val="24"/>
    </w:rPr>
  </w:style>
  <w:style w:type="paragraph" w:customStyle="1" w:styleId="882">
    <w:name w:val="表一级标题"/>
    <w:basedOn w:val="1"/>
    <w:link w:val="881"/>
    <w:qFormat/>
    <w:uiPriority w:val="0"/>
    <w:pPr>
      <w:widowControl w:val="0"/>
      <w:snapToGrid w:val="0"/>
      <w:spacing w:line="360" w:lineRule="auto"/>
    </w:pPr>
    <w:rPr>
      <w:rFonts w:eastAsia="黑体"/>
      <w:kern w:val="44"/>
      <w:sz w:val="24"/>
      <w:szCs w:val="24"/>
    </w:rPr>
  </w:style>
  <w:style w:type="character" w:customStyle="1" w:styleId="883">
    <w:name w:val="表 正文 Char"/>
    <w:link w:val="884"/>
    <w:qFormat/>
    <w:uiPriority w:val="0"/>
    <w:rPr>
      <w:kern w:val="44"/>
      <w:sz w:val="24"/>
      <w:szCs w:val="24"/>
    </w:rPr>
  </w:style>
  <w:style w:type="paragraph" w:customStyle="1" w:styleId="884">
    <w:name w:val="表 正文"/>
    <w:basedOn w:val="1"/>
    <w:link w:val="883"/>
    <w:qFormat/>
    <w:uiPriority w:val="0"/>
    <w:pPr>
      <w:widowControl w:val="0"/>
      <w:snapToGrid w:val="0"/>
      <w:spacing w:line="360" w:lineRule="auto"/>
      <w:ind w:firstLine="200" w:firstLineChars="200"/>
      <w:jc w:val="both"/>
    </w:pPr>
    <w:rPr>
      <w:kern w:val="44"/>
      <w:sz w:val="24"/>
      <w:szCs w:val="24"/>
    </w:rPr>
  </w:style>
  <w:style w:type="character" w:customStyle="1" w:styleId="885">
    <w:name w:val="表 正文 Char Char"/>
    <w:qFormat/>
    <w:uiPriority w:val="0"/>
    <w:rPr>
      <w:rFonts w:eastAsia="宋体"/>
      <w:kern w:val="44"/>
      <w:sz w:val="24"/>
      <w:szCs w:val="24"/>
      <w:lang w:val="en-US" w:eastAsia="zh-CN" w:bidi="ar-SA"/>
    </w:rPr>
  </w:style>
  <w:style w:type="character" w:customStyle="1" w:styleId="886">
    <w:name w:val="Char Char7"/>
    <w:qFormat/>
    <w:uiPriority w:val="0"/>
    <w:rPr>
      <w:rFonts w:ascii="宋体" w:hAnsi="宋体"/>
      <w:b/>
      <w:sz w:val="24"/>
      <w:lang w:bidi="ar-SA"/>
    </w:rPr>
  </w:style>
  <w:style w:type="character" w:customStyle="1" w:styleId="887">
    <w:name w:val="标题 2 Char Char Char"/>
    <w:qFormat/>
    <w:uiPriority w:val="0"/>
    <w:rPr>
      <w:rFonts w:ascii="Arial" w:hAnsi="Arial" w:eastAsia="黑体"/>
      <w:b/>
      <w:bCs/>
      <w:kern w:val="2"/>
      <w:sz w:val="32"/>
      <w:szCs w:val="32"/>
      <w:lang w:val="en-US" w:eastAsia="zh-CN" w:bidi="ar-SA"/>
    </w:rPr>
  </w:style>
  <w:style w:type="character" w:customStyle="1" w:styleId="888">
    <w:name w:val="style11"/>
    <w:qFormat/>
    <w:uiPriority w:val="0"/>
    <w:rPr>
      <w:sz w:val="18"/>
      <w:szCs w:val="18"/>
    </w:rPr>
  </w:style>
  <w:style w:type="paragraph" w:customStyle="1" w:styleId="889">
    <w:name w:val="样式环评"/>
    <w:basedOn w:val="1"/>
    <w:qFormat/>
    <w:uiPriority w:val="0"/>
    <w:pPr>
      <w:widowControl w:val="0"/>
      <w:spacing w:line="500" w:lineRule="exact"/>
      <w:ind w:firstLine="612"/>
      <w:jc w:val="both"/>
    </w:pPr>
    <w:rPr>
      <w:rFonts w:ascii="仿宋_GB2312" w:hAnsi="宋体" w:eastAsia="仿宋_GB2312"/>
      <w:sz w:val="28"/>
      <w:szCs w:val="24"/>
    </w:rPr>
  </w:style>
  <w:style w:type="paragraph" w:customStyle="1" w:styleId="890">
    <w:name w:val="列出段落2"/>
    <w:basedOn w:val="1"/>
    <w:qFormat/>
    <w:uiPriority w:val="0"/>
    <w:pPr>
      <w:widowControl w:val="0"/>
      <w:adjustRightInd w:val="0"/>
      <w:snapToGrid w:val="0"/>
      <w:spacing w:line="300" w:lineRule="auto"/>
      <w:ind w:firstLine="420" w:firstLineChars="200"/>
      <w:jc w:val="both"/>
    </w:pPr>
    <w:rPr>
      <w:rFonts w:ascii="Times New Roman" w:hAnsi="Times New Roman"/>
      <w:sz w:val="24"/>
      <w:szCs w:val="24"/>
    </w:rPr>
  </w:style>
  <w:style w:type="paragraph" w:customStyle="1" w:styleId="891">
    <w:name w:val="样式 首行缩进:  0.77 厘米 行距: 固定值 20 磅"/>
    <w:basedOn w:val="1"/>
    <w:qFormat/>
    <w:uiPriority w:val="0"/>
    <w:pPr>
      <w:widowControl w:val="0"/>
      <w:spacing w:line="360" w:lineRule="auto"/>
      <w:ind w:firstLine="435"/>
      <w:jc w:val="both"/>
    </w:pPr>
    <w:rPr>
      <w:rFonts w:ascii="Times New Roman" w:hAnsi="Times New Roman"/>
      <w:sz w:val="24"/>
      <w:szCs w:val="20"/>
    </w:rPr>
  </w:style>
  <w:style w:type="character" w:customStyle="1" w:styleId="892">
    <w:name w:val="正文-ls Char"/>
    <w:link w:val="893"/>
    <w:qFormat/>
    <w:uiPriority w:val="0"/>
    <w:rPr>
      <w:rFonts w:hAnsi="宋体"/>
      <w:kern w:val="2"/>
      <w:sz w:val="24"/>
    </w:rPr>
  </w:style>
  <w:style w:type="paragraph" w:customStyle="1" w:styleId="893">
    <w:name w:val="正文-ls"/>
    <w:basedOn w:val="1"/>
    <w:link w:val="892"/>
    <w:qFormat/>
    <w:uiPriority w:val="0"/>
    <w:pPr>
      <w:widowControl w:val="0"/>
      <w:spacing w:line="360" w:lineRule="auto"/>
      <w:ind w:firstLine="200" w:firstLineChars="200"/>
      <w:jc w:val="both"/>
    </w:pPr>
    <w:rPr>
      <w:rFonts w:hAnsi="宋体"/>
      <w:sz w:val="24"/>
      <w:szCs w:val="20"/>
    </w:rPr>
  </w:style>
  <w:style w:type="character" w:customStyle="1" w:styleId="894">
    <w:name w:val="表一级标题 Char Char"/>
    <w:qFormat/>
    <w:uiPriority w:val="0"/>
    <w:rPr>
      <w:rFonts w:eastAsia="黑体"/>
      <w:kern w:val="44"/>
      <w:sz w:val="24"/>
      <w:szCs w:val="24"/>
      <w:lang w:val="en-US" w:eastAsia="zh-CN" w:bidi="ar-SA"/>
    </w:rPr>
  </w:style>
  <w:style w:type="character" w:customStyle="1" w:styleId="895">
    <w:name w:val="报告表标题1 Char"/>
    <w:link w:val="896"/>
    <w:qFormat/>
    <w:uiPriority w:val="0"/>
    <w:rPr>
      <w:rFonts w:eastAsia="黑体"/>
      <w:kern w:val="2"/>
      <w:sz w:val="24"/>
      <w:szCs w:val="24"/>
    </w:rPr>
  </w:style>
  <w:style w:type="paragraph" w:customStyle="1" w:styleId="896">
    <w:name w:val="报告表标题1"/>
    <w:basedOn w:val="1"/>
    <w:link w:val="895"/>
    <w:qFormat/>
    <w:uiPriority w:val="0"/>
    <w:pPr>
      <w:widowControl w:val="0"/>
      <w:adjustRightInd w:val="0"/>
      <w:jc w:val="both"/>
    </w:pPr>
    <w:rPr>
      <w:rFonts w:eastAsia="黑体"/>
      <w:sz w:val="24"/>
      <w:szCs w:val="24"/>
    </w:rPr>
  </w:style>
  <w:style w:type="table" w:customStyle="1" w:styleId="897">
    <w:name w:val="网格型浅色1"/>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customStyle="1" w:styleId="898">
    <w:name w:val="p148h"/>
    <w:basedOn w:val="101"/>
    <w:qFormat/>
    <w:uiPriority w:val="0"/>
  </w:style>
  <w:style w:type="character" w:customStyle="1" w:styleId="899">
    <w:name w:val="font21"/>
    <w:qFormat/>
    <w:uiPriority w:val="0"/>
    <w:rPr>
      <w:rFonts w:hint="default" w:ascii="Times New Roman" w:hAnsi="Times New Roman" w:cs="Times New Roman"/>
      <w:color w:val="000000"/>
      <w:sz w:val="24"/>
      <w:szCs w:val="24"/>
      <w:u w:val="none"/>
    </w:rPr>
  </w:style>
  <w:style w:type="character" w:customStyle="1" w:styleId="900">
    <w:name w:val="电子邮件签名 字符1"/>
    <w:basedOn w:val="101"/>
    <w:semiHidden/>
    <w:qFormat/>
    <w:uiPriority w:val="0"/>
    <w:rPr>
      <w:kern w:val="2"/>
      <w:sz w:val="21"/>
      <w:szCs w:val="24"/>
    </w:rPr>
  </w:style>
  <w:style w:type="character" w:customStyle="1" w:styleId="901">
    <w:name w:val="正文文本首行缩进 2 字符1"/>
    <w:basedOn w:val="101"/>
    <w:semiHidden/>
    <w:qFormat/>
    <w:uiPriority w:val="0"/>
    <w:rPr>
      <w:rFonts w:eastAsia="宋体"/>
      <w:kern w:val="2"/>
      <w:sz w:val="21"/>
      <w:szCs w:val="24"/>
      <w:lang w:val="en-US" w:eastAsia="zh-CN" w:bidi="ar-SA"/>
    </w:rPr>
  </w:style>
  <w:style w:type="character" w:customStyle="1" w:styleId="902">
    <w:name w:val="脚注文本 字符1"/>
    <w:basedOn w:val="101"/>
    <w:semiHidden/>
    <w:qFormat/>
    <w:uiPriority w:val="0"/>
    <w:rPr>
      <w:kern w:val="2"/>
      <w:sz w:val="18"/>
      <w:szCs w:val="18"/>
    </w:rPr>
  </w:style>
  <w:style w:type="character" w:customStyle="1" w:styleId="903">
    <w:name w:val="信息标题 字符1"/>
    <w:basedOn w:val="101"/>
    <w:semiHidden/>
    <w:qFormat/>
    <w:uiPriority w:val="0"/>
    <w:rPr>
      <w:rFonts w:asciiTheme="majorHAnsi" w:hAnsiTheme="majorHAnsi" w:eastAsiaTheme="majorEastAsia" w:cstheme="majorBidi"/>
      <w:kern w:val="2"/>
      <w:sz w:val="24"/>
      <w:szCs w:val="24"/>
      <w:shd w:val="pct20" w:color="auto" w:fill="auto"/>
    </w:rPr>
  </w:style>
  <w:style w:type="character" w:customStyle="1" w:styleId="904">
    <w:name w:val="正文文本 3 字符1"/>
    <w:basedOn w:val="101"/>
    <w:semiHidden/>
    <w:qFormat/>
    <w:uiPriority w:val="0"/>
    <w:rPr>
      <w:kern w:val="2"/>
      <w:sz w:val="16"/>
      <w:szCs w:val="16"/>
    </w:rPr>
  </w:style>
  <w:style w:type="character" w:customStyle="1" w:styleId="905">
    <w:name w:val="称呼 字符1"/>
    <w:basedOn w:val="101"/>
    <w:semiHidden/>
    <w:qFormat/>
    <w:uiPriority w:val="0"/>
    <w:rPr>
      <w:kern w:val="2"/>
      <w:sz w:val="21"/>
      <w:szCs w:val="24"/>
    </w:rPr>
  </w:style>
  <w:style w:type="character" w:customStyle="1" w:styleId="906">
    <w:name w:val="结束语 字符1"/>
    <w:basedOn w:val="101"/>
    <w:semiHidden/>
    <w:qFormat/>
    <w:uiPriority w:val="0"/>
    <w:rPr>
      <w:kern w:val="2"/>
      <w:sz w:val="21"/>
      <w:szCs w:val="24"/>
    </w:rPr>
  </w:style>
  <w:style w:type="character" w:customStyle="1" w:styleId="907">
    <w:name w:val="副标题 字符1"/>
    <w:basedOn w:val="101"/>
    <w:qFormat/>
    <w:uiPriority w:val="0"/>
    <w:rPr>
      <w:rFonts w:asciiTheme="minorHAnsi" w:hAnsiTheme="minorHAnsi" w:eastAsiaTheme="minorEastAsia" w:cstheme="minorBidi"/>
      <w:b/>
      <w:bCs/>
      <w:kern w:val="28"/>
      <w:sz w:val="32"/>
      <w:szCs w:val="32"/>
    </w:rPr>
  </w:style>
  <w:style w:type="character" w:customStyle="1" w:styleId="908">
    <w:name w:val="宏文本 字符1"/>
    <w:basedOn w:val="101"/>
    <w:semiHidden/>
    <w:qFormat/>
    <w:uiPriority w:val="0"/>
    <w:rPr>
      <w:rFonts w:ascii="Courier New" w:hAnsi="Courier New" w:cs="Courier New"/>
      <w:kern w:val="2"/>
      <w:sz w:val="24"/>
      <w:szCs w:val="24"/>
    </w:rPr>
  </w:style>
  <w:style w:type="table" w:customStyle="1" w:styleId="909">
    <w:name w:val="典雅型3"/>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10">
    <w:name w:val="简明型 13"/>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11">
    <w:name w:val="简明型 3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12">
    <w:name w:val="列表型 8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13">
    <w:name w:val="网格型 1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4">
    <w:name w:val="网格型 5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5">
    <w:name w:val="网格型 73"/>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16">
    <w:name w:val="网页型 33"/>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17">
    <w:name w:val="(环评报告表）12"/>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8">
    <w:name w:val="表格主题12"/>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9">
    <w:name w:val="网格型 11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20">
    <w:name w:val="网格型 712"/>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21">
    <w:name w:val="列表型 81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22">
    <w:name w:val="网格型 51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23">
    <w:name w:val="简明型 31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24">
    <w:name w:val="网页型 312"/>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25">
    <w:name w:val="简明型 112"/>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26">
    <w:name w:val="典雅型1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27">
    <w:name w:val="网格型13"/>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28">
    <w:name w:val="网格型21"/>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表格主题21"/>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典雅型21"/>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31">
    <w:name w:val="简明型 121"/>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32">
    <w:name w:val="简明型 32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33">
    <w:name w:val="列表型 82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34">
    <w:name w:val="网格型 12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35">
    <w:name w:val="网格型 52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36">
    <w:name w:val="网格型 721"/>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37">
    <w:name w:val="网页型 321"/>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38">
    <w:name w:val="(环评报告表）111"/>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9">
    <w:name w:val="表格主题111"/>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0">
    <w:name w:val="网格型 111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1">
    <w:name w:val="网格型 7111"/>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2">
    <w:name w:val="列表型 8111"/>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43">
    <w:name w:val="网格型 511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44">
    <w:name w:val="简明型 3111"/>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45">
    <w:name w:val="网页型 3111"/>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46">
    <w:name w:val="简明型 1111"/>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47">
    <w:name w:val="典雅型111"/>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48">
    <w:name w:val="网格型111"/>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49">
    <w:name w:val="网格型31"/>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0">
    <w:name w:val="网格型41"/>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1">
    <w:name w:val="网格型51"/>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52">
    <w:name w:val="网格型61"/>
    <w:basedOn w:val="90"/>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3">
    <w:name w:val="网格型71"/>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4">
    <w:name w:val="网格型121"/>
    <w:basedOn w:val="90"/>
    <w:qFormat/>
    <w:uiPriority w:val="0"/>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55">
    <w:name w:val="msonormal"/>
    <w:basedOn w:val="1"/>
    <w:qFormat/>
    <w:uiPriority w:val="0"/>
    <w:pPr>
      <w:spacing w:before="100" w:beforeAutospacing="1" w:after="100" w:afterAutospacing="1"/>
    </w:pPr>
    <w:rPr>
      <w:rFonts w:ascii="宋体" w:hAnsi="宋体" w:cs="宋体"/>
      <w:kern w:val="0"/>
      <w:sz w:val="24"/>
      <w:szCs w:val="24"/>
    </w:rPr>
  </w:style>
  <w:style w:type="table" w:customStyle="1" w:styleId="956">
    <w:name w:val="三线2"/>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7">
    <w:name w:val="表格主题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8">
    <w:name w:val="0001"/>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959">
    <w:name w:val="表格样式111"/>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960">
    <w:name w:val="网格型浅色11"/>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961">
    <w:name w:val="典雅型4"/>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62">
    <w:name w:val="简明型 14"/>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63">
    <w:name w:val="简明型 3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64">
    <w:name w:val="列表型 8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65">
    <w:name w:val="网格型 1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6">
    <w:name w:val="网格型 5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7">
    <w:name w:val="网格型 74"/>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68">
    <w:name w:val="网页型 34"/>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69">
    <w:name w:val="(环评报告表）13"/>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0">
    <w:name w:val="表格主题13"/>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1">
    <w:name w:val="网格型 11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72">
    <w:name w:val="网格型 713"/>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73">
    <w:name w:val="列表型 81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74">
    <w:name w:val="网格型 51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75">
    <w:name w:val="简明型 31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76">
    <w:name w:val="网页型 313"/>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77">
    <w:name w:val="简明型 113"/>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78">
    <w:name w:val="典雅型13"/>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79">
    <w:name w:val="网格型14"/>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980">
    <w:name w:val="网格型22"/>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表格主题22"/>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典雅型2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983">
    <w:name w:val="简明型 122"/>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84">
    <w:name w:val="简明型 32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85">
    <w:name w:val="列表型 82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86">
    <w:name w:val="网格型 12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87">
    <w:name w:val="网格型 52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88">
    <w:name w:val="网格型 722"/>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89">
    <w:name w:val="网页型 322"/>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90">
    <w:name w:val="(环评报告表）112"/>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表格主题112"/>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网格型 111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3">
    <w:name w:val="网格型 7112"/>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4">
    <w:name w:val="列表型 8112"/>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995">
    <w:name w:val="网格型 511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996">
    <w:name w:val="简明型 3112"/>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997">
    <w:name w:val="网页型 3112"/>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998">
    <w:name w:val="简明型 1112"/>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999">
    <w:name w:val="典雅型112"/>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00">
    <w:name w:val="网格型112"/>
    <w:basedOn w:val="90"/>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01">
    <w:name w:val="网格型32"/>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2">
    <w:name w:val="网格型42"/>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03">
    <w:name w:val="网格型52"/>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04">
    <w:name w:val="网格型62"/>
    <w:basedOn w:val="90"/>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72"/>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22"/>
    <w:basedOn w:val="90"/>
    <w:qFormat/>
    <w:uiPriority w:val="0"/>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三线3"/>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表格主题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0002"/>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10">
    <w:name w:val="表格样式112"/>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11">
    <w:name w:val="网格型浅色12"/>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012">
    <w:name w:val="典雅型5"/>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13">
    <w:name w:val="简明型 15"/>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14">
    <w:name w:val="简明型 3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15">
    <w:name w:val="列表型 8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16">
    <w:name w:val="网格型 1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7">
    <w:name w:val="网格型 5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8">
    <w:name w:val="网格型 75"/>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19">
    <w:name w:val="网页型 35"/>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20">
    <w:name w:val="(环评报告表）14"/>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1">
    <w:name w:val="表格主题14"/>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22">
    <w:name w:val="网格型 11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23">
    <w:name w:val="网格型 714"/>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24">
    <w:name w:val="列表型 81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25">
    <w:name w:val="网格型 51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26">
    <w:name w:val="简明型 31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27">
    <w:name w:val="网页型 314"/>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28">
    <w:name w:val="简明型 114"/>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29">
    <w:name w:val="典雅型14"/>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30">
    <w:name w:val="网格型15"/>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31">
    <w:name w:val="网格型23"/>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2">
    <w:name w:val="表格主题23"/>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33">
    <w:name w:val="典雅型23"/>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34">
    <w:name w:val="简明型 123"/>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35">
    <w:name w:val="简明型 32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36">
    <w:name w:val="列表型 82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37">
    <w:name w:val="网格型 12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38">
    <w:name w:val="网格型 52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39">
    <w:name w:val="网格型 723"/>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0">
    <w:name w:val="网页型 323"/>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41">
    <w:name w:val="(环评报告表）113"/>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2">
    <w:name w:val="表格主题113"/>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3">
    <w:name w:val="网格型 111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4">
    <w:name w:val="网格型 7113"/>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5">
    <w:name w:val="列表型 8113"/>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46">
    <w:name w:val="网格型 511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47">
    <w:name w:val="简明型 3113"/>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48">
    <w:name w:val="网页型 3113"/>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49">
    <w:name w:val="简明型 1113"/>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50">
    <w:name w:val="典雅型113"/>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51">
    <w:name w:val="网格型113"/>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2">
    <w:name w:val="网格型33"/>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3">
    <w:name w:val="网格型43"/>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4">
    <w:name w:val="网格型53"/>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55">
    <w:name w:val="网格型63"/>
    <w:basedOn w:val="90"/>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6">
    <w:name w:val="网格型73"/>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7">
    <w:name w:val="网格型123"/>
    <w:basedOn w:val="90"/>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8">
    <w:name w:val="网格型124"/>
    <w:basedOn w:val="90"/>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9">
    <w:name w:val="三线4"/>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0">
    <w:name w:val="表格主题7"/>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61">
    <w:name w:val="0003"/>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62">
    <w:name w:val="表格样式113"/>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063">
    <w:name w:val="网格型浅色13"/>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064">
    <w:name w:val="典雅型6"/>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65">
    <w:name w:val="简明型 16"/>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66">
    <w:name w:val="简明型 3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67">
    <w:name w:val="列表型 8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68">
    <w:name w:val="网格型 1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69">
    <w:name w:val="网格型 5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0">
    <w:name w:val="网格型 76"/>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1">
    <w:name w:val="网页型 36"/>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72">
    <w:name w:val="(环评报告表）15"/>
    <w:basedOn w:val="90"/>
    <w:qFormat/>
    <w:locked/>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3">
    <w:name w:val="表格主题15"/>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4">
    <w:name w:val="网格型 11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5">
    <w:name w:val="网格型 715"/>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6">
    <w:name w:val="列表型 81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77">
    <w:name w:val="网格型 51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78">
    <w:name w:val="简明型 31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79">
    <w:name w:val="网页型 315"/>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80">
    <w:name w:val="简明型 115"/>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81">
    <w:name w:val="典雅型15"/>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82">
    <w:name w:val="网格型16"/>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083">
    <w:name w:val="网格型24"/>
    <w:basedOn w:val="90"/>
    <w:qFormat/>
    <w:locked/>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4">
    <w:name w:val="表格主题24"/>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5">
    <w:name w:val="典雅型24"/>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086">
    <w:name w:val="简明型 124"/>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087">
    <w:name w:val="简明型 32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088">
    <w:name w:val="列表型 82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89">
    <w:name w:val="网格型 12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0">
    <w:name w:val="网格型 52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1">
    <w:name w:val="网格型 724"/>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2">
    <w:name w:val="网页型 324"/>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093">
    <w:name w:val="(环评报告表）114"/>
    <w:basedOn w:val="90"/>
    <w:qFormat/>
    <w:locked/>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4">
    <w:name w:val="表格主题114"/>
    <w:basedOn w:val="90"/>
    <w:qFormat/>
    <w:locked/>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95">
    <w:name w:val="网格型 111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6">
    <w:name w:val="网格型 7114"/>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7">
    <w:name w:val="列表型 8114"/>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098">
    <w:name w:val="网格型 511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099">
    <w:name w:val="简明型 3114"/>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00">
    <w:name w:val="网页型 3114"/>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01">
    <w:name w:val="简明型 1114"/>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02">
    <w:name w:val="典雅型114"/>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03">
    <w:name w:val="网格型114"/>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4">
    <w:name w:val="网格型34"/>
    <w:basedOn w:val="90"/>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5">
    <w:name w:val="网格型44"/>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6">
    <w:name w:val="网格型54"/>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07">
    <w:name w:val="网格型64"/>
    <w:basedOn w:val="90"/>
    <w:qFormat/>
    <w:uiPriority w:val="0"/>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8">
    <w:name w:val="网格型74"/>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9">
    <w:name w:val="网格型125"/>
    <w:basedOn w:val="90"/>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0">
    <w:name w:val="三线5"/>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1">
    <w:name w:val="表格主题8"/>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2">
    <w:name w:val="0004"/>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13">
    <w:name w:val="表格样式114"/>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14">
    <w:name w:val="网格型浅色14"/>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115">
    <w:name w:val="典雅型7"/>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16">
    <w:name w:val="简明型 17"/>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17">
    <w:name w:val="简明型 3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18">
    <w:name w:val="列表型 8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19">
    <w:name w:val="网格型 1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0">
    <w:name w:val="网格型 5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1">
    <w:name w:val="网格型 77"/>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2">
    <w:name w:val="网页型 37"/>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23">
    <w:name w:val="(环评报告表）16"/>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4">
    <w:name w:val="表格主题16"/>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5">
    <w:name w:val="网格型 11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6">
    <w:name w:val="网格型 716"/>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7">
    <w:name w:val="列表型 81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28">
    <w:name w:val="网格型 51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29">
    <w:name w:val="简明型 31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30">
    <w:name w:val="网页型 316"/>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31">
    <w:name w:val="简明型 116"/>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32">
    <w:name w:val="典雅型16"/>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33">
    <w:name w:val="网格型17"/>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34">
    <w:name w:val="网格型25"/>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5">
    <w:name w:val="表格主题25"/>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6">
    <w:name w:val="典雅型25"/>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37">
    <w:name w:val="简明型 125"/>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38">
    <w:name w:val="简明型 32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39">
    <w:name w:val="列表型 82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40">
    <w:name w:val="网格型 12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1">
    <w:name w:val="网格型 52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2">
    <w:name w:val="网格型 725"/>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3">
    <w:name w:val="网页型 325"/>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44">
    <w:name w:val="(环评报告表）115"/>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5">
    <w:name w:val="表格主题115"/>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6">
    <w:name w:val="网格型 111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7">
    <w:name w:val="网格型 7115"/>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48">
    <w:name w:val="列表型 8115"/>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49">
    <w:name w:val="网格型 511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50">
    <w:name w:val="简明型 3115"/>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51">
    <w:name w:val="网页型 3115"/>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52">
    <w:name w:val="简明型 1115"/>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53">
    <w:name w:val="典雅型115"/>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54">
    <w:name w:val="网格型115"/>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55">
    <w:name w:val="网格型35"/>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6">
    <w:name w:val="网格型45"/>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57">
    <w:name w:val="网格型55"/>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58">
    <w:name w:val="网格型65"/>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9">
    <w:name w:val="网格型75"/>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0">
    <w:name w:val="网格型126"/>
    <w:basedOn w:val="90"/>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1">
    <w:name w:val="三线6"/>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2">
    <w:name w:val="表格主题9"/>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3">
    <w:name w:val="0005"/>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64">
    <w:name w:val="表格样式115"/>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165">
    <w:name w:val="网格型浅色15"/>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166">
    <w:name w:val="典雅型8"/>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67">
    <w:name w:val="简明型 18"/>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68">
    <w:name w:val="简明型 38"/>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69">
    <w:name w:val="列表型 88"/>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70">
    <w:name w:val="网格型 18"/>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1">
    <w:name w:val="网格型 58"/>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2">
    <w:name w:val="网格型 78"/>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3">
    <w:name w:val="网页型 38"/>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74">
    <w:name w:val="(环评报告表）17"/>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5">
    <w:name w:val="表格主题17"/>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6">
    <w:name w:val="网格型 11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7">
    <w:name w:val="网格型 717"/>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78">
    <w:name w:val="列表型 81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79">
    <w:name w:val="网格型 51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80">
    <w:name w:val="简明型 31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81">
    <w:name w:val="网页型 317"/>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82">
    <w:name w:val="简明型 117"/>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83">
    <w:name w:val="典雅型17"/>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84">
    <w:name w:val="网格型18"/>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185">
    <w:name w:val="网格型26"/>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6">
    <w:name w:val="表格主题26"/>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87">
    <w:name w:val="典雅型26"/>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188">
    <w:name w:val="简明型 126"/>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189">
    <w:name w:val="简明型 32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190">
    <w:name w:val="列表型 82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191">
    <w:name w:val="网格型 12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2">
    <w:name w:val="网格型 52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3">
    <w:name w:val="网格型 726"/>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4">
    <w:name w:val="网页型 326"/>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195">
    <w:name w:val="(环评报告表）116"/>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6">
    <w:name w:val="表格主题116"/>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7">
    <w:name w:val="网格型 111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8">
    <w:name w:val="网格型 7116"/>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199">
    <w:name w:val="列表型 8116"/>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00">
    <w:name w:val="网格型 511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01">
    <w:name w:val="简明型 3116"/>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02">
    <w:name w:val="网页型 3116"/>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03">
    <w:name w:val="简明型 1116"/>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04">
    <w:name w:val="典雅型116"/>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05">
    <w:name w:val="网格型116"/>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06">
    <w:name w:val="网格型36"/>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7">
    <w:name w:val="网格型46"/>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08">
    <w:name w:val="网格型56"/>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09">
    <w:name w:val="网格型66"/>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0">
    <w:name w:val="网格型76"/>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1">
    <w:name w:val="网格型127"/>
    <w:basedOn w:val="90"/>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2">
    <w:name w:val="三线7"/>
    <w:basedOn w:val="9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3">
    <w:name w:val="表格主题10"/>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4">
    <w:name w:val="0006"/>
    <w:basedOn w:val="90"/>
    <w:qFormat/>
    <w:uiPriority w:val="0"/>
    <w:pPr>
      <w:jc w:val="center"/>
    </w:pPr>
    <w:rPr>
      <w:rFonts w:eastAsia="仿宋_GB2312"/>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215">
    <w:name w:val="表格样式116"/>
    <w:basedOn w:val="90"/>
    <w:qFormat/>
    <w:uiPriority w:val="0"/>
    <w:pPr>
      <w:jc w:val="center"/>
    </w:pPr>
    <w:rPr>
      <w:sz w:val="18"/>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1216">
    <w:name w:val="网格型浅色16"/>
    <w:basedOn w:val="90"/>
    <w:qFormat/>
    <w:uiPriority w:val="0"/>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1217">
    <w:name w:val="典雅型9"/>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18">
    <w:name w:val="简明型 19"/>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19">
    <w:name w:val="简明型 39"/>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20">
    <w:name w:val="列表型 89"/>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21">
    <w:name w:val="网格型 19"/>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2">
    <w:name w:val="网格型 59"/>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3">
    <w:name w:val="网格型 79"/>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4">
    <w:name w:val="网页型 39"/>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25">
    <w:name w:val="(环评报告表）18"/>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6">
    <w:name w:val="表格主题18"/>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7">
    <w:name w:val="网格型 118"/>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8">
    <w:name w:val="网格型 718"/>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29">
    <w:name w:val="列表型 818"/>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30">
    <w:name w:val="网格型 518"/>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31">
    <w:name w:val="简明型 318"/>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32">
    <w:name w:val="网页型 318"/>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33">
    <w:name w:val="简明型 118"/>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34">
    <w:name w:val="典雅型18"/>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35">
    <w:name w:val="网格型19"/>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36">
    <w:name w:val="网格型27"/>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7">
    <w:name w:val="表格主题27"/>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38">
    <w:name w:val="典雅型27"/>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39">
    <w:name w:val="简明型 127"/>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40">
    <w:name w:val="简明型 32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41">
    <w:name w:val="列表型 82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42">
    <w:name w:val="网格型 12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3">
    <w:name w:val="网格型 52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4">
    <w:name w:val="网格型 727"/>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5">
    <w:name w:val="网页型 327"/>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46">
    <w:name w:val="(环评报告表）117"/>
    <w:basedOn w:val="90"/>
    <w:qFormat/>
    <w:uiPriority w:val="59"/>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7">
    <w:name w:val="表格主题117"/>
    <w:basedOn w:val="90"/>
    <w:qFormat/>
    <w:uiPriority w:val="0"/>
    <w:pPr>
      <w:widowControl w:val="0"/>
      <w:adjustRightInd w:val="0"/>
      <w:spacing w:line="460" w:lineRule="exact"/>
      <w:ind w:firstLine="510"/>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8">
    <w:name w:val="网格型 111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49">
    <w:name w:val="网格型 7117"/>
    <w:basedOn w:val="90"/>
    <w:qFormat/>
    <w:uiPriority w:val="0"/>
    <w:pPr>
      <w:widowControl w:val="0"/>
      <w:adjustRightInd w:val="0"/>
      <w:spacing w:line="460" w:lineRule="exact"/>
      <w:ind w:firstLine="510"/>
      <w:textAlignment w:val="baseline"/>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0">
    <w:name w:val="列表型 8117"/>
    <w:basedOn w:val="90"/>
    <w:qFormat/>
    <w:uiPriority w:val="0"/>
    <w:pPr>
      <w:widowControl w:val="0"/>
      <w:adjustRightInd w:val="0"/>
      <w:spacing w:line="460" w:lineRule="exact"/>
      <w:ind w:firstLine="510"/>
      <w:textAlignment w:val="baseline"/>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1251">
    <w:name w:val="网格型 511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252">
    <w:name w:val="简明型 3117"/>
    <w:basedOn w:val="90"/>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1253">
    <w:name w:val="网页型 3117"/>
    <w:basedOn w:val="90"/>
    <w:qFormat/>
    <w:uiPriority w:val="0"/>
    <w:pPr>
      <w:widowControl w:val="0"/>
      <w:adjustRightInd w:val="0"/>
      <w:spacing w:line="460" w:lineRule="exact"/>
      <w:ind w:firstLine="510"/>
      <w:textAlignment w:val="baseline"/>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1254">
    <w:name w:val="简明型 1117"/>
    <w:basedOn w:val="90"/>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1255">
    <w:name w:val="典雅型117"/>
    <w:basedOn w:val="90"/>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1256">
    <w:name w:val="网格型117"/>
    <w:basedOn w:val="90"/>
    <w:unhideWhenUsed/>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57">
    <w:name w:val="网格型37"/>
    <w:basedOn w:val="90"/>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8">
    <w:name w:val="网格型47"/>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59">
    <w:name w:val="网格型57"/>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1260">
    <w:name w:val="网格型67"/>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1">
    <w:name w:val="网格型77"/>
    <w:basedOn w:val="9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62">
    <w:name w:val="网格型128"/>
    <w:basedOn w:val="90"/>
    <w:qFormat/>
    <w:uiPriority w:val="39"/>
    <w:rPr>
      <w:rFonts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63">
    <w:name w:val="Placeholder Text"/>
    <w:basedOn w:val="101"/>
    <w:unhideWhenUsed/>
    <w:qFormat/>
    <w:uiPriority w:val="0"/>
    <w:rPr>
      <w:color w:val="808080"/>
    </w:rPr>
  </w:style>
  <w:style w:type="paragraph" w:customStyle="1" w:styleId="1264">
    <w:name w:val="五号框图文字"/>
    <w:basedOn w:val="1"/>
    <w:qFormat/>
    <w:uiPriority w:val="0"/>
    <w:pPr>
      <w:jc w:val="center"/>
    </w:pPr>
    <w:rPr>
      <w:rFonts w:ascii="Times New Roman" w:hAnsi="Times New Roman" w:eastAsia="华文中宋"/>
      <w:szCs w:val="21"/>
    </w:rPr>
  </w:style>
  <w:style w:type="paragraph" w:customStyle="1" w:styleId="1265">
    <w:name w:val="Table Paragraph"/>
    <w:basedOn w:val="1"/>
    <w:unhideWhenUsed/>
    <w:qFormat/>
    <w:uiPriority w:val="1"/>
    <w:rPr>
      <w:sz w:val="24"/>
    </w:rPr>
  </w:style>
  <w:style w:type="paragraph" w:customStyle="1" w:styleId="1266">
    <w:name w:val="样式29"/>
    <w:basedOn w:val="1"/>
    <w:qFormat/>
    <w:uiPriority w:val="0"/>
    <w:pPr>
      <w:ind w:firstLine="463" w:firstLineChars="200"/>
    </w:pPr>
  </w:style>
  <w:style w:type="character" w:customStyle="1" w:styleId="1267">
    <w:name w:val="one-lines"/>
    <w:basedOn w:val="101"/>
    <w:qFormat/>
    <w:uiPriority w:val="0"/>
  </w:style>
  <w:style w:type="character" w:customStyle="1" w:styleId="1268">
    <w:name w:val="hidden"/>
    <w:basedOn w:val="101"/>
    <w:qFormat/>
    <w:uiPriority w:val="0"/>
    <w:rPr>
      <w:vanish/>
    </w:rPr>
  </w:style>
  <w:style w:type="character" w:customStyle="1" w:styleId="1269">
    <w:name w:val="fontstrikethrough"/>
    <w:basedOn w:val="101"/>
    <w:qFormat/>
    <w:uiPriority w:val="0"/>
    <w:rPr>
      <w:strike/>
    </w:rPr>
  </w:style>
  <w:style w:type="character" w:customStyle="1" w:styleId="1270">
    <w:name w:val="fontborder"/>
    <w:basedOn w:val="101"/>
    <w:qFormat/>
    <w:uiPriority w:val="0"/>
    <w:rPr>
      <w:bdr w:val="single" w:color="000000" w:sz="6" w:space="0"/>
    </w:rPr>
  </w:style>
  <w:style w:type="character" w:customStyle="1" w:styleId="1271">
    <w:name w:val="two-lines"/>
    <w:basedOn w:val="101"/>
    <w:qFormat/>
    <w:uiPriority w:val="0"/>
  </w:style>
  <w:style w:type="character" w:customStyle="1" w:styleId="1272">
    <w:name w:val="trumbowyg-msg-error"/>
    <w:basedOn w:val="101"/>
    <w:qFormat/>
    <w:uiPriority w:val="0"/>
    <w:rPr>
      <w:color w:val="E74C3C"/>
    </w:rPr>
  </w:style>
  <w:style w:type="character" w:customStyle="1" w:styleId="1273">
    <w:name w:val="trumbowyg-msg-error1"/>
    <w:basedOn w:val="101"/>
    <w:qFormat/>
    <w:uiPriority w:val="0"/>
    <w:rPr>
      <w:color w:val="E74C3C"/>
    </w:rPr>
  </w:style>
  <w:style w:type="character" w:customStyle="1" w:styleId="1274">
    <w:name w:val="hidden4"/>
    <w:basedOn w:val="101"/>
    <w:qFormat/>
    <w:uiPriority w:val="0"/>
    <w:rPr>
      <w:vanish/>
    </w:rPr>
  </w:style>
  <w:style w:type="character" w:customStyle="1" w:styleId="1275">
    <w:name w:val="正文文本 + SimSun"/>
    <w:basedOn w:val="768"/>
    <w:qFormat/>
    <w:uiPriority w:val="0"/>
    <w:rPr>
      <w:rFonts w:ascii="宋体" w:hAnsi="宋体" w:eastAsia="宋体" w:cs="宋体"/>
      <w:color w:val="000000"/>
      <w:spacing w:val="0"/>
      <w:w w:val="100"/>
      <w:position w:val="0"/>
      <w:sz w:val="19"/>
      <w:szCs w:val="19"/>
      <w:u w:val="none"/>
      <w:shd w:val="clear" w:color="auto" w:fill="FFFFFF"/>
      <w:lang w:val="zh-TW"/>
    </w:rPr>
  </w:style>
  <w:style w:type="character" w:customStyle="1" w:styleId="1276">
    <w:name w:val="正文文本 + Malgun Gothic"/>
    <w:basedOn w:val="768"/>
    <w:qFormat/>
    <w:uiPriority w:val="0"/>
    <w:rPr>
      <w:rFonts w:ascii="Malgun Gothic" w:hAnsi="Malgun Gothic" w:eastAsia="Malgun Gothic" w:cs="Malgun Gothic"/>
      <w:color w:val="000000"/>
      <w:spacing w:val="10"/>
      <w:w w:val="100"/>
      <w:position w:val="0"/>
      <w:sz w:val="12"/>
      <w:szCs w:val="12"/>
      <w:u w:val="none"/>
      <w:shd w:val="clear" w:color="auto" w:fill="FFFFFF"/>
      <w:lang w:val="en-US"/>
    </w:rPr>
  </w:style>
  <w:style w:type="character" w:customStyle="1" w:styleId="1277">
    <w:name w:val="正文文本 (2) + 10 pt15"/>
    <w:basedOn w:val="825"/>
    <w:qFormat/>
    <w:uiPriority w:val="99"/>
    <w:rPr>
      <w:rFonts w:ascii="MingLiU" w:eastAsia="MingLiU" w:cs="MingLiU"/>
      <w:kern w:val="0"/>
      <w:sz w:val="20"/>
      <w:szCs w:val="20"/>
      <w:u w:val="none"/>
    </w:rPr>
  </w:style>
  <w:style w:type="character" w:customStyle="1" w:styleId="1278">
    <w:name w:val="正文文本 (2) + Georgia8"/>
    <w:basedOn w:val="825"/>
    <w:qFormat/>
    <w:uiPriority w:val="99"/>
    <w:rPr>
      <w:rFonts w:ascii="Georgia" w:hAnsi="Georgia" w:eastAsia="MingLiU" w:cs="Georgia"/>
      <w:kern w:val="0"/>
      <w:sz w:val="20"/>
      <w:szCs w:val="20"/>
      <w:u w:val="none"/>
      <w:lang w:val="en-US" w:eastAsia="en-US"/>
    </w:rPr>
  </w:style>
  <w:style w:type="character" w:customStyle="1" w:styleId="1279">
    <w:name w:val="正文文本 (2) + 10 pt14"/>
    <w:basedOn w:val="825"/>
    <w:qFormat/>
    <w:uiPriority w:val="99"/>
    <w:rPr>
      <w:rFonts w:ascii="MingLiU" w:eastAsia="MingLiU" w:cs="MingLiU"/>
      <w:spacing w:val="-20"/>
      <w:kern w:val="0"/>
      <w:sz w:val="20"/>
      <w:szCs w:val="20"/>
      <w:u w:val="none"/>
      <w:lang w:val="en-US" w:eastAsia="en-US"/>
    </w:rPr>
  </w:style>
  <w:style w:type="character" w:customStyle="1" w:styleId="1280">
    <w:name w:val="nth-of-type(2)"/>
    <w:basedOn w:val="101"/>
    <w:qFormat/>
    <w:uiPriority w:val="0"/>
  </w:style>
  <w:style w:type="character" w:customStyle="1" w:styleId="1281">
    <w:name w:val="nth-of-type(2)1"/>
    <w:basedOn w:val="101"/>
    <w:qFormat/>
    <w:uiPriority w:val="0"/>
  </w:style>
  <w:style w:type="character" w:customStyle="1" w:styleId="1282">
    <w:name w:val="nth-of-type(2)2"/>
    <w:basedOn w:val="101"/>
    <w:qFormat/>
    <w:uiPriority w:val="0"/>
  </w:style>
  <w:style w:type="character" w:customStyle="1" w:styleId="1283">
    <w:name w:val="nth-of-type(2)3"/>
    <w:basedOn w:val="101"/>
    <w:qFormat/>
    <w:uiPriority w:val="0"/>
  </w:style>
  <w:style w:type="character" w:customStyle="1" w:styleId="1284">
    <w:name w:val="nth-of-type(2)4"/>
    <w:basedOn w:val="101"/>
    <w:qFormat/>
    <w:uiPriority w:val="0"/>
  </w:style>
  <w:style w:type="character" w:customStyle="1" w:styleId="1285">
    <w:name w:val="first-of-type1"/>
    <w:basedOn w:val="101"/>
    <w:qFormat/>
    <w:uiPriority w:val="0"/>
  </w:style>
  <w:style w:type="character" w:customStyle="1" w:styleId="1286">
    <w:name w:val="first-of-type2"/>
    <w:basedOn w:val="101"/>
    <w:qFormat/>
    <w:uiPriority w:val="0"/>
  </w:style>
  <w:style w:type="character" w:customStyle="1" w:styleId="1287">
    <w:name w:val="nth-of-type(1)"/>
    <w:basedOn w:val="101"/>
    <w:qFormat/>
    <w:uiPriority w:val="0"/>
  </w:style>
  <w:style w:type="character" w:customStyle="1" w:styleId="1288">
    <w:name w:val="nth-of-type(1)1"/>
    <w:basedOn w:val="101"/>
    <w:qFormat/>
    <w:uiPriority w:val="0"/>
  </w:style>
  <w:style w:type="character" w:customStyle="1" w:styleId="1289">
    <w:name w:val="nth-of-type(1)2"/>
    <w:basedOn w:val="101"/>
    <w:qFormat/>
    <w:uiPriority w:val="0"/>
  </w:style>
  <w:style w:type="paragraph" w:customStyle="1" w:styleId="1290">
    <w:name w:val="0表格"/>
    <w:basedOn w:val="1"/>
    <w:link w:val="1291"/>
    <w:qFormat/>
    <w:uiPriority w:val="0"/>
    <w:pPr>
      <w:widowControl w:val="0"/>
      <w:jc w:val="center"/>
    </w:pPr>
    <w:rPr>
      <w:rFonts w:ascii="Arial" w:hAnsi="Arial"/>
      <w:color w:val="000000"/>
      <w:szCs w:val="20"/>
    </w:rPr>
  </w:style>
  <w:style w:type="character" w:customStyle="1" w:styleId="1291">
    <w:name w:val="0表格 Char"/>
    <w:link w:val="1290"/>
    <w:qFormat/>
    <w:uiPriority w:val="0"/>
    <w:rPr>
      <w:rFonts w:ascii="Arial" w:hAnsi="Arial"/>
      <w:color w:val="000000"/>
      <w:kern w:val="2"/>
      <w:sz w:val="21"/>
    </w:rPr>
  </w:style>
  <w:style w:type="paragraph" w:customStyle="1" w:styleId="1292">
    <w:name w:val="7 表内文字"/>
    <w:basedOn w:val="1"/>
    <w:qFormat/>
    <w:uiPriority w:val="0"/>
    <w:pPr>
      <w:adjustRightInd w:val="0"/>
      <w:snapToGrid w:val="0"/>
      <w:jc w:val="center"/>
    </w:pPr>
    <w:rPr>
      <w:color w:val="0000FF"/>
      <w:szCs w:val="21"/>
    </w:rPr>
  </w:style>
  <w:style w:type="character" w:customStyle="1" w:styleId="1293">
    <w:name w:val="HTML 地址 Char"/>
    <w:basedOn w:val="101"/>
    <w:link w:val="45"/>
    <w:qFormat/>
    <w:uiPriority w:val="0"/>
    <w:rPr>
      <w:rFonts w:ascii="宋体" w:hAnsi="宋体" w:cs="宋体"/>
      <w:i/>
      <w:iCs/>
      <w:sz w:val="24"/>
      <w:szCs w:val="24"/>
    </w:rPr>
  </w:style>
  <w:style w:type="character" w:customStyle="1" w:styleId="1294">
    <w:name w:val="签名 Char"/>
    <w:basedOn w:val="101"/>
    <w:link w:val="62"/>
    <w:qFormat/>
    <w:uiPriority w:val="0"/>
    <w:rPr>
      <w:rFonts w:ascii="宋体" w:hAnsi="宋体" w:cs="宋体"/>
      <w:sz w:val="24"/>
      <w:szCs w:val="24"/>
    </w:rPr>
  </w:style>
  <w:style w:type="paragraph" w:customStyle="1" w:styleId="1295">
    <w:name w:val="正文（缩进）"/>
    <w:basedOn w:val="1"/>
    <w:qFormat/>
    <w:uiPriority w:val="99"/>
    <w:pPr>
      <w:spacing w:line="360" w:lineRule="auto"/>
      <w:ind w:firstLine="480"/>
    </w:pPr>
    <w:rPr>
      <w:rFonts w:ascii="宋体" w:hAnsi="宋体" w:cs="宋体"/>
      <w:kern w:val="0"/>
      <w:sz w:val="24"/>
      <w:szCs w:val="20"/>
    </w:rPr>
  </w:style>
  <w:style w:type="character" w:customStyle="1" w:styleId="1296">
    <w:name w:val="标题 3 Char2"/>
    <w:qFormat/>
    <w:uiPriority w:val="0"/>
    <w:rPr>
      <w:rFonts w:eastAsia="宋体"/>
      <w:b/>
      <w:bCs/>
      <w:kern w:val="2"/>
      <w:sz w:val="32"/>
      <w:szCs w:val="32"/>
      <w:lang w:val="en-US" w:eastAsia="zh-CN" w:bidi="ar-SA"/>
    </w:rPr>
  </w:style>
  <w:style w:type="character" w:customStyle="1" w:styleId="1297">
    <w:name w:val="正文缩进 Char2"/>
    <w:qFormat/>
    <w:uiPriority w:val="0"/>
    <w:rPr>
      <w:rFonts w:eastAsia="宋体"/>
      <w:kern w:val="2"/>
      <w:sz w:val="21"/>
      <w:szCs w:val="24"/>
      <w:lang w:val="en-US" w:eastAsia="zh-CN" w:bidi="ar-SA"/>
    </w:rPr>
  </w:style>
  <w:style w:type="character" w:customStyle="1" w:styleId="1298">
    <w:name w:val="文档结构图 Char1"/>
    <w:qFormat/>
    <w:uiPriority w:val="99"/>
    <w:rPr>
      <w:kern w:val="2"/>
      <w:sz w:val="24"/>
      <w:szCs w:val="24"/>
      <w:shd w:val="clear" w:color="auto" w:fill="000080"/>
    </w:rPr>
  </w:style>
  <w:style w:type="character" w:customStyle="1" w:styleId="1299">
    <w:name w:val="批注文字 Char2"/>
    <w:qFormat/>
    <w:uiPriority w:val="99"/>
    <w:rPr>
      <w:kern w:val="2"/>
      <w:sz w:val="21"/>
      <w:szCs w:val="24"/>
    </w:rPr>
  </w:style>
  <w:style w:type="character" w:customStyle="1" w:styleId="1300">
    <w:name w:val="正文文本 Char2"/>
    <w:qFormat/>
    <w:uiPriority w:val="0"/>
    <w:rPr>
      <w:kern w:val="2"/>
      <w:sz w:val="21"/>
      <w:szCs w:val="24"/>
    </w:rPr>
  </w:style>
  <w:style w:type="character" w:customStyle="1" w:styleId="1301">
    <w:name w:val="样式5 Char Char"/>
    <w:basedOn w:val="101"/>
    <w:qFormat/>
    <w:uiPriority w:val="0"/>
    <w:rPr>
      <w:rFonts w:ascii="宋体" w:hAnsi="宋体"/>
      <w:b/>
      <w:bCs/>
      <w:kern w:val="2"/>
      <w:sz w:val="24"/>
      <w:lang w:val="zh-CN"/>
    </w:rPr>
  </w:style>
  <w:style w:type="character" w:customStyle="1" w:styleId="1302">
    <w:name w:val="页眉 Char2"/>
    <w:basedOn w:val="101"/>
    <w:qFormat/>
    <w:uiPriority w:val="0"/>
    <w:rPr>
      <w:rFonts w:hint="default" w:ascii="Calibri" w:hAnsi="Calibri" w:cs="Calibri"/>
    </w:rPr>
  </w:style>
  <w:style w:type="character" w:customStyle="1" w:styleId="1303">
    <w:name w:val="正文文本缩进 Char2"/>
    <w:qFormat/>
    <w:uiPriority w:val="0"/>
    <w:rPr>
      <w:kern w:val="2"/>
      <w:sz w:val="24"/>
      <w:szCs w:val="24"/>
    </w:rPr>
  </w:style>
  <w:style w:type="character" w:customStyle="1" w:styleId="1304">
    <w:name w:val="标题 2 Char Char Char Char Char2"/>
    <w:qFormat/>
    <w:uiPriority w:val="0"/>
    <w:rPr>
      <w:rFonts w:hAnsi="Arial" w:eastAsia="宋体"/>
      <w:b/>
      <w:snapToGrid w:val="0"/>
      <w:sz w:val="32"/>
      <w:lang w:val="en-US" w:eastAsia="zh-CN"/>
    </w:rPr>
  </w:style>
  <w:style w:type="character" w:customStyle="1" w:styleId="1305">
    <w:name w:val="③ Char Char"/>
    <w:link w:val="1306"/>
    <w:qFormat/>
    <w:uiPriority w:val="0"/>
    <w:rPr>
      <w:kern w:val="2"/>
      <w:sz w:val="24"/>
      <w:szCs w:val="24"/>
    </w:rPr>
  </w:style>
  <w:style w:type="paragraph" w:customStyle="1" w:styleId="1306">
    <w:name w:val="③"/>
    <w:basedOn w:val="1"/>
    <w:link w:val="1305"/>
    <w:qFormat/>
    <w:uiPriority w:val="0"/>
    <w:pPr>
      <w:ind w:firstLine="460" w:firstLineChars="199"/>
    </w:pPr>
    <w:rPr>
      <w:rFonts w:ascii="Times New Roman" w:hAnsi="Times New Roman"/>
      <w:sz w:val="24"/>
      <w:szCs w:val="24"/>
    </w:rPr>
  </w:style>
  <w:style w:type="character" w:customStyle="1" w:styleId="1307">
    <w:name w:val="报告书正文 Char Char"/>
    <w:qFormat/>
    <w:uiPriority w:val="0"/>
    <w:rPr>
      <w:rFonts w:ascii="Arial" w:hAnsi="Arial"/>
      <w:sz w:val="24"/>
      <w:szCs w:val="24"/>
    </w:rPr>
  </w:style>
  <w:style w:type="character" w:customStyle="1" w:styleId="1308">
    <w:name w:val="正文-ls Char Char"/>
    <w:qFormat/>
    <w:uiPriority w:val="0"/>
    <w:rPr>
      <w:rFonts w:hAnsi="宋体" w:cs="宋体"/>
      <w:kern w:val="2"/>
      <w:sz w:val="24"/>
    </w:rPr>
  </w:style>
  <w:style w:type="character" w:customStyle="1" w:styleId="1309">
    <w:name w:val="asg1"/>
    <w:qFormat/>
    <w:uiPriority w:val="0"/>
    <w:rPr>
      <w:sz w:val="18"/>
      <w:szCs w:val="18"/>
    </w:rPr>
  </w:style>
  <w:style w:type="character" w:customStyle="1" w:styleId="1310">
    <w:name w:val="3-3-3 Char Char"/>
    <w:link w:val="1311"/>
    <w:qFormat/>
    <w:uiPriority w:val="0"/>
    <w:rPr>
      <w:rFonts w:eastAsia="黑体"/>
      <w:kern w:val="2"/>
      <w:sz w:val="24"/>
      <w:szCs w:val="24"/>
    </w:rPr>
  </w:style>
  <w:style w:type="paragraph" w:customStyle="1" w:styleId="1311">
    <w:name w:val="3-3-3"/>
    <w:basedOn w:val="1"/>
    <w:link w:val="1310"/>
    <w:qFormat/>
    <w:uiPriority w:val="0"/>
    <w:pPr>
      <w:keepNext/>
      <w:keepLines/>
      <w:tabs>
        <w:tab w:val="left" w:pos="720"/>
      </w:tabs>
      <w:ind w:firstLine="462" w:firstLineChars="200"/>
      <w:outlineLvl w:val="2"/>
    </w:pPr>
    <w:rPr>
      <w:rFonts w:ascii="Times New Roman" w:hAnsi="Times New Roman" w:eastAsia="黑体"/>
      <w:sz w:val="24"/>
      <w:szCs w:val="24"/>
    </w:rPr>
  </w:style>
  <w:style w:type="character" w:customStyle="1" w:styleId="1312">
    <w:name w:val="666666-正文文本 Char"/>
    <w:link w:val="1313"/>
    <w:qFormat/>
    <w:uiPriority w:val="0"/>
    <w:rPr>
      <w:kern w:val="2"/>
      <w:sz w:val="24"/>
      <w:szCs w:val="24"/>
    </w:rPr>
  </w:style>
  <w:style w:type="paragraph" w:customStyle="1" w:styleId="1313">
    <w:name w:val="666666-正文文本"/>
    <w:link w:val="1312"/>
    <w:qFormat/>
    <w:uiPriority w:val="0"/>
    <w:pPr>
      <w:autoSpaceDE w:val="0"/>
      <w:autoSpaceDN w:val="0"/>
      <w:adjustRightInd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314">
    <w:name w:val="title21"/>
    <w:qFormat/>
    <w:uiPriority w:val="0"/>
    <w:rPr>
      <w:color w:val="9E3821"/>
      <w:sz w:val="18"/>
      <w:szCs w:val="18"/>
    </w:rPr>
  </w:style>
  <w:style w:type="character" w:customStyle="1" w:styleId="1315">
    <w:name w:val="x文 Char Char"/>
    <w:link w:val="1316"/>
    <w:qFormat/>
    <w:uiPriority w:val="0"/>
    <w:rPr>
      <w:rFonts w:ascii="宋体" w:hAnsi="宋体"/>
      <w:kern w:val="2"/>
      <w:sz w:val="24"/>
    </w:rPr>
  </w:style>
  <w:style w:type="paragraph" w:customStyle="1" w:styleId="1316">
    <w:name w:val="x文"/>
    <w:basedOn w:val="1"/>
    <w:link w:val="1315"/>
    <w:qFormat/>
    <w:uiPriority w:val="0"/>
    <w:pPr>
      <w:spacing w:line="360" w:lineRule="auto"/>
      <w:ind w:firstLine="480" w:firstLineChars="200"/>
    </w:pPr>
    <w:rPr>
      <w:rFonts w:ascii="宋体" w:hAnsi="宋体"/>
      <w:sz w:val="24"/>
      <w:szCs w:val="20"/>
    </w:rPr>
  </w:style>
  <w:style w:type="character" w:customStyle="1" w:styleId="1317">
    <w:name w:val="可研报告正文 Char Char"/>
    <w:link w:val="1318"/>
    <w:qFormat/>
    <w:uiPriority w:val="0"/>
    <w:rPr>
      <w:kern w:val="2"/>
      <w:sz w:val="24"/>
      <w:szCs w:val="24"/>
    </w:rPr>
  </w:style>
  <w:style w:type="paragraph" w:customStyle="1" w:styleId="1318">
    <w:name w:val="可研报告正文"/>
    <w:basedOn w:val="1"/>
    <w:link w:val="1317"/>
    <w:qFormat/>
    <w:uiPriority w:val="0"/>
    <w:pPr>
      <w:tabs>
        <w:tab w:val="left" w:pos="5880"/>
      </w:tabs>
      <w:spacing w:beforeLines="50" w:line="440" w:lineRule="exact"/>
      <w:ind w:left="425" w:firstLine="482"/>
    </w:pPr>
    <w:rPr>
      <w:rFonts w:ascii="Times New Roman" w:hAnsi="Times New Roman"/>
      <w:sz w:val="24"/>
      <w:szCs w:val="24"/>
    </w:rPr>
  </w:style>
  <w:style w:type="character" w:customStyle="1" w:styleId="1319">
    <w:name w:val="fontstyle01"/>
    <w:qFormat/>
    <w:uiPriority w:val="0"/>
    <w:rPr>
      <w:rFonts w:hint="eastAsia" w:ascii="宋体" w:hAnsi="宋体" w:eastAsia="宋体"/>
      <w:color w:val="000000"/>
      <w:sz w:val="24"/>
      <w:szCs w:val="24"/>
    </w:rPr>
  </w:style>
  <w:style w:type="character" w:customStyle="1" w:styleId="1320">
    <w:name w:val="666666-正文 Char"/>
    <w:qFormat/>
    <w:uiPriority w:val="0"/>
    <w:rPr>
      <w:rFonts w:ascii="Times New Roman" w:hAnsi="Times New Roman" w:eastAsia="宋体" w:cs="Times New Roman"/>
      <w:sz w:val="24"/>
      <w:szCs w:val="20"/>
      <w:lang w:val="zh-CN"/>
    </w:rPr>
  </w:style>
  <w:style w:type="character" w:customStyle="1" w:styleId="1321">
    <w:name w:val="表格内容 Char Char"/>
    <w:link w:val="1322"/>
    <w:qFormat/>
    <w:uiPriority w:val="0"/>
    <w:rPr>
      <w:rFonts w:ascii="Arial" w:hAnsi="Arial" w:eastAsia="仿宋_GB2312"/>
      <w:sz w:val="24"/>
    </w:rPr>
  </w:style>
  <w:style w:type="paragraph" w:customStyle="1" w:styleId="1322">
    <w:name w:val="表格内容"/>
    <w:basedOn w:val="1"/>
    <w:link w:val="1321"/>
    <w:qFormat/>
    <w:uiPriority w:val="0"/>
    <w:pPr>
      <w:overflowPunct w:val="0"/>
      <w:adjustRightInd w:val="0"/>
      <w:spacing w:before="40" w:after="60" w:line="200" w:lineRule="atLeast"/>
      <w:textAlignment w:val="baseline"/>
    </w:pPr>
    <w:rPr>
      <w:rFonts w:ascii="Arial" w:hAnsi="Arial" w:eastAsia="仿宋_GB2312"/>
      <w:kern w:val="0"/>
      <w:sz w:val="24"/>
      <w:szCs w:val="20"/>
    </w:rPr>
  </w:style>
  <w:style w:type="character" w:customStyle="1" w:styleId="1323">
    <w:name w:val="标题 3 Char Char2"/>
    <w:qFormat/>
    <w:uiPriority w:val="0"/>
    <w:rPr>
      <w:rFonts w:eastAsia="宋体"/>
      <w:b/>
      <w:bCs/>
      <w:kern w:val="2"/>
      <w:sz w:val="32"/>
      <w:szCs w:val="32"/>
      <w:lang w:val="en-US" w:eastAsia="zh-CN" w:bidi="ar-SA"/>
    </w:rPr>
  </w:style>
  <w:style w:type="character" w:customStyle="1" w:styleId="1324">
    <w:name w:val="正文 Char Char"/>
    <w:link w:val="1325"/>
    <w:qFormat/>
    <w:uiPriority w:val="0"/>
    <w:rPr>
      <w:rFonts w:ascii="宋体" w:hAnsi="宋体" w:cs="宋体"/>
      <w:kern w:val="2"/>
      <w:sz w:val="24"/>
      <w:szCs w:val="24"/>
    </w:rPr>
  </w:style>
  <w:style w:type="paragraph" w:customStyle="1" w:styleId="1325">
    <w:name w:val="正文3"/>
    <w:basedOn w:val="1"/>
    <w:next w:val="1"/>
    <w:link w:val="1324"/>
    <w:qFormat/>
    <w:uiPriority w:val="0"/>
    <w:pPr>
      <w:spacing w:line="529" w:lineRule="exact"/>
      <w:ind w:firstLine="200" w:firstLineChars="200"/>
    </w:pPr>
    <w:rPr>
      <w:rFonts w:ascii="宋体" w:hAnsi="宋体" w:cs="宋体"/>
      <w:sz w:val="24"/>
      <w:szCs w:val="24"/>
    </w:rPr>
  </w:style>
  <w:style w:type="character" w:customStyle="1" w:styleId="1326">
    <w:name w:val="666666-表头儿 Char Char"/>
    <w:link w:val="1327"/>
    <w:qFormat/>
    <w:uiPriority w:val="0"/>
    <w:rPr>
      <w:rFonts w:eastAsia="黑体"/>
      <w:kern w:val="2"/>
      <w:sz w:val="21"/>
    </w:rPr>
  </w:style>
  <w:style w:type="paragraph" w:customStyle="1" w:styleId="1327">
    <w:name w:val="666666-表头儿"/>
    <w:basedOn w:val="1"/>
    <w:link w:val="1326"/>
    <w:qFormat/>
    <w:uiPriority w:val="0"/>
    <w:pPr>
      <w:spacing w:line="440" w:lineRule="exact"/>
      <w:jc w:val="center"/>
    </w:pPr>
    <w:rPr>
      <w:rFonts w:ascii="Times New Roman" w:hAnsi="Times New Roman" w:eastAsia="黑体"/>
      <w:szCs w:val="20"/>
    </w:rPr>
  </w:style>
  <w:style w:type="character" w:customStyle="1" w:styleId="1328">
    <w:name w:val="Se Char1"/>
    <w:qFormat/>
    <w:uiPriority w:val="0"/>
    <w:rPr>
      <w:rFonts w:eastAsia="宋体"/>
      <w:kern w:val="2"/>
      <w:sz w:val="21"/>
      <w:lang w:val="en-US" w:eastAsia="zh-CN" w:bidi="ar-SA"/>
    </w:rPr>
  </w:style>
  <w:style w:type="character" w:customStyle="1" w:styleId="1329">
    <w:name w:val="样式1 Char Char"/>
    <w:qFormat/>
    <w:uiPriority w:val="0"/>
    <w:rPr>
      <w:rFonts w:ascii="宋体" w:hAnsi="宋体" w:eastAsia="宋体"/>
      <w:color w:val="000000"/>
      <w:kern w:val="2"/>
      <w:sz w:val="24"/>
      <w:szCs w:val="24"/>
      <w:lang w:val="en-US" w:eastAsia="zh-CN" w:bidi="ar-SA"/>
    </w:rPr>
  </w:style>
  <w:style w:type="character" w:customStyle="1" w:styleId="1330">
    <w:name w:val="页眉1 Char"/>
    <w:qFormat/>
    <w:uiPriority w:val="0"/>
    <w:rPr>
      <w:rFonts w:eastAsia="宋体"/>
      <w:kern w:val="2"/>
      <w:sz w:val="18"/>
      <w:szCs w:val="18"/>
      <w:lang w:val="en-US" w:eastAsia="zh-CN" w:bidi="ar-SA"/>
    </w:rPr>
  </w:style>
  <w:style w:type="character" w:customStyle="1" w:styleId="1331">
    <w:name w:val="Char Char Char2"/>
    <w:qFormat/>
    <w:uiPriority w:val="0"/>
    <w:rPr>
      <w:rFonts w:ascii="宋体" w:hAnsi="Courier New" w:cs="Courier New"/>
      <w:kern w:val="2"/>
      <w:sz w:val="24"/>
      <w:szCs w:val="24"/>
    </w:rPr>
  </w:style>
  <w:style w:type="character" w:customStyle="1" w:styleId="1332">
    <w:name w:val="fontstyle11"/>
    <w:qFormat/>
    <w:uiPriority w:val="0"/>
    <w:rPr>
      <w:rFonts w:hint="default" w:ascii="Times New Roman" w:hAnsi="Times New Roman" w:cs="Times New Roman"/>
      <w:color w:val="000000"/>
      <w:sz w:val="24"/>
      <w:szCs w:val="24"/>
    </w:rPr>
  </w:style>
  <w:style w:type="character" w:customStyle="1" w:styleId="1333">
    <w:name w:val="样式1 Char"/>
    <w:qFormat/>
    <w:uiPriority w:val="0"/>
    <w:rPr>
      <w:rFonts w:ascii="Times New Roman" w:hAnsi="Times New Roman"/>
      <w:kern w:val="2"/>
      <w:sz w:val="21"/>
      <w:szCs w:val="21"/>
    </w:rPr>
  </w:style>
  <w:style w:type="character" w:customStyle="1" w:styleId="1334">
    <w:name w:val="0正文 Char"/>
    <w:qFormat/>
    <w:uiPriority w:val="0"/>
    <w:rPr>
      <w:color w:val="0000FF"/>
      <w:sz w:val="24"/>
      <w:szCs w:val="24"/>
      <w:lang w:bidi="ar-SA"/>
    </w:rPr>
  </w:style>
  <w:style w:type="character" w:customStyle="1" w:styleId="1335">
    <w:name w:val="表头 Char1"/>
    <w:qFormat/>
    <w:uiPriority w:val="0"/>
    <w:rPr>
      <w:rFonts w:ascii="Times New Roman" w:hAnsi="宋体"/>
      <w:color w:val="000000"/>
      <w:sz w:val="24"/>
      <w:szCs w:val="24"/>
    </w:rPr>
  </w:style>
  <w:style w:type="character" w:customStyle="1" w:styleId="1336">
    <w:name w:val="标题4 Char"/>
    <w:qFormat/>
    <w:uiPriority w:val="0"/>
    <w:rPr>
      <w:rFonts w:ascii="Times New Roman" w:hAnsi="Times New Roman" w:eastAsia="宋体" w:cs="Times New Roman"/>
      <w:sz w:val="24"/>
      <w:szCs w:val="24"/>
    </w:rPr>
  </w:style>
  <w:style w:type="character" w:customStyle="1" w:styleId="1337">
    <w:name w:val="fontstyle21"/>
    <w:qFormat/>
    <w:uiPriority w:val="0"/>
    <w:rPr>
      <w:rFonts w:hint="default" w:ascii="TimesNewRomanPSMT" w:hAnsi="TimesNewRomanPSMT"/>
      <w:color w:val="000000"/>
      <w:sz w:val="24"/>
      <w:szCs w:val="24"/>
    </w:rPr>
  </w:style>
  <w:style w:type="character" w:customStyle="1" w:styleId="1338">
    <w:name w:val="f14b1"/>
    <w:qFormat/>
    <w:uiPriority w:val="0"/>
    <w:rPr>
      <w:b/>
      <w:bCs/>
      <w:sz w:val="21"/>
      <w:szCs w:val="21"/>
    </w:rPr>
  </w:style>
  <w:style w:type="character" w:customStyle="1" w:styleId="1339">
    <w:name w:val="样式 标题 3头条标题1.1.1标题 3 Char标题 33标题 3 Char1标题 3 Char Char Ch... Char Char"/>
    <w:link w:val="1340"/>
    <w:qFormat/>
    <w:uiPriority w:val="0"/>
    <w:rPr>
      <w:rFonts w:eastAsia="仿宋_GB2312"/>
      <w:bCs/>
      <w:kern w:val="2"/>
      <w:sz w:val="24"/>
      <w:szCs w:val="24"/>
    </w:rPr>
  </w:style>
  <w:style w:type="paragraph" w:customStyle="1" w:styleId="1340">
    <w:name w:val="样式 标题 3头条标题1.1.1标题 3 Char标题 33标题 3 Char1标题 3 Char Char Ch..."/>
    <w:basedOn w:val="7"/>
    <w:link w:val="1339"/>
    <w:qFormat/>
    <w:uiPriority w:val="0"/>
    <w:pPr>
      <w:numPr>
        <w:ilvl w:val="0"/>
        <w:numId w:val="0"/>
      </w:numPr>
      <w:tabs>
        <w:tab w:val="clear" w:pos="630"/>
      </w:tabs>
      <w:spacing w:before="0" w:beforeLines="0" w:after="0" w:afterLines="0" w:line="240" w:lineRule="auto"/>
      <w:ind w:firstLine="462" w:firstLineChars="200"/>
      <w:jc w:val="left"/>
      <w:outlineLvl w:val="9"/>
    </w:pPr>
    <w:rPr>
      <w:rFonts w:eastAsia="仿宋_GB2312"/>
      <w:b w:val="0"/>
      <w:sz w:val="24"/>
      <w:szCs w:val="24"/>
    </w:rPr>
  </w:style>
  <w:style w:type="character" w:customStyle="1" w:styleId="1341">
    <w:name w:val="我热正文 Char"/>
    <w:link w:val="1342"/>
    <w:qFormat/>
    <w:uiPriority w:val="0"/>
    <w:rPr>
      <w:rFonts w:ascii="宋体" w:hAnsi="宋体"/>
      <w:kern w:val="2"/>
      <w:sz w:val="24"/>
      <w:szCs w:val="24"/>
    </w:rPr>
  </w:style>
  <w:style w:type="paragraph" w:customStyle="1" w:styleId="1342">
    <w:name w:val="我热正文"/>
    <w:basedOn w:val="1"/>
    <w:link w:val="1341"/>
    <w:qFormat/>
    <w:uiPriority w:val="0"/>
    <w:pPr>
      <w:spacing w:line="440" w:lineRule="exact"/>
      <w:ind w:firstLine="200" w:firstLineChars="200"/>
    </w:pPr>
    <w:rPr>
      <w:rFonts w:ascii="宋体" w:hAnsi="宋体"/>
      <w:sz w:val="24"/>
      <w:szCs w:val="24"/>
    </w:rPr>
  </w:style>
  <w:style w:type="character" w:customStyle="1" w:styleId="1343">
    <w:name w:val="01正文 Char"/>
    <w:link w:val="1344"/>
    <w:qFormat/>
    <w:uiPriority w:val="0"/>
    <w:rPr>
      <w:rFonts w:ascii="Calibri" w:hAnsi="Calibri"/>
      <w:color w:val="00B050"/>
      <w:kern w:val="2"/>
      <w:sz w:val="24"/>
      <w:szCs w:val="22"/>
    </w:rPr>
  </w:style>
  <w:style w:type="paragraph" w:customStyle="1" w:styleId="1344">
    <w:name w:val="01正文"/>
    <w:basedOn w:val="1"/>
    <w:link w:val="1343"/>
    <w:qFormat/>
    <w:uiPriority w:val="0"/>
    <w:pPr>
      <w:tabs>
        <w:tab w:val="left" w:pos="5355"/>
      </w:tabs>
      <w:adjustRightInd w:val="0"/>
      <w:snapToGrid w:val="0"/>
      <w:spacing w:line="360" w:lineRule="auto"/>
      <w:ind w:firstLine="200" w:firstLineChars="200"/>
    </w:pPr>
    <w:rPr>
      <w:color w:val="00B050"/>
      <w:sz w:val="24"/>
    </w:rPr>
  </w:style>
  <w:style w:type="character" w:customStyle="1" w:styleId="1345">
    <w:name w:val="正文1 Char"/>
    <w:qFormat/>
    <w:uiPriority w:val="0"/>
    <w:rPr>
      <w:rFonts w:eastAsia="宋体"/>
      <w:kern w:val="2"/>
      <w:sz w:val="24"/>
      <w:szCs w:val="24"/>
      <w:lang w:val="en-US" w:eastAsia="zh-CN" w:bidi="ar-SA"/>
    </w:rPr>
  </w:style>
  <w:style w:type="character" w:customStyle="1" w:styleId="1346">
    <w:name w:val="标题 3 Char1 Char"/>
    <w:qFormat/>
    <w:uiPriority w:val="0"/>
    <w:rPr>
      <w:rFonts w:eastAsia="宋体"/>
      <w:b/>
      <w:bCs/>
      <w:kern w:val="2"/>
      <w:sz w:val="32"/>
      <w:szCs w:val="32"/>
      <w:lang w:val="en-US" w:eastAsia="zh-CN" w:bidi="ar-SA"/>
    </w:rPr>
  </w:style>
  <w:style w:type="character" w:customStyle="1" w:styleId="1347">
    <w:name w:val="666666-正文 Char Char"/>
    <w:link w:val="1348"/>
    <w:qFormat/>
    <w:uiPriority w:val="0"/>
    <w:rPr>
      <w:kern w:val="2"/>
      <w:sz w:val="24"/>
      <w:lang w:val="zh-CN"/>
    </w:rPr>
  </w:style>
  <w:style w:type="paragraph" w:customStyle="1" w:styleId="1348">
    <w:name w:val="666666-正文"/>
    <w:basedOn w:val="1"/>
    <w:link w:val="1347"/>
    <w:qFormat/>
    <w:uiPriority w:val="0"/>
    <w:pPr>
      <w:spacing w:line="440" w:lineRule="exact"/>
      <w:ind w:firstLine="200" w:firstLineChars="200"/>
    </w:pPr>
    <w:rPr>
      <w:rFonts w:ascii="Times New Roman" w:hAnsi="Times New Roman"/>
      <w:sz w:val="24"/>
      <w:szCs w:val="20"/>
      <w:lang w:val="zh-CN"/>
    </w:rPr>
  </w:style>
  <w:style w:type="character" w:customStyle="1" w:styleId="1349">
    <w:name w:val="链接"/>
    <w:qFormat/>
    <w:uiPriority w:val="0"/>
    <w:rPr>
      <w:color w:val="0000FF"/>
      <w:sz w:val="21"/>
      <w:szCs w:val="21"/>
      <w:u w:val="single"/>
      <w:lang w:val="zh-CN"/>
    </w:rPr>
  </w:style>
  <w:style w:type="character" w:customStyle="1" w:styleId="1350">
    <w:name w:val="表题 Char1"/>
    <w:basedOn w:val="101"/>
    <w:qFormat/>
    <w:uiPriority w:val="0"/>
    <w:rPr>
      <w:rFonts w:ascii="黑体" w:eastAsia="黑体"/>
      <w:kern w:val="16"/>
      <w:sz w:val="21"/>
    </w:rPr>
  </w:style>
  <w:style w:type="paragraph" w:customStyle="1" w:styleId="1351">
    <w:name w:val="样式 (中文) 黑体"/>
    <w:basedOn w:val="1"/>
    <w:qFormat/>
    <w:uiPriority w:val="0"/>
    <w:pPr>
      <w:ind w:firstLine="454" w:firstLineChars="200"/>
    </w:pPr>
    <w:rPr>
      <w:rFonts w:ascii="宋体" w:hAnsi="宋体" w:eastAsia="黑体" w:cs="宋体"/>
      <w:kern w:val="0"/>
      <w:sz w:val="24"/>
      <w:szCs w:val="20"/>
    </w:rPr>
  </w:style>
  <w:style w:type="paragraph" w:customStyle="1" w:styleId="1352">
    <w:name w:val="表格1"/>
    <w:basedOn w:val="1"/>
    <w:qFormat/>
    <w:uiPriority w:val="0"/>
    <w:pPr>
      <w:adjustRightInd w:val="0"/>
      <w:snapToGrid w:val="0"/>
      <w:jc w:val="center"/>
      <w:textAlignment w:val="baseline"/>
    </w:pPr>
    <w:rPr>
      <w:rFonts w:ascii="宋体" w:hAnsi="宋体" w:cs="宋体"/>
      <w:kern w:val="0"/>
      <w:szCs w:val="20"/>
    </w:rPr>
  </w:style>
  <w:style w:type="paragraph" w:customStyle="1" w:styleId="1353">
    <w:name w:val="666666-表中文字"/>
    <w:basedOn w:val="1"/>
    <w:qFormat/>
    <w:uiPriority w:val="0"/>
    <w:pPr>
      <w:jc w:val="center"/>
    </w:pPr>
    <w:rPr>
      <w:rFonts w:ascii="宋体" w:hAnsi="宋体" w:cs="宋体"/>
      <w:kern w:val="0"/>
      <w:szCs w:val="20"/>
    </w:rPr>
  </w:style>
  <w:style w:type="paragraph" w:customStyle="1" w:styleId="1354">
    <w:name w:val="标题03"/>
    <w:basedOn w:val="1"/>
    <w:next w:val="1"/>
    <w:qFormat/>
    <w:uiPriority w:val="0"/>
    <w:pPr>
      <w:spacing w:line="480" w:lineRule="atLeast"/>
      <w:ind w:firstLine="480"/>
    </w:pPr>
    <w:rPr>
      <w:rFonts w:ascii="宋体" w:hAnsi="宋体" w:cs="宋体"/>
      <w:b/>
      <w:bCs/>
      <w:kern w:val="0"/>
      <w:sz w:val="24"/>
      <w:szCs w:val="24"/>
    </w:rPr>
  </w:style>
  <w:style w:type="paragraph" w:customStyle="1" w:styleId="1355">
    <w:name w:val="样式 样式 样式 正文首行缩进 2 + 左侧:  2 字符 首行缩进:  2 字符1 + 首行缩进:  2 字符 + 首行缩进:..."/>
    <w:basedOn w:val="1"/>
    <w:qFormat/>
    <w:uiPriority w:val="0"/>
    <w:pPr>
      <w:spacing w:after="40" w:line="400" w:lineRule="exact"/>
      <w:ind w:firstLine="480" w:firstLineChars="200"/>
    </w:pPr>
    <w:rPr>
      <w:rFonts w:ascii="宋体" w:hAnsi="宋体" w:eastAsia="幼圆" w:cs="宋体"/>
      <w:kern w:val="0"/>
      <w:sz w:val="24"/>
      <w:szCs w:val="24"/>
    </w:rPr>
  </w:style>
  <w:style w:type="paragraph" w:customStyle="1" w:styleId="1356">
    <w:name w:val="p19"/>
    <w:basedOn w:val="1"/>
    <w:qFormat/>
    <w:uiPriority w:val="0"/>
    <w:pPr>
      <w:snapToGrid w:val="0"/>
      <w:spacing w:line="440" w:lineRule="atLeast"/>
      <w:ind w:firstLine="420"/>
    </w:pPr>
    <w:rPr>
      <w:rFonts w:ascii="宋体" w:hAnsi="宋体" w:cs="宋体"/>
      <w:kern w:val="0"/>
      <w:sz w:val="24"/>
      <w:szCs w:val="24"/>
    </w:rPr>
  </w:style>
  <w:style w:type="paragraph" w:customStyle="1" w:styleId="1357">
    <w:name w:val="表内字"/>
    <w:qFormat/>
    <w:uiPriority w:val="0"/>
    <w:pPr>
      <w:snapToGrid w:val="0"/>
      <w:spacing w:before="20" w:after="20"/>
      <w:jc w:val="center"/>
    </w:pPr>
    <w:rPr>
      <w:rFonts w:ascii="Times New Roman" w:hAnsi="Times New Roman" w:eastAsia="宋体" w:cs="Times New Roman"/>
      <w:color w:val="000000"/>
      <w:sz w:val="21"/>
      <w:lang w:val="en-US" w:eastAsia="zh-CN" w:bidi="ar-SA"/>
    </w:rPr>
  </w:style>
  <w:style w:type="paragraph" w:customStyle="1" w:styleId="1358">
    <w:name w:val="C2"/>
    <w:basedOn w:val="1"/>
    <w:qFormat/>
    <w:uiPriority w:val="0"/>
    <w:rPr>
      <w:rFonts w:ascii="宋体" w:hAnsi="宋体" w:cs="宋体"/>
      <w:kern w:val="0"/>
      <w:sz w:val="28"/>
      <w:szCs w:val="20"/>
    </w:rPr>
  </w:style>
  <w:style w:type="paragraph" w:customStyle="1" w:styleId="1359">
    <w:name w:val="gdcss"/>
    <w:basedOn w:val="1"/>
    <w:qFormat/>
    <w:uiPriority w:val="0"/>
    <w:pPr>
      <w:spacing w:before="100" w:beforeAutospacing="1" w:after="100" w:afterAutospacing="1"/>
    </w:pPr>
    <w:rPr>
      <w:rFonts w:ascii="宋体" w:hAnsi="宋体" w:cs="宋体"/>
      <w:kern w:val="0"/>
      <w:sz w:val="24"/>
      <w:szCs w:val="24"/>
    </w:rPr>
  </w:style>
  <w:style w:type="paragraph" w:customStyle="1" w:styleId="1360">
    <w:name w:val="样式 标题 4 + 悬挂缩进: 1.54 字符"/>
    <w:basedOn w:val="3"/>
    <w:qFormat/>
    <w:uiPriority w:val="0"/>
    <w:pPr>
      <w:numPr>
        <w:ilvl w:val="0"/>
        <w:numId w:val="0"/>
      </w:numPr>
      <w:tabs>
        <w:tab w:val="left" w:pos="1751"/>
      </w:tabs>
      <w:spacing w:line="440" w:lineRule="exact"/>
      <w:jc w:val="left"/>
    </w:pPr>
    <w:rPr>
      <w:rFonts w:ascii="宋体" w:hAnsi="Arial" w:cs="宋体"/>
      <w:b w:val="0"/>
      <w:bCs w:val="0"/>
      <w:kern w:val="0"/>
      <w:szCs w:val="20"/>
    </w:rPr>
  </w:style>
  <w:style w:type="paragraph" w:customStyle="1" w:styleId="1361">
    <w:name w:val="TEXT"/>
    <w:basedOn w:val="1"/>
    <w:qFormat/>
    <w:uiPriority w:val="0"/>
    <w:pPr>
      <w:jc w:val="center"/>
    </w:pPr>
    <w:rPr>
      <w:rFonts w:ascii="宋体" w:hAnsi="宋体" w:cs="宋体"/>
      <w:color w:val="339966"/>
      <w:kern w:val="0"/>
      <w:szCs w:val="21"/>
      <w:lang w:val="zh-CN"/>
    </w:rPr>
  </w:style>
  <w:style w:type="paragraph" w:customStyle="1" w:styleId="1362">
    <w:name w:val="样式 小四 红色 行距: 1.5 倍行距"/>
    <w:basedOn w:val="1"/>
    <w:next w:val="1"/>
    <w:qFormat/>
    <w:uiPriority w:val="0"/>
    <w:pPr>
      <w:spacing w:line="360" w:lineRule="auto"/>
      <w:ind w:firstLine="480" w:firstLineChars="200"/>
    </w:pPr>
    <w:rPr>
      <w:rFonts w:ascii="宋体" w:hAnsi="宋体" w:cs="宋体"/>
      <w:color w:val="FF0000"/>
      <w:kern w:val="0"/>
      <w:sz w:val="24"/>
      <w:szCs w:val="20"/>
    </w:rPr>
  </w:style>
  <w:style w:type="paragraph" w:customStyle="1" w:styleId="1363">
    <w:name w:val="z-窗体顶端1"/>
    <w:basedOn w:val="1"/>
    <w:next w:val="1"/>
    <w:link w:val="1364"/>
    <w:qFormat/>
    <w:uiPriority w:val="0"/>
    <w:pPr>
      <w:pBdr>
        <w:bottom w:val="single" w:color="auto" w:sz="6" w:space="1"/>
      </w:pBdr>
      <w:jc w:val="center"/>
    </w:pPr>
    <w:rPr>
      <w:rFonts w:ascii="Arial" w:hAnsi="Arial" w:cs="Arial"/>
      <w:vanish/>
      <w:kern w:val="0"/>
      <w:sz w:val="16"/>
      <w:szCs w:val="16"/>
    </w:rPr>
  </w:style>
  <w:style w:type="character" w:customStyle="1" w:styleId="1364">
    <w:name w:val="z-窗体顶端 Char"/>
    <w:link w:val="1363"/>
    <w:qFormat/>
    <w:uiPriority w:val="0"/>
    <w:rPr>
      <w:rFonts w:ascii="Arial" w:hAnsi="Arial" w:cs="Arial"/>
      <w:vanish/>
      <w:sz w:val="16"/>
      <w:szCs w:val="16"/>
    </w:rPr>
  </w:style>
  <w:style w:type="paragraph" w:customStyle="1" w:styleId="1365">
    <w:name w:val="reader-word-layer"/>
    <w:basedOn w:val="1"/>
    <w:qFormat/>
    <w:uiPriority w:val="0"/>
    <w:pPr>
      <w:spacing w:before="100" w:beforeAutospacing="1" w:after="100" w:afterAutospacing="1"/>
    </w:pPr>
    <w:rPr>
      <w:rFonts w:ascii="宋体" w:hAnsi="宋体" w:cs="宋体"/>
      <w:kern w:val="0"/>
      <w:sz w:val="24"/>
      <w:szCs w:val="24"/>
    </w:rPr>
  </w:style>
  <w:style w:type="paragraph" w:customStyle="1" w:styleId="1366">
    <w:name w:val="图表标题"/>
    <w:basedOn w:val="1"/>
    <w:link w:val="1367"/>
    <w:qFormat/>
    <w:uiPriority w:val="0"/>
    <w:pPr>
      <w:spacing w:beforeLines="50" w:afterLines="50"/>
      <w:jc w:val="center"/>
    </w:pPr>
    <w:rPr>
      <w:rFonts w:ascii="宋体" w:hAnsi="宋体" w:cs="宋体"/>
      <w:b/>
      <w:kern w:val="0"/>
      <w:sz w:val="24"/>
      <w:szCs w:val="24"/>
    </w:rPr>
  </w:style>
  <w:style w:type="character" w:customStyle="1" w:styleId="1367">
    <w:name w:val="图表标题 Char"/>
    <w:link w:val="1366"/>
    <w:qFormat/>
    <w:uiPriority w:val="0"/>
    <w:rPr>
      <w:rFonts w:ascii="宋体" w:hAnsi="宋体" w:cs="宋体"/>
      <w:b/>
      <w:sz w:val="24"/>
      <w:szCs w:val="24"/>
    </w:rPr>
  </w:style>
  <w:style w:type="paragraph" w:customStyle="1" w:styleId="1368">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1369">
    <w:name w:val="Char Char2 Char Char Char Char Char Char"/>
    <w:basedOn w:val="1"/>
    <w:qFormat/>
    <w:uiPriority w:val="0"/>
    <w:pPr>
      <w:spacing w:line="360" w:lineRule="auto"/>
    </w:pPr>
    <w:rPr>
      <w:rFonts w:ascii="宋体" w:hAnsi="宋体" w:cs="宋体"/>
      <w:kern w:val="0"/>
      <w:sz w:val="22"/>
      <w:szCs w:val="24"/>
    </w:rPr>
  </w:style>
  <w:style w:type="paragraph" w:customStyle="1" w:styleId="1370">
    <w:name w:val="Char Char22 Char Char"/>
    <w:basedOn w:val="1"/>
    <w:qFormat/>
    <w:uiPriority w:val="0"/>
    <w:pPr>
      <w:spacing w:after="160" w:line="240" w:lineRule="exact"/>
      <w:ind w:firstLine="1040" w:firstLineChars="200"/>
    </w:pPr>
    <w:rPr>
      <w:rFonts w:ascii="宋体" w:hAnsi="宋体" w:cs="宋体"/>
      <w:kern w:val="0"/>
      <w:sz w:val="24"/>
      <w:szCs w:val="20"/>
    </w:rPr>
  </w:style>
  <w:style w:type="paragraph" w:customStyle="1" w:styleId="1371">
    <w:name w:val="p24"/>
    <w:basedOn w:val="1"/>
    <w:qFormat/>
    <w:uiPriority w:val="0"/>
    <w:pPr>
      <w:snapToGrid w:val="0"/>
      <w:spacing w:line="440" w:lineRule="atLeast"/>
      <w:ind w:firstLine="420"/>
    </w:pPr>
    <w:rPr>
      <w:rFonts w:ascii="宋体" w:hAnsi="宋体" w:cs="宋体"/>
      <w:kern w:val="0"/>
      <w:sz w:val="24"/>
      <w:szCs w:val="24"/>
    </w:rPr>
  </w:style>
  <w:style w:type="paragraph" w:customStyle="1" w:styleId="1372">
    <w:name w:val="默认段落字体 Para Char Char Char Char Char Char Char Char Char Char Char Char Char"/>
    <w:basedOn w:val="1"/>
    <w:qFormat/>
    <w:uiPriority w:val="0"/>
    <w:rPr>
      <w:rFonts w:ascii="宋体" w:hAnsi="宋体" w:cs="宋体"/>
      <w:kern w:val="0"/>
      <w:szCs w:val="24"/>
    </w:rPr>
  </w:style>
  <w:style w:type="paragraph" w:customStyle="1" w:styleId="1373">
    <w:name w:val="节标题"/>
    <w:basedOn w:val="1"/>
    <w:next w:val="1"/>
    <w:qFormat/>
    <w:uiPriority w:val="0"/>
    <w:pPr>
      <w:autoSpaceDE w:val="0"/>
      <w:autoSpaceDN w:val="0"/>
      <w:adjustRightInd w:val="0"/>
      <w:spacing w:line="289" w:lineRule="atLeast"/>
      <w:jc w:val="center"/>
    </w:pPr>
    <w:rPr>
      <w:rFonts w:ascii="宋体" w:hAnsi="宋体" w:cs="宋体"/>
      <w:color w:val="000000"/>
      <w:kern w:val="0"/>
      <w:sz w:val="24"/>
      <w:szCs w:val="28"/>
      <w:lang w:val="zh-CN"/>
    </w:rPr>
  </w:style>
  <w:style w:type="paragraph" w:customStyle="1" w:styleId="1374">
    <w:name w:val="正文，文本"/>
    <w:basedOn w:val="2"/>
    <w:qFormat/>
    <w:uiPriority w:val="0"/>
    <w:pPr>
      <w:spacing w:line="360" w:lineRule="auto"/>
      <w:ind w:firstLine="480"/>
    </w:pPr>
    <w:rPr>
      <w:rFonts w:ascii="宋体" w:hAnsi="宋体" w:cs="宋体"/>
      <w:kern w:val="0"/>
      <w:sz w:val="24"/>
      <w:szCs w:val="20"/>
    </w:rPr>
  </w:style>
  <w:style w:type="paragraph" w:customStyle="1" w:styleId="1375">
    <w:name w:val="z-窗体底端1"/>
    <w:basedOn w:val="1"/>
    <w:next w:val="1"/>
    <w:link w:val="1376"/>
    <w:qFormat/>
    <w:uiPriority w:val="0"/>
    <w:pPr>
      <w:pBdr>
        <w:top w:val="single" w:color="auto" w:sz="6" w:space="1"/>
      </w:pBdr>
      <w:jc w:val="center"/>
    </w:pPr>
    <w:rPr>
      <w:rFonts w:ascii="Arial" w:hAnsi="Arial" w:cs="Arial"/>
      <w:vanish/>
      <w:kern w:val="0"/>
      <w:sz w:val="16"/>
      <w:szCs w:val="16"/>
    </w:rPr>
  </w:style>
  <w:style w:type="character" w:customStyle="1" w:styleId="1376">
    <w:name w:val="z-窗体底端 Char"/>
    <w:link w:val="1375"/>
    <w:qFormat/>
    <w:uiPriority w:val="0"/>
    <w:rPr>
      <w:rFonts w:ascii="Arial" w:hAnsi="Arial" w:cs="Arial"/>
      <w:vanish/>
      <w:sz w:val="16"/>
      <w:szCs w:val="16"/>
    </w:rPr>
  </w:style>
  <w:style w:type="paragraph" w:customStyle="1" w:styleId="1377">
    <w:name w:val="表内式样"/>
    <w:qFormat/>
    <w:uiPriority w:val="0"/>
    <w:pPr>
      <w:keepLines/>
      <w:widowControl w:val="0"/>
      <w:kinsoku w:val="0"/>
      <w:overflowPunct w:val="0"/>
      <w:adjustRightInd w:val="0"/>
      <w:spacing w:line="240" w:lineRule="atLeast"/>
      <w:jc w:val="center"/>
    </w:pPr>
    <w:rPr>
      <w:rFonts w:ascii="宋体" w:hAnsi="Times New Roman" w:eastAsia="宋体" w:cs="Times New Roman"/>
      <w:kern w:val="21"/>
      <w:sz w:val="21"/>
      <w:lang w:val="en-US" w:eastAsia="zh-CN" w:bidi="ar-SA"/>
    </w:rPr>
  </w:style>
  <w:style w:type="paragraph" w:customStyle="1" w:styleId="1378">
    <w:name w:val="表文字 Char Char Char Char"/>
    <w:qFormat/>
    <w:uiPriority w:val="0"/>
    <w:pPr>
      <w:spacing w:line="300" w:lineRule="exact"/>
    </w:pPr>
    <w:rPr>
      <w:rFonts w:ascii="Times New Roman" w:hAnsi="Times New Roman" w:eastAsia="宋体" w:cs="Times New Roman"/>
      <w:kern w:val="2"/>
      <w:sz w:val="21"/>
      <w:szCs w:val="21"/>
      <w:lang w:val="en-US" w:eastAsia="zh-CN" w:bidi="ar-SA"/>
    </w:rPr>
  </w:style>
  <w:style w:type="paragraph" w:customStyle="1" w:styleId="1379">
    <w:name w:val="样式 小四 加粗 红色 居中"/>
    <w:basedOn w:val="1"/>
    <w:next w:val="1"/>
    <w:qFormat/>
    <w:uiPriority w:val="0"/>
    <w:pPr>
      <w:jc w:val="center"/>
    </w:pPr>
    <w:rPr>
      <w:rFonts w:ascii="宋体" w:hAnsi="宋体" w:cs="宋体"/>
      <w:b/>
      <w:bCs/>
      <w:color w:val="FF0000"/>
      <w:kern w:val="0"/>
      <w:sz w:val="24"/>
      <w:szCs w:val="20"/>
    </w:rPr>
  </w:style>
  <w:style w:type="paragraph" w:customStyle="1" w:styleId="1380">
    <w:name w:val="样式 四号 首行缩进:  2 字符"/>
    <w:basedOn w:val="1"/>
    <w:qFormat/>
    <w:uiPriority w:val="0"/>
    <w:pPr>
      <w:spacing w:line="480" w:lineRule="atLeast"/>
      <w:ind w:firstLine="480" w:firstLineChars="200"/>
    </w:pPr>
    <w:rPr>
      <w:rFonts w:ascii="宋体" w:hAnsi="宋体" w:eastAsia="仿宋_GB2312" w:cs="宋体"/>
      <w:kern w:val="0"/>
      <w:sz w:val="24"/>
      <w:szCs w:val="24"/>
    </w:rPr>
  </w:style>
  <w:style w:type="paragraph" w:customStyle="1" w:styleId="1381">
    <w:name w:val="目录3"/>
    <w:basedOn w:val="1"/>
    <w:next w:val="1"/>
    <w:qFormat/>
    <w:uiPriority w:val="0"/>
    <w:pPr>
      <w:tabs>
        <w:tab w:val="left" w:leader="dot" w:pos="8503"/>
      </w:tabs>
      <w:autoSpaceDE w:val="0"/>
      <w:autoSpaceDN w:val="0"/>
      <w:adjustRightInd w:val="0"/>
      <w:spacing w:line="317" w:lineRule="atLeast"/>
      <w:ind w:left="419" w:firstLine="419"/>
    </w:pPr>
    <w:rPr>
      <w:rFonts w:ascii="宋体" w:hAnsi="宋体" w:cs="宋体"/>
      <w:color w:val="000000"/>
      <w:kern w:val="0"/>
      <w:sz w:val="24"/>
      <w:szCs w:val="24"/>
      <w:lang w:val="zh-CN"/>
    </w:rPr>
  </w:style>
  <w:style w:type="paragraph" w:customStyle="1" w:styleId="1382">
    <w:name w:val="word"/>
    <w:basedOn w:val="1"/>
    <w:qFormat/>
    <w:uiPriority w:val="0"/>
    <w:pPr>
      <w:ind w:firstLine="462" w:firstLineChars="200"/>
    </w:pPr>
    <w:rPr>
      <w:rFonts w:ascii="宋体" w:hAnsi="宋体" w:cs="宋体"/>
      <w:snapToGrid w:val="0"/>
      <w:color w:val="00B050"/>
      <w:kern w:val="0"/>
      <w:sz w:val="24"/>
      <w:szCs w:val="24"/>
    </w:rPr>
  </w:style>
  <w:style w:type="paragraph" w:customStyle="1" w:styleId="1383">
    <w:name w:val="1正文段落"/>
    <w:basedOn w:val="1"/>
    <w:qFormat/>
    <w:uiPriority w:val="0"/>
    <w:pPr>
      <w:spacing w:line="360" w:lineRule="auto"/>
      <w:ind w:firstLine="480" w:firstLineChars="200"/>
    </w:pPr>
    <w:rPr>
      <w:rFonts w:ascii="宋体" w:hAnsi="宋体" w:cs="宋体"/>
      <w:snapToGrid w:val="0"/>
      <w:kern w:val="0"/>
      <w:sz w:val="24"/>
      <w:szCs w:val="24"/>
    </w:rPr>
  </w:style>
  <w:style w:type="paragraph" w:customStyle="1" w:styleId="1384">
    <w:name w:val="HP-前言"/>
    <w:qFormat/>
    <w:uiPriority w:val="0"/>
    <w:pPr>
      <w:spacing w:before="100" w:beforeAutospacing="1" w:after="100" w:afterAutospacing="1"/>
      <w:jc w:val="center"/>
    </w:pPr>
    <w:rPr>
      <w:rFonts w:ascii="宋体" w:hAnsi="宋体" w:eastAsia="宋体" w:cs="宋体"/>
      <w:sz w:val="24"/>
      <w:szCs w:val="24"/>
      <w:lang w:val="en-US" w:eastAsia="zh-CN" w:bidi="en-US"/>
    </w:rPr>
  </w:style>
  <w:style w:type="paragraph" w:customStyle="1" w:styleId="1385">
    <w:name w:val="HP-标1"/>
    <w:basedOn w:val="5"/>
    <w:link w:val="1386"/>
    <w:qFormat/>
    <w:uiPriority w:val="0"/>
    <w:pPr>
      <w:keepLines w:val="0"/>
      <w:numPr>
        <w:numId w:val="0"/>
      </w:numPr>
      <w:spacing w:before="240" w:after="60" w:line="240" w:lineRule="auto"/>
      <w:jc w:val="center"/>
    </w:pPr>
    <w:rPr>
      <w:rFonts w:ascii="Cambria" w:hAnsi="Cambria" w:cs="宋体"/>
      <w:kern w:val="2"/>
      <w:sz w:val="44"/>
    </w:rPr>
  </w:style>
  <w:style w:type="character" w:customStyle="1" w:styleId="1386">
    <w:name w:val="HP-标1 Char"/>
    <w:link w:val="1385"/>
    <w:qFormat/>
    <w:uiPriority w:val="0"/>
    <w:rPr>
      <w:rFonts w:ascii="Cambria" w:hAnsi="Cambria" w:eastAsia="黑体" w:cs="宋体"/>
      <w:bCs/>
      <w:kern w:val="2"/>
      <w:sz w:val="44"/>
      <w:szCs w:val="44"/>
    </w:rPr>
  </w:style>
  <w:style w:type="paragraph" w:customStyle="1" w:styleId="1387">
    <w:name w:val="规划正文"/>
    <w:basedOn w:val="160"/>
    <w:next w:val="160"/>
    <w:qFormat/>
    <w:uiPriority w:val="0"/>
    <w:rPr>
      <w:rFonts w:ascii="仿宋_GB2312" w:eastAsia="仿宋_GB2312" w:cs="Times New Roman"/>
      <w:color w:val="auto"/>
    </w:rPr>
  </w:style>
  <w:style w:type="paragraph" w:customStyle="1" w:styleId="1388">
    <w:name w:val="表格样式3"/>
    <w:basedOn w:val="1"/>
    <w:qFormat/>
    <w:uiPriority w:val="0"/>
    <w:pPr>
      <w:spacing w:line="280" w:lineRule="exact"/>
      <w:jc w:val="center"/>
    </w:pPr>
    <w:rPr>
      <w:rFonts w:ascii="宋体" w:hAnsi="宋体" w:cs="宋体"/>
      <w:color w:val="000000"/>
      <w:kern w:val="0"/>
      <w:szCs w:val="21"/>
    </w:rPr>
  </w:style>
  <w:style w:type="paragraph" w:customStyle="1" w:styleId="1389">
    <w:name w:val="我的表格"/>
    <w:basedOn w:val="1"/>
    <w:qFormat/>
    <w:uiPriority w:val="0"/>
    <w:pPr>
      <w:autoSpaceDE w:val="0"/>
      <w:autoSpaceDN w:val="0"/>
      <w:adjustRightInd w:val="0"/>
      <w:spacing w:line="340" w:lineRule="exact"/>
      <w:jc w:val="center"/>
    </w:pPr>
    <w:rPr>
      <w:rFonts w:ascii="宋体" w:hAnsi="宋体" w:cs="宋体"/>
      <w:kern w:val="0"/>
      <w:szCs w:val="21"/>
    </w:rPr>
  </w:style>
  <w:style w:type="character" w:customStyle="1" w:styleId="1390">
    <w:name w:val="标题 1 Char2"/>
    <w:qFormat/>
    <w:uiPriority w:val="0"/>
    <w:rPr>
      <w:rFonts w:eastAsia="宋体"/>
      <w:b/>
      <w:bCs/>
      <w:kern w:val="44"/>
      <w:sz w:val="44"/>
      <w:szCs w:val="44"/>
      <w:lang w:val="en-US" w:eastAsia="zh-CN" w:bidi="ar-SA"/>
    </w:rPr>
  </w:style>
  <w:style w:type="character" w:customStyle="1" w:styleId="1391">
    <w:name w:val="9p1"/>
    <w:qFormat/>
    <w:uiPriority w:val="0"/>
    <w:rPr>
      <w:sz w:val="18"/>
      <w:szCs w:val="18"/>
    </w:rPr>
  </w:style>
  <w:style w:type="character" w:customStyle="1" w:styleId="1392">
    <w:name w:val="content1"/>
    <w:qFormat/>
    <w:uiPriority w:val="0"/>
    <w:rPr>
      <w:rFonts w:hint="default" w:ascii="Tahoma" w:hAnsi="Tahoma" w:cs="Tahoma"/>
    </w:rPr>
  </w:style>
  <w:style w:type="paragraph" w:customStyle="1" w:styleId="1393">
    <w:name w:val="样式11"/>
    <w:basedOn w:val="1"/>
    <w:qFormat/>
    <w:uiPriority w:val="0"/>
    <w:pPr>
      <w:adjustRightInd w:val="0"/>
      <w:snapToGrid w:val="0"/>
      <w:jc w:val="center"/>
    </w:pPr>
    <w:rPr>
      <w:rFonts w:ascii="宋体" w:hAnsi="宋体" w:cs="宋体"/>
      <w:kern w:val="0"/>
      <w:szCs w:val="21"/>
    </w:rPr>
  </w:style>
  <w:style w:type="paragraph" w:customStyle="1" w:styleId="1394">
    <w:name w:val="CM2"/>
    <w:basedOn w:val="1"/>
    <w:next w:val="1"/>
    <w:qFormat/>
    <w:uiPriority w:val="0"/>
    <w:pPr>
      <w:autoSpaceDE w:val="0"/>
      <w:autoSpaceDN w:val="0"/>
      <w:adjustRightInd w:val="0"/>
      <w:spacing w:line="518" w:lineRule="atLeast"/>
    </w:pPr>
    <w:rPr>
      <w:rFonts w:ascii="宋体" w:hAnsi="宋体" w:cs="宋体"/>
      <w:kern w:val="0"/>
      <w:sz w:val="24"/>
      <w:szCs w:val="24"/>
    </w:rPr>
  </w:style>
  <w:style w:type="paragraph" w:customStyle="1" w:styleId="1395">
    <w:name w:val="CM59"/>
    <w:basedOn w:val="160"/>
    <w:next w:val="160"/>
    <w:qFormat/>
    <w:uiPriority w:val="0"/>
    <w:pPr>
      <w:spacing w:after="183"/>
    </w:pPr>
    <w:rPr>
      <w:rFonts w:ascii="Times New Roman" w:hAnsi="Times New Roman" w:cs="Times New Roman"/>
      <w:color w:val="auto"/>
    </w:rPr>
  </w:style>
  <w:style w:type="paragraph" w:customStyle="1" w:styleId="1396">
    <w:name w:val="注释标题1"/>
    <w:basedOn w:val="2"/>
    <w:next w:val="2"/>
    <w:qFormat/>
    <w:uiPriority w:val="0"/>
    <w:pPr>
      <w:tabs>
        <w:tab w:val="left" w:pos="360"/>
      </w:tabs>
      <w:snapToGrid w:val="0"/>
      <w:spacing w:before="120" w:line="360" w:lineRule="auto"/>
      <w:ind w:left="360" w:hanging="360" w:firstLineChars="0"/>
    </w:pPr>
    <w:rPr>
      <w:rFonts w:ascii="宋体" w:hAnsi="宋体" w:cs="宋体"/>
      <w:kern w:val="0"/>
      <w:sz w:val="24"/>
      <w:szCs w:val="20"/>
    </w:rPr>
  </w:style>
  <w:style w:type="paragraph" w:customStyle="1" w:styleId="1397">
    <w:name w:val="表体"/>
    <w:basedOn w:val="1"/>
    <w:qFormat/>
    <w:uiPriority w:val="0"/>
    <w:pPr>
      <w:overflowPunct w:val="0"/>
      <w:adjustRightInd w:val="0"/>
      <w:spacing w:line="240" w:lineRule="atLeast"/>
      <w:ind w:left="-57" w:right="-57"/>
      <w:jc w:val="center"/>
      <w:textAlignment w:val="baseline"/>
    </w:pPr>
    <w:rPr>
      <w:rFonts w:ascii="宋体" w:hAnsi="宋体" w:cs="宋体"/>
      <w:kern w:val="24"/>
      <w:szCs w:val="20"/>
    </w:rPr>
  </w:style>
  <w:style w:type="paragraph" w:customStyle="1" w:styleId="1398">
    <w:name w:val="表内5S"/>
    <w:basedOn w:val="1"/>
    <w:qFormat/>
    <w:uiPriority w:val="0"/>
    <w:pPr>
      <w:spacing w:line="300" w:lineRule="atLeast"/>
      <w:jc w:val="center"/>
    </w:pPr>
    <w:rPr>
      <w:rFonts w:ascii="宋体" w:hAnsi="宋体" w:eastAsia="方正宋三简体" w:cs="宋体"/>
      <w:kern w:val="0"/>
      <w:szCs w:val="20"/>
    </w:rPr>
  </w:style>
  <w:style w:type="paragraph" w:customStyle="1" w:styleId="1399">
    <w:name w:val="正文样式一"/>
    <w:basedOn w:val="1"/>
    <w:qFormat/>
    <w:uiPriority w:val="0"/>
    <w:pPr>
      <w:adjustRightInd w:val="0"/>
      <w:spacing w:line="400" w:lineRule="atLeast"/>
      <w:ind w:firstLine="510"/>
      <w:textAlignment w:val="baseline"/>
    </w:pPr>
    <w:rPr>
      <w:rFonts w:ascii="宋体" w:hAnsi="宋体" w:cs="宋体"/>
      <w:kern w:val="0"/>
      <w:sz w:val="24"/>
      <w:szCs w:val="20"/>
    </w:rPr>
  </w:style>
  <w:style w:type="paragraph" w:customStyle="1" w:styleId="1400">
    <w:name w:val="正文（首行缩进两字）1"/>
    <w:basedOn w:val="2"/>
    <w:qFormat/>
    <w:uiPriority w:val="0"/>
    <w:pPr>
      <w:tabs>
        <w:tab w:val="left" w:pos="737"/>
      </w:tabs>
      <w:adjustRightInd w:val="0"/>
      <w:snapToGrid w:val="0"/>
      <w:spacing w:before="120" w:after="120"/>
      <w:ind w:left="851" w:firstLine="480"/>
      <w:textAlignment w:val="baseline"/>
    </w:pPr>
    <w:rPr>
      <w:rFonts w:ascii="宋体" w:hAnsi="宋体" w:cs="宋体"/>
      <w:snapToGrid w:val="0"/>
      <w:kern w:val="0"/>
      <w:sz w:val="24"/>
      <w:szCs w:val="24"/>
    </w:rPr>
  </w:style>
  <w:style w:type="paragraph" w:customStyle="1" w:styleId="1401">
    <w:name w:val="样式 标题 1 + 居中"/>
    <w:basedOn w:val="5"/>
    <w:qFormat/>
    <w:uiPriority w:val="0"/>
    <w:pPr>
      <w:numPr>
        <w:numId w:val="0"/>
      </w:numPr>
      <w:tabs>
        <w:tab w:val="left" w:pos="432"/>
      </w:tabs>
      <w:spacing w:before="340" w:after="330" w:line="578" w:lineRule="auto"/>
      <w:ind w:left="432" w:hanging="432"/>
      <w:jc w:val="center"/>
    </w:pPr>
    <w:rPr>
      <w:rFonts w:hAnsi="宋体" w:cs="宋体"/>
      <w:sz w:val="28"/>
      <w:szCs w:val="20"/>
    </w:rPr>
  </w:style>
  <w:style w:type="character" w:customStyle="1" w:styleId="1402">
    <w:name w:val="样式 标题 3 + Times New Roman 加粗 Char"/>
    <w:basedOn w:val="101"/>
    <w:qFormat/>
    <w:uiPriority w:val="0"/>
  </w:style>
  <w:style w:type="paragraph" w:customStyle="1" w:styleId="1403">
    <w:name w:val="样式 题注 + 五号 加粗 居中"/>
    <w:basedOn w:val="1"/>
    <w:qFormat/>
    <w:uiPriority w:val="0"/>
    <w:pPr>
      <w:spacing w:beforeLines="20" w:afterLines="20" w:line="360" w:lineRule="auto"/>
      <w:jc w:val="center"/>
    </w:pPr>
    <w:rPr>
      <w:rFonts w:ascii="Arial" w:hAnsi="Arial" w:eastAsia="黑体" w:cs="宋体"/>
      <w:b/>
      <w:bCs/>
      <w:kern w:val="0"/>
      <w:sz w:val="24"/>
      <w:szCs w:val="21"/>
    </w:rPr>
  </w:style>
  <w:style w:type="paragraph" w:customStyle="1" w:styleId="1404">
    <w:name w:val="样式 标题 3条标题1.1.13h33rd levelH3l3CT三级标题 + 段前: 0.3 行3"/>
    <w:basedOn w:val="7"/>
    <w:qFormat/>
    <w:uiPriority w:val="0"/>
    <w:pPr>
      <w:numPr>
        <w:ilvl w:val="0"/>
        <w:numId w:val="0"/>
      </w:numPr>
      <w:tabs>
        <w:tab w:val="left" w:pos="720"/>
        <w:tab w:val="clear" w:pos="630"/>
      </w:tabs>
      <w:spacing w:before="72" w:beforeLines="0" w:after="260" w:afterLines="50"/>
      <w:ind w:firstLine="200" w:firstLineChars="200"/>
      <w:jc w:val="left"/>
    </w:pPr>
    <w:rPr>
      <w:rFonts w:ascii="Arial" w:hAnsi="Arial" w:cs="宋体"/>
      <w:kern w:val="0"/>
      <w:szCs w:val="20"/>
    </w:rPr>
  </w:style>
  <w:style w:type="paragraph" w:customStyle="1" w:styleId="1405">
    <w:name w:val="正文0"/>
    <w:basedOn w:val="1"/>
    <w:next w:val="1"/>
    <w:link w:val="1406"/>
    <w:qFormat/>
    <w:uiPriority w:val="0"/>
    <w:pPr>
      <w:spacing w:line="360" w:lineRule="auto"/>
      <w:ind w:firstLine="200" w:firstLineChars="200"/>
    </w:pPr>
    <w:rPr>
      <w:rFonts w:ascii="宋体" w:hAnsi="宋体" w:cs="宋体"/>
      <w:kern w:val="0"/>
      <w:sz w:val="24"/>
      <w:szCs w:val="24"/>
    </w:rPr>
  </w:style>
  <w:style w:type="character" w:customStyle="1" w:styleId="1406">
    <w:name w:val="正文0 Char Char"/>
    <w:link w:val="1405"/>
    <w:qFormat/>
    <w:uiPriority w:val="0"/>
    <w:rPr>
      <w:rFonts w:ascii="宋体" w:hAnsi="宋体" w:cs="宋体"/>
      <w:sz w:val="24"/>
      <w:szCs w:val="24"/>
    </w:rPr>
  </w:style>
  <w:style w:type="paragraph" w:customStyle="1" w:styleId="1407">
    <w:name w:val="样式 标题 3条标题1.1.13h33rd levelH3l3CT三级标题 + 段前: 0.3 行5"/>
    <w:basedOn w:val="7"/>
    <w:qFormat/>
    <w:uiPriority w:val="0"/>
    <w:pPr>
      <w:numPr>
        <w:ilvl w:val="0"/>
        <w:numId w:val="0"/>
      </w:numPr>
      <w:tabs>
        <w:tab w:val="left" w:pos="720"/>
        <w:tab w:val="left" w:pos="900"/>
        <w:tab w:val="clear" w:pos="630"/>
      </w:tabs>
      <w:spacing w:before="260" w:beforeLines="50" w:after="260" w:afterLines="50"/>
      <w:ind w:left="720" w:hanging="720" w:firstLineChars="200"/>
      <w:jc w:val="left"/>
    </w:pPr>
    <w:rPr>
      <w:rFonts w:ascii="Arial" w:hAnsi="Arial" w:cs="宋体"/>
      <w:kern w:val="0"/>
      <w:szCs w:val="20"/>
    </w:rPr>
  </w:style>
  <w:style w:type="paragraph" w:customStyle="1" w:styleId="1408">
    <w:name w:val="样式 标题 3条标题1.1.13h33rd levelH3l3CT三级标题 + 段前: 0.3 行 段后: 6..."/>
    <w:basedOn w:val="7"/>
    <w:qFormat/>
    <w:uiPriority w:val="0"/>
    <w:pPr>
      <w:numPr>
        <w:ilvl w:val="0"/>
        <w:numId w:val="0"/>
      </w:numPr>
      <w:tabs>
        <w:tab w:val="left" w:pos="720"/>
        <w:tab w:val="clear" w:pos="630"/>
      </w:tabs>
      <w:spacing w:before="0" w:beforeLines="0" w:after="260" w:afterLines="50"/>
      <w:ind w:firstLine="200" w:firstLineChars="200"/>
      <w:jc w:val="left"/>
    </w:pPr>
    <w:rPr>
      <w:rFonts w:ascii="Arial" w:hAnsi="Arial" w:cs="宋体"/>
      <w:kern w:val="0"/>
      <w:szCs w:val="20"/>
    </w:rPr>
  </w:style>
  <w:style w:type="paragraph" w:customStyle="1" w:styleId="1409">
    <w:name w:val="报告样式4"/>
    <w:basedOn w:val="2"/>
    <w:qFormat/>
    <w:uiPriority w:val="0"/>
    <w:pPr>
      <w:spacing w:line="360" w:lineRule="auto"/>
      <w:ind w:firstLine="480"/>
    </w:pPr>
    <w:rPr>
      <w:rFonts w:ascii="宋体" w:hAnsi="宋体" w:cs="宋体"/>
      <w:bCs/>
      <w:kern w:val="0"/>
      <w:sz w:val="24"/>
    </w:rPr>
  </w:style>
  <w:style w:type="paragraph" w:customStyle="1" w:styleId="1410">
    <w:name w:val="样式 题注 + 居中 Char Char Char Char Char"/>
    <w:basedOn w:val="22"/>
    <w:next w:val="1"/>
    <w:link w:val="1411"/>
    <w:qFormat/>
    <w:uiPriority w:val="0"/>
    <w:pPr>
      <w:widowControl/>
      <w:spacing w:before="120" w:after="120" w:line="240" w:lineRule="auto"/>
      <w:ind w:firstLine="0" w:firstLineChars="0"/>
      <w:jc w:val="center"/>
    </w:pPr>
    <w:rPr>
      <w:rFonts w:ascii="Arial" w:hAnsi="Arial" w:eastAsia="黑体"/>
      <w:b w:val="0"/>
      <w:bCs w:val="0"/>
      <w:kern w:val="0"/>
    </w:rPr>
  </w:style>
  <w:style w:type="character" w:customStyle="1" w:styleId="1411">
    <w:name w:val="样式 题注 + 居中 Char Char Char Char Char Char"/>
    <w:link w:val="1410"/>
    <w:qFormat/>
    <w:uiPriority w:val="0"/>
    <w:rPr>
      <w:rFonts w:ascii="Arial" w:hAnsi="Arial" w:eastAsia="黑体"/>
      <w:sz w:val="24"/>
      <w:szCs w:val="24"/>
    </w:rPr>
  </w:style>
  <w:style w:type="paragraph" w:customStyle="1" w:styleId="1412">
    <w:name w:val="样式 首行缩进:  2 字符1"/>
    <w:basedOn w:val="1"/>
    <w:qFormat/>
    <w:uiPriority w:val="0"/>
    <w:pPr>
      <w:topLinePunct/>
      <w:spacing w:beforeLines="50" w:line="360" w:lineRule="auto"/>
      <w:ind w:firstLine="480" w:firstLineChars="200"/>
    </w:pPr>
    <w:rPr>
      <w:rFonts w:ascii="宋体" w:hAnsi="宋体" w:cs="宋体"/>
      <w:kern w:val="0"/>
      <w:sz w:val="24"/>
      <w:szCs w:val="24"/>
    </w:rPr>
  </w:style>
  <w:style w:type="paragraph" w:customStyle="1" w:styleId="1413">
    <w:name w:val="封面正文"/>
    <w:qFormat/>
    <w:uiPriority w:val="0"/>
    <w:pPr>
      <w:jc w:val="both"/>
    </w:pPr>
    <w:rPr>
      <w:rFonts w:ascii="Times New Roman" w:hAnsi="Times New Roman" w:eastAsia="宋体" w:cs="Times New Roman"/>
      <w:lang w:val="en-US" w:eastAsia="zh-CN" w:bidi="ar-SA"/>
    </w:rPr>
  </w:style>
  <w:style w:type="paragraph" w:customStyle="1" w:styleId="1414">
    <w:name w:val="表格 32"/>
    <w:basedOn w:val="1"/>
    <w:qFormat/>
    <w:uiPriority w:val="0"/>
    <w:pPr>
      <w:autoSpaceDE w:val="0"/>
      <w:autoSpaceDN w:val="0"/>
      <w:adjustRightInd w:val="0"/>
      <w:jc w:val="center"/>
    </w:pPr>
    <w:rPr>
      <w:rFonts w:ascii="宋体" w:hAnsi="宋体" w:eastAsia="楷体_GB2312" w:cs="宋体"/>
      <w:kern w:val="0"/>
      <w:sz w:val="24"/>
      <w:szCs w:val="20"/>
    </w:rPr>
  </w:style>
  <w:style w:type="paragraph" w:customStyle="1" w:styleId="1415">
    <w:name w:val="段落"/>
    <w:basedOn w:val="1"/>
    <w:link w:val="1416"/>
    <w:qFormat/>
    <w:uiPriority w:val="0"/>
    <w:pPr>
      <w:spacing w:line="360" w:lineRule="auto"/>
      <w:ind w:firstLine="200" w:firstLineChars="200"/>
    </w:pPr>
    <w:rPr>
      <w:rFonts w:ascii="宋体" w:hAnsi="宋体" w:cs="宋体"/>
      <w:kern w:val="0"/>
      <w:sz w:val="24"/>
      <w:szCs w:val="24"/>
    </w:rPr>
  </w:style>
  <w:style w:type="character" w:customStyle="1" w:styleId="1416">
    <w:name w:val="段落 Char1"/>
    <w:link w:val="1415"/>
    <w:qFormat/>
    <w:uiPriority w:val="0"/>
    <w:rPr>
      <w:rFonts w:ascii="宋体" w:hAnsi="宋体" w:cs="宋体"/>
      <w:sz w:val="24"/>
      <w:szCs w:val="24"/>
    </w:rPr>
  </w:style>
  <w:style w:type="character" w:customStyle="1" w:styleId="1417">
    <w:name w:val="节标题 1.1 Char Char"/>
    <w:qFormat/>
    <w:uiPriority w:val="0"/>
    <w:rPr>
      <w:rFonts w:ascii="Arial" w:hAnsi="Arial" w:eastAsia="宋体"/>
      <w:b/>
      <w:color w:val="000000"/>
      <w:kern w:val="2"/>
      <w:sz w:val="30"/>
      <w:szCs w:val="24"/>
      <w:lang w:val="en-US" w:eastAsia="zh-CN" w:bidi="ar-SA"/>
    </w:rPr>
  </w:style>
  <w:style w:type="paragraph" w:customStyle="1" w:styleId="1418">
    <w:name w:val="Body Text 22"/>
    <w:basedOn w:val="1"/>
    <w:qFormat/>
    <w:uiPriority w:val="0"/>
    <w:pPr>
      <w:adjustRightInd w:val="0"/>
      <w:spacing w:line="460" w:lineRule="atLeast"/>
      <w:ind w:firstLine="560"/>
      <w:textAlignment w:val="baseline"/>
    </w:pPr>
    <w:rPr>
      <w:rFonts w:ascii="宋体" w:hAnsi="宋体" w:cs="宋体"/>
      <w:spacing w:val="26"/>
      <w:kern w:val="0"/>
      <w:sz w:val="24"/>
      <w:szCs w:val="20"/>
    </w:rPr>
  </w:style>
  <w:style w:type="paragraph" w:customStyle="1" w:styleId="1419">
    <w:name w:val="Body Text Indent 21"/>
    <w:basedOn w:val="1"/>
    <w:qFormat/>
    <w:uiPriority w:val="0"/>
    <w:pPr>
      <w:adjustRightInd w:val="0"/>
      <w:spacing w:line="460" w:lineRule="atLeast"/>
      <w:ind w:firstLine="360"/>
      <w:textAlignment w:val="baseline"/>
    </w:pPr>
    <w:rPr>
      <w:rFonts w:ascii="宋体" w:hAnsi="宋体" w:cs="宋体"/>
      <w:spacing w:val="20"/>
      <w:kern w:val="0"/>
      <w:sz w:val="28"/>
      <w:szCs w:val="20"/>
    </w:rPr>
  </w:style>
  <w:style w:type="paragraph" w:customStyle="1" w:styleId="1420">
    <w:name w:val="Body Text Indent 31"/>
    <w:basedOn w:val="1"/>
    <w:qFormat/>
    <w:uiPriority w:val="0"/>
    <w:pPr>
      <w:adjustRightInd w:val="0"/>
      <w:spacing w:line="460" w:lineRule="atLeast"/>
      <w:ind w:firstLine="360"/>
      <w:textAlignment w:val="baseline"/>
    </w:pPr>
    <w:rPr>
      <w:rFonts w:ascii="宋体" w:hAnsi="宋体" w:cs="宋体"/>
      <w:spacing w:val="20"/>
      <w:kern w:val="0"/>
      <w:sz w:val="24"/>
      <w:szCs w:val="20"/>
    </w:rPr>
  </w:style>
  <w:style w:type="paragraph" w:customStyle="1" w:styleId="1421">
    <w:name w:val="纯文本1"/>
    <w:basedOn w:val="1"/>
    <w:qFormat/>
    <w:uiPriority w:val="0"/>
    <w:pPr>
      <w:spacing w:line="720" w:lineRule="auto"/>
      <w:jc w:val="center"/>
    </w:pPr>
    <w:rPr>
      <w:rFonts w:ascii="宋体" w:hAnsi="宋体" w:cs="宋体"/>
      <w:b/>
      <w:kern w:val="0"/>
      <w:sz w:val="24"/>
      <w:szCs w:val="20"/>
    </w:rPr>
  </w:style>
  <w:style w:type="paragraph" w:customStyle="1" w:styleId="1422">
    <w:name w:val="正文文字 + 宋体 + 段后: 0.2 行"/>
    <w:basedOn w:val="1"/>
    <w:qFormat/>
    <w:uiPriority w:val="0"/>
    <w:pPr>
      <w:spacing w:afterLines="20" w:line="300" w:lineRule="auto"/>
      <w:ind w:firstLine="480" w:firstLineChars="200"/>
    </w:pPr>
    <w:rPr>
      <w:rFonts w:ascii="Arial" w:hAnsi="Arial" w:cs="宋体"/>
      <w:kern w:val="0"/>
      <w:sz w:val="24"/>
      <w:szCs w:val="24"/>
    </w:rPr>
  </w:style>
  <w:style w:type="paragraph" w:customStyle="1" w:styleId="1423">
    <w:name w:val="正文样式3"/>
    <w:basedOn w:val="1"/>
    <w:qFormat/>
    <w:uiPriority w:val="0"/>
    <w:pPr>
      <w:keepLines/>
      <w:adjustRightInd w:val="0"/>
      <w:spacing w:line="20" w:lineRule="atLeast"/>
      <w:jc w:val="center"/>
      <w:textAlignment w:val="baseline"/>
    </w:pPr>
    <w:rPr>
      <w:rFonts w:ascii="宋体" w:hAnsi="宋体" w:cs="宋体"/>
      <w:kern w:val="0"/>
      <w:sz w:val="24"/>
      <w:szCs w:val="20"/>
    </w:rPr>
  </w:style>
  <w:style w:type="paragraph" w:customStyle="1" w:styleId="1424">
    <w:name w:val="样式 小四"/>
    <w:basedOn w:val="1"/>
    <w:qFormat/>
    <w:uiPriority w:val="0"/>
    <w:pPr>
      <w:spacing w:before="100" w:beforeAutospacing="1"/>
      <w:ind w:firstLine="413" w:firstLineChars="147"/>
    </w:pPr>
    <w:rPr>
      <w:rFonts w:ascii="宋体" w:hAnsi="宋体" w:cs="宋体"/>
      <w:color w:val="000000"/>
      <w:kern w:val="0"/>
      <w:sz w:val="24"/>
      <w:szCs w:val="21"/>
    </w:rPr>
  </w:style>
  <w:style w:type="paragraph" w:customStyle="1" w:styleId="1425">
    <w:name w:val="样式 样式3 + 首行缩进:  0.96 字符"/>
    <w:basedOn w:val="1"/>
    <w:qFormat/>
    <w:uiPriority w:val="0"/>
    <w:pPr>
      <w:spacing w:beforeLines="50" w:line="360" w:lineRule="auto"/>
      <w:ind w:right="-88" w:rightChars="-42"/>
      <w:jc w:val="center"/>
    </w:pPr>
    <w:rPr>
      <w:rFonts w:ascii="宋体" w:hAnsi="宋体" w:cs="宋体"/>
      <w:b/>
      <w:bCs/>
      <w:kern w:val="0"/>
      <w:sz w:val="72"/>
      <w:szCs w:val="84"/>
    </w:rPr>
  </w:style>
  <w:style w:type="paragraph" w:customStyle="1" w:styleId="1426">
    <w:name w:val="表格文字（对中）"/>
    <w:basedOn w:val="2"/>
    <w:qFormat/>
    <w:uiPriority w:val="0"/>
    <w:pPr>
      <w:ind w:firstLine="0" w:firstLineChars="0"/>
      <w:jc w:val="center"/>
    </w:pPr>
    <w:rPr>
      <w:rFonts w:ascii="宋体" w:hAnsi="宋体" w:cs="宋体"/>
      <w:kern w:val="0"/>
      <w:szCs w:val="24"/>
    </w:rPr>
  </w:style>
  <w:style w:type="paragraph" w:customStyle="1" w:styleId="1427">
    <w:name w:val="样式 标题 3 + Times New Roman"/>
    <w:basedOn w:val="7"/>
    <w:qFormat/>
    <w:uiPriority w:val="0"/>
    <w:pPr>
      <w:numPr>
        <w:ilvl w:val="0"/>
        <w:numId w:val="0"/>
      </w:numPr>
      <w:tabs>
        <w:tab w:val="left" w:pos="1754"/>
        <w:tab w:val="clear" w:pos="630"/>
      </w:tabs>
      <w:spacing w:before="260" w:beforeLines="0" w:after="260" w:afterLines="0"/>
      <w:ind w:left="1754" w:hanging="720" w:firstLineChars="200"/>
      <w:jc w:val="left"/>
    </w:pPr>
    <w:rPr>
      <w:rFonts w:ascii="宋体" w:hAnsi="宋体" w:eastAsia="黑体" w:cs="宋体"/>
      <w:b w:val="0"/>
      <w:kern w:val="0"/>
      <w:sz w:val="24"/>
      <w:lang w:val="en-GB"/>
    </w:rPr>
  </w:style>
  <w:style w:type="paragraph" w:customStyle="1" w:styleId="1428">
    <w:name w:val="1阶格式"/>
    <w:basedOn w:val="1"/>
    <w:qFormat/>
    <w:uiPriority w:val="0"/>
    <w:pPr>
      <w:tabs>
        <w:tab w:val="left" w:pos="1200"/>
      </w:tabs>
      <w:spacing w:before="240" w:after="240"/>
      <w:ind w:left="1200" w:hanging="720"/>
    </w:pPr>
    <w:rPr>
      <w:rFonts w:ascii="宋体" w:hAnsi="宋体" w:eastAsia="黑体" w:cs="宋体"/>
      <w:kern w:val="0"/>
      <w:sz w:val="30"/>
      <w:szCs w:val="24"/>
    </w:rPr>
  </w:style>
  <w:style w:type="character" w:customStyle="1" w:styleId="1429">
    <w:name w:val="未命名11"/>
    <w:qFormat/>
    <w:uiPriority w:val="0"/>
    <w:rPr>
      <w:rFonts w:hint="eastAsia" w:ascii="宋体" w:hAnsi="宋体" w:eastAsia="宋体"/>
      <w:sz w:val="18"/>
      <w:szCs w:val="18"/>
    </w:rPr>
  </w:style>
  <w:style w:type="character" w:customStyle="1" w:styleId="1430">
    <w:name w:val="dbluetext1"/>
    <w:qFormat/>
    <w:uiPriority w:val="0"/>
    <w:rPr>
      <w:rFonts w:hint="default" w:ascii="Arial" w:hAnsi="Arial" w:cs="Arial"/>
      <w:color w:val="003FB2"/>
      <w:sz w:val="23"/>
      <w:szCs w:val="23"/>
    </w:rPr>
  </w:style>
  <w:style w:type="paragraph" w:customStyle="1" w:styleId="1431">
    <w:name w:val="样式 标题 3 + Times New Roman 加粗"/>
    <w:basedOn w:val="7"/>
    <w:qFormat/>
    <w:uiPriority w:val="0"/>
    <w:pPr>
      <w:numPr>
        <w:ilvl w:val="0"/>
        <w:numId w:val="0"/>
      </w:numPr>
      <w:tabs>
        <w:tab w:val="left" w:pos="720"/>
        <w:tab w:val="clear" w:pos="630"/>
      </w:tabs>
      <w:spacing w:before="260" w:beforeLines="0" w:after="260" w:afterLines="0"/>
      <w:ind w:left="720" w:hanging="720"/>
      <w:jc w:val="left"/>
    </w:pPr>
    <w:rPr>
      <w:rFonts w:ascii="Arial" w:hAnsi="Arial" w:cs="宋体"/>
      <w:color w:val="000000"/>
      <w:kern w:val="0"/>
      <w:szCs w:val="32"/>
    </w:rPr>
  </w:style>
  <w:style w:type="paragraph" w:customStyle="1" w:styleId="1432">
    <w:name w:val="四级标题"/>
    <w:basedOn w:val="3"/>
    <w:qFormat/>
    <w:uiPriority w:val="0"/>
    <w:pPr>
      <w:numPr>
        <w:ilvl w:val="0"/>
        <w:numId w:val="0"/>
      </w:numPr>
      <w:tabs>
        <w:tab w:val="left" w:pos="2160"/>
      </w:tabs>
      <w:spacing w:before="280" w:beforeLines="50" w:after="290" w:afterLines="50"/>
      <w:ind w:left="2160" w:hanging="420"/>
      <w:jc w:val="left"/>
    </w:pPr>
    <w:rPr>
      <w:rFonts w:eastAsia="黑体" w:cs="宋体"/>
      <w:b w:val="0"/>
      <w:kern w:val="0"/>
      <w:szCs w:val="24"/>
    </w:rPr>
  </w:style>
  <w:style w:type="character" w:customStyle="1" w:styleId="1433">
    <w:name w:val="标题 3 Char Char"/>
    <w:qFormat/>
    <w:uiPriority w:val="0"/>
    <w:rPr>
      <w:rFonts w:eastAsia="宋体"/>
      <w:b/>
      <w:bCs/>
      <w:kern w:val="2"/>
      <w:sz w:val="28"/>
      <w:szCs w:val="32"/>
      <w:lang w:val="en-US" w:eastAsia="zh-CN" w:bidi="ar-SA"/>
    </w:rPr>
  </w:style>
  <w:style w:type="paragraph" w:customStyle="1" w:styleId="1434">
    <w:name w:val="首行缩进:  2 字符"/>
    <w:basedOn w:val="1"/>
    <w:qFormat/>
    <w:uiPriority w:val="0"/>
    <w:pPr>
      <w:adjustRightInd w:val="0"/>
      <w:snapToGrid w:val="0"/>
      <w:spacing w:line="360" w:lineRule="auto"/>
      <w:ind w:firstLine="560" w:firstLineChars="200"/>
    </w:pPr>
    <w:rPr>
      <w:rFonts w:ascii="宋体" w:hAnsi="宋体" w:eastAsia="仿宋_GB2312" w:cs="宋体"/>
      <w:kern w:val="0"/>
      <w:sz w:val="28"/>
      <w:szCs w:val="28"/>
    </w:rPr>
  </w:style>
  <w:style w:type="paragraph" w:customStyle="1" w:styleId="1435">
    <w:name w:val="（一）"/>
    <w:basedOn w:val="1"/>
    <w:qFormat/>
    <w:uiPriority w:val="0"/>
    <w:pPr>
      <w:spacing w:after="48"/>
    </w:pPr>
    <w:rPr>
      <w:rFonts w:ascii="宋体" w:hAnsi="宋体" w:eastAsia="楷体_GB2312" w:cs="宋体"/>
      <w:b/>
      <w:kern w:val="0"/>
      <w:szCs w:val="21"/>
    </w:rPr>
  </w:style>
  <w:style w:type="paragraph" w:customStyle="1" w:styleId="1436">
    <w:name w:val="Char Char Char Char Char"/>
    <w:basedOn w:val="1"/>
    <w:qFormat/>
    <w:uiPriority w:val="0"/>
    <w:rPr>
      <w:rFonts w:ascii="宋体" w:hAnsi="宋体" w:cs="宋体"/>
      <w:kern w:val="0"/>
      <w:szCs w:val="24"/>
    </w:rPr>
  </w:style>
  <w:style w:type="character" w:customStyle="1" w:styleId="1437">
    <w:name w:val="11p1"/>
    <w:qFormat/>
    <w:uiPriority w:val="0"/>
    <w:rPr>
      <w:spacing w:val="500"/>
      <w:sz w:val="30"/>
      <w:szCs w:val="30"/>
    </w:rPr>
  </w:style>
  <w:style w:type="paragraph" w:customStyle="1" w:styleId="1438">
    <w:name w:val="表X"/>
    <w:basedOn w:val="1"/>
    <w:next w:val="1"/>
    <w:qFormat/>
    <w:uiPriority w:val="0"/>
    <w:rPr>
      <w:rFonts w:ascii="宋体" w:hAnsi="宋体" w:eastAsia="仿宋_GB2312" w:cs="宋体"/>
      <w:kern w:val="0"/>
      <w:sz w:val="28"/>
      <w:szCs w:val="28"/>
    </w:rPr>
  </w:style>
  <w:style w:type="paragraph" w:customStyle="1" w:styleId="1439">
    <w:name w:val="1."/>
    <w:basedOn w:val="1"/>
    <w:qFormat/>
    <w:uiPriority w:val="0"/>
    <w:pPr>
      <w:adjustRightInd w:val="0"/>
      <w:snapToGrid w:val="0"/>
      <w:spacing w:line="360" w:lineRule="exact"/>
    </w:pPr>
    <w:rPr>
      <w:rFonts w:ascii="宋体" w:hAnsi="宋体" w:cs="宋体"/>
      <w:kern w:val="0"/>
      <w:szCs w:val="21"/>
    </w:rPr>
  </w:style>
  <w:style w:type="paragraph" w:customStyle="1" w:styleId="1440">
    <w:name w:val="首行缩进: 2字符"/>
    <w:basedOn w:val="1"/>
    <w:qFormat/>
    <w:uiPriority w:val="0"/>
    <w:pPr>
      <w:adjustRightInd w:val="0"/>
      <w:snapToGrid w:val="0"/>
      <w:spacing w:line="360" w:lineRule="auto"/>
      <w:ind w:firstLine="200" w:firstLineChars="200"/>
    </w:pPr>
    <w:rPr>
      <w:rFonts w:ascii="宋体" w:hAnsi="宋体" w:eastAsia="仿宋_GB2312" w:cs="宋体"/>
      <w:kern w:val="0"/>
      <w:sz w:val="28"/>
      <w:szCs w:val="20"/>
    </w:rPr>
  </w:style>
  <w:style w:type="paragraph" w:customStyle="1" w:styleId="1441">
    <w:name w:val="Char Char Char Char Char1"/>
    <w:basedOn w:val="1"/>
    <w:qFormat/>
    <w:uiPriority w:val="0"/>
    <w:rPr>
      <w:rFonts w:ascii="宋体" w:hAnsi="宋体" w:cs="宋体"/>
      <w:kern w:val="0"/>
      <w:szCs w:val="24"/>
    </w:rPr>
  </w:style>
  <w:style w:type="paragraph" w:customStyle="1" w:styleId="1442">
    <w:name w:val="样式 题注 + 居中 Char Char"/>
    <w:basedOn w:val="22"/>
    <w:next w:val="1"/>
    <w:qFormat/>
    <w:uiPriority w:val="0"/>
    <w:pPr>
      <w:widowControl/>
      <w:spacing w:before="120" w:after="120" w:line="240" w:lineRule="auto"/>
      <w:ind w:firstLine="0" w:firstLineChars="0"/>
      <w:jc w:val="center"/>
    </w:pPr>
    <w:rPr>
      <w:rFonts w:eastAsia="黑体" w:cs="宋体"/>
      <w:b w:val="0"/>
      <w:bCs w:val="0"/>
      <w:kern w:val="0"/>
    </w:rPr>
  </w:style>
  <w:style w:type="character" w:customStyle="1" w:styleId="1443">
    <w:name w:val="HBZW"/>
    <w:qFormat/>
    <w:uiPriority w:val="0"/>
    <w:rPr>
      <w:rFonts w:ascii="宋体" w:hAnsi="宋体" w:eastAsia="宋体"/>
      <w:kern w:val="0"/>
      <w:sz w:val="24"/>
      <w:lang w:val="en-US" w:eastAsia="zh-CN" w:bidi="ar-SA"/>
    </w:rPr>
  </w:style>
  <w:style w:type="character" w:customStyle="1" w:styleId="1444">
    <w:name w:val="fliesstext1"/>
    <w:qFormat/>
    <w:uiPriority w:val="0"/>
    <w:rPr>
      <w:rFonts w:hint="default" w:ascii="Arial" w:hAnsi="Arial" w:cs="Arial"/>
      <w:color w:val="000000"/>
      <w:sz w:val="18"/>
      <w:szCs w:val="18"/>
    </w:rPr>
  </w:style>
  <w:style w:type="paragraph" w:customStyle="1" w:styleId="1445">
    <w:name w:val="默认段落字体 Para Char Char Char Char Char Char1 Char Char Char Char"/>
    <w:basedOn w:val="1"/>
    <w:qFormat/>
    <w:uiPriority w:val="0"/>
    <w:pPr>
      <w:spacing w:line="360" w:lineRule="auto"/>
      <w:ind w:firstLine="200" w:firstLineChars="200"/>
    </w:pPr>
    <w:rPr>
      <w:rFonts w:ascii="宋体" w:hAnsi="宋体" w:cs="宋体"/>
      <w:kern w:val="0"/>
      <w:sz w:val="24"/>
      <w:szCs w:val="24"/>
    </w:rPr>
  </w:style>
  <w:style w:type="paragraph" w:customStyle="1" w:styleId="1446">
    <w:name w:val="样式"/>
    <w:basedOn w:val="1"/>
    <w:next w:val="73"/>
    <w:qFormat/>
    <w:uiPriority w:val="0"/>
    <w:pPr>
      <w:tabs>
        <w:tab w:val="left" w:pos="6720"/>
      </w:tabs>
      <w:spacing w:line="360" w:lineRule="auto"/>
      <w:ind w:firstLine="480" w:firstLineChars="200"/>
    </w:pPr>
    <w:rPr>
      <w:rFonts w:ascii="楷体_GB2312" w:hAnsi="宋体" w:eastAsia="楷体_GB2312" w:cs="宋体"/>
      <w:kern w:val="0"/>
      <w:sz w:val="24"/>
      <w:szCs w:val="24"/>
    </w:rPr>
  </w:style>
  <w:style w:type="paragraph" w:customStyle="1" w:styleId="1447">
    <w:name w:val="标题样式1"/>
    <w:basedOn w:val="34"/>
    <w:qFormat/>
    <w:uiPriority w:val="0"/>
    <w:pPr>
      <w:adjustRightInd w:val="0"/>
      <w:snapToGrid w:val="0"/>
      <w:spacing w:after="0" w:line="0" w:lineRule="atLeast"/>
      <w:jc w:val="center"/>
      <w:textAlignment w:val="baseline"/>
    </w:pPr>
    <w:rPr>
      <w:rFonts w:ascii="宋体" w:hAnsi="宋体" w:cs="宋体"/>
      <w:b/>
      <w:bCs/>
      <w:kern w:val="0"/>
      <w:sz w:val="24"/>
      <w:szCs w:val="20"/>
    </w:rPr>
  </w:style>
  <w:style w:type="paragraph" w:customStyle="1" w:styleId="1448">
    <w:name w:val="正文（首行缩进）"/>
    <w:basedOn w:val="1"/>
    <w:qFormat/>
    <w:uiPriority w:val="0"/>
    <w:pPr>
      <w:spacing w:before="20" w:after="20"/>
      <w:ind w:left="-105" w:leftChars="-50" w:right="-105" w:rightChars="-50"/>
      <w:jc w:val="center"/>
    </w:pPr>
    <w:rPr>
      <w:rFonts w:ascii="宋体" w:hAnsi="宋体" w:cs="宋体"/>
      <w:color w:val="000000"/>
      <w:kern w:val="0"/>
      <w:sz w:val="18"/>
      <w:szCs w:val="18"/>
    </w:rPr>
  </w:style>
  <w:style w:type="paragraph" w:customStyle="1" w:styleId="1449">
    <w:name w:val="标题样式2"/>
    <w:basedOn w:val="6"/>
    <w:qFormat/>
    <w:uiPriority w:val="0"/>
    <w:pPr>
      <w:keepNext w:val="0"/>
      <w:keepLines w:val="0"/>
      <w:numPr>
        <w:ilvl w:val="0"/>
        <w:numId w:val="0"/>
      </w:numPr>
      <w:tabs>
        <w:tab w:val="left" w:pos="578"/>
        <w:tab w:val="left" w:pos="4142"/>
        <w:tab w:val="left" w:pos="6833"/>
        <w:tab w:val="left" w:pos="9030"/>
        <w:tab w:val="left" w:pos="9287"/>
        <w:tab w:val="clear" w:pos="525"/>
      </w:tabs>
      <w:overflowPunct w:val="0"/>
      <w:topLinePunct/>
      <w:autoSpaceDE w:val="0"/>
      <w:autoSpaceDN w:val="0"/>
      <w:adjustRightInd w:val="0"/>
      <w:snapToGrid w:val="0"/>
      <w:spacing w:before="0" w:beforeLines="5" w:after="0" w:afterLines="5" w:line="360" w:lineRule="atLeast"/>
      <w:ind w:left="578" w:hanging="578" w:firstLineChars="200"/>
      <w:jc w:val="center"/>
      <w:textAlignment w:val="baseline"/>
      <w:outlineLvl w:val="9"/>
    </w:pPr>
    <w:rPr>
      <w:rFonts w:ascii="Times New Roman" w:hAnsi="Times New Roman" w:cs="宋体"/>
      <w:b w:val="0"/>
      <w:snapToGrid w:val="0"/>
      <w:kern w:val="0"/>
      <w:sz w:val="21"/>
      <w:szCs w:val="20"/>
    </w:rPr>
  </w:style>
  <w:style w:type="paragraph" w:customStyle="1" w:styleId="1450">
    <w:name w:val="注×："/>
    <w:qFormat/>
    <w:uiPriority w:val="0"/>
    <w:pPr>
      <w:widowControl w:val="0"/>
      <w:tabs>
        <w:tab w:val="left" w:pos="630"/>
      </w:tabs>
      <w:autoSpaceDE w:val="0"/>
      <w:autoSpaceDN w:val="0"/>
      <w:jc w:val="both"/>
    </w:pPr>
    <w:rPr>
      <w:rFonts w:ascii="宋体" w:hAnsi="Times New Roman" w:eastAsia="宋体" w:cs="Times New Roman"/>
      <w:sz w:val="18"/>
      <w:lang w:val="en-US" w:eastAsia="zh-CN" w:bidi="ar-SA"/>
    </w:rPr>
  </w:style>
  <w:style w:type="character" w:customStyle="1" w:styleId="1451">
    <w:name w:val="r1"/>
    <w:qFormat/>
    <w:uiPriority w:val="0"/>
    <w:rPr>
      <w:spacing w:val="300"/>
      <w:sz w:val="20"/>
      <w:szCs w:val="20"/>
    </w:rPr>
  </w:style>
  <w:style w:type="paragraph" w:customStyle="1" w:styleId="1452">
    <w:name w:val="表样式"/>
    <w:basedOn w:val="1"/>
    <w:qFormat/>
    <w:uiPriority w:val="0"/>
    <w:pPr>
      <w:jc w:val="center"/>
    </w:pPr>
    <w:rPr>
      <w:rFonts w:ascii="仿宋_GB2312" w:hAnsi="宋体" w:eastAsia="黑体" w:cs="宋体"/>
      <w:kern w:val="0"/>
      <w:szCs w:val="24"/>
    </w:rPr>
  </w:style>
  <w:style w:type="paragraph" w:customStyle="1" w:styleId="1453">
    <w:name w:val="6"/>
    <w:basedOn w:val="1"/>
    <w:next w:val="35"/>
    <w:qFormat/>
    <w:uiPriority w:val="0"/>
    <w:pPr>
      <w:spacing w:line="300" w:lineRule="auto"/>
      <w:ind w:firstLine="480" w:firstLineChars="200"/>
    </w:pPr>
    <w:rPr>
      <w:rFonts w:ascii="宋体" w:hAnsi="宋体" w:cs="宋体"/>
      <w:kern w:val="0"/>
      <w:sz w:val="24"/>
      <w:szCs w:val="24"/>
    </w:rPr>
  </w:style>
  <w:style w:type="paragraph" w:customStyle="1" w:styleId="1454">
    <w:name w:val="正文样式"/>
    <w:basedOn w:val="1"/>
    <w:qFormat/>
    <w:uiPriority w:val="0"/>
    <w:pPr>
      <w:spacing w:line="360" w:lineRule="auto"/>
      <w:ind w:firstLine="480" w:firstLineChars="200"/>
    </w:pPr>
    <w:rPr>
      <w:rFonts w:ascii="宋体" w:hAnsi="宋体" w:cs="宋体"/>
      <w:kern w:val="0"/>
      <w:sz w:val="24"/>
      <w:szCs w:val="24"/>
    </w:rPr>
  </w:style>
  <w:style w:type="paragraph" w:customStyle="1" w:styleId="1455">
    <w:name w:val="标题样式3"/>
    <w:basedOn w:val="7"/>
    <w:qFormat/>
    <w:uiPriority w:val="0"/>
    <w:pPr>
      <w:numPr>
        <w:ilvl w:val="0"/>
        <w:numId w:val="0"/>
      </w:numPr>
      <w:tabs>
        <w:tab w:val="left" w:pos="1754"/>
        <w:tab w:val="clear" w:pos="630"/>
      </w:tabs>
      <w:spacing w:before="0" w:beforeLines="0" w:after="0" w:afterLines="0"/>
      <w:ind w:left="1754" w:hanging="720" w:firstLineChars="200"/>
      <w:jc w:val="left"/>
    </w:pPr>
    <w:rPr>
      <w:rFonts w:ascii="黑体" w:hAnsi="宋体" w:eastAsia="黑体" w:cs="宋体"/>
      <w:bCs w:val="0"/>
      <w:kern w:val="0"/>
      <w:sz w:val="24"/>
      <w:szCs w:val="24"/>
    </w:rPr>
  </w:style>
  <w:style w:type="paragraph" w:customStyle="1" w:styleId="1456">
    <w:name w:val="图号样式"/>
    <w:basedOn w:val="1"/>
    <w:qFormat/>
    <w:uiPriority w:val="0"/>
    <w:pPr>
      <w:spacing w:line="360" w:lineRule="auto"/>
      <w:jc w:val="center"/>
    </w:pPr>
    <w:rPr>
      <w:rFonts w:ascii="宋体" w:hAnsi="宋体" w:cs="宋体"/>
      <w:kern w:val="0"/>
      <w:sz w:val="24"/>
      <w:szCs w:val="24"/>
    </w:rPr>
  </w:style>
  <w:style w:type="character" w:customStyle="1" w:styleId="1457">
    <w:name w:val="标题2"/>
    <w:basedOn w:val="101"/>
    <w:qFormat/>
    <w:uiPriority w:val="0"/>
  </w:style>
  <w:style w:type="character" w:customStyle="1" w:styleId="1458">
    <w:name w:val="L4 Char"/>
    <w:qFormat/>
    <w:uiPriority w:val="0"/>
    <w:rPr>
      <w:rFonts w:ascii="Arial" w:hAnsi="Arial" w:eastAsia="宋体"/>
      <w:b/>
      <w:bCs/>
      <w:kern w:val="2"/>
      <w:sz w:val="24"/>
      <w:szCs w:val="28"/>
      <w:lang w:val="en-US" w:eastAsia="zh-CN" w:bidi="ar-SA"/>
    </w:rPr>
  </w:style>
  <w:style w:type="character" w:customStyle="1" w:styleId="1459">
    <w:name w:val="正文(首行缩进) Char"/>
    <w:qFormat/>
    <w:uiPriority w:val="0"/>
    <w:rPr>
      <w:rFonts w:eastAsia="宋体"/>
      <w:snapToGrid w:val="0"/>
      <w:color w:val="000000"/>
      <w:sz w:val="24"/>
      <w:szCs w:val="24"/>
      <w:lang w:val="en-US" w:eastAsia="zh-CN" w:bidi="ar-SA"/>
    </w:rPr>
  </w:style>
  <w:style w:type="paragraph" w:customStyle="1" w:styleId="1460">
    <w:name w:val="表、图名"/>
    <w:basedOn w:val="1"/>
    <w:qFormat/>
    <w:uiPriority w:val="0"/>
    <w:pPr>
      <w:adjustRightInd w:val="0"/>
      <w:snapToGrid w:val="0"/>
      <w:jc w:val="center"/>
    </w:pPr>
    <w:rPr>
      <w:rFonts w:ascii="黑体" w:hAnsi="宋体" w:eastAsia="黑体" w:cs="宋体"/>
      <w:color w:val="000000"/>
      <w:kern w:val="0"/>
      <w:sz w:val="24"/>
      <w:szCs w:val="21"/>
    </w:rPr>
  </w:style>
  <w:style w:type="paragraph" w:customStyle="1" w:styleId="1461">
    <w:name w:val="表格标题"/>
    <w:basedOn w:val="1"/>
    <w:qFormat/>
    <w:uiPriority w:val="0"/>
    <w:pPr>
      <w:keepNext/>
      <w:adjustRightInd w:val="0"/>
      <w:snapToGrid w:val="0"/>
      <w:spacing w:line="312" w:lineRule="atLeast"/>
      <w:ind w:firstLine="590" w:firstLineChars="200"/>
      <w:jc w:val="center"/>
      <w:textAlignment w:val="baseline"/>
    </w:pPr>
    <w:rPr>
      <w:rFonts w:ascii="黑体" w:hAnsi="宋体" w:eastAsia="黑体" w:cs="宋体"/>
      <w:snapToGrid w:val="0"/>
      <w:kern w:val="0"/>
      <w:szCs w:val="20"/>
    </w:rPr>
  </w:style>
  <w:style w:type="character" w:customStyle="1" w:styleId="1462">
    <w:name w:val="正文样式 Char"/>
    <w:qFormat/>
    <w:uiPriority w:val="0"/>
    <w:rPr>
      <w:rFonts w:ascii="宋体" w:hAnsi="宋体" w:eastAsia="宋体"/>
      <w:kern w:val="2"/>
      <w:sz w:val="24"/>
      <w:szCs w:val="24"/>
      <w:lang w:val="en-US" w:eastAsia="zh-CN" w:bidi="ar-SA"/>
    </w:rPr>
  </w:style>
  <w:style w:type="paragraph" w:customStyle="1" w:styleId="1463">
    <w:name w:val="表格样式"/>
    <w:basedOn w:val="1"/>
    <w:qFormat/>
    <w:uiPriority w:val="0"/>
    <w:pPr>
      <w:spacing w:line="360" w:lineRule="exact"/>
      <w:jc w:val="center"/>
    </w:pPr>
    <w:rPr>
      <w:rFonts w:ascii="宋体" w:hAnsi="宋体" w:cs="宋体"/>
      <w:kern w:val="0"/>
      <w:szCs w:val="24"/>
    </w:rPr>
  </w:style>
  <w:style w:type="paragraph" w:customStyle="1" w:styleId="1464">
    <w:name w:val="表后空行"/>
    <w:basedOn w:val="1"/>
    <w:qFormat/>
    <w:uiPriority w:val="0"/>
    <w:pPr>
      <w:overflowPunct w:val="0"/>
      <w:adjustRightInd w:val="0"/>
      <w:ind w:firstLine="200" w:firstLineChars="200"/>
      <w:textAlignment w:val="baseline"/>
    </w:pPr>
    <w:rPr>
      <w:rFonts w:ascii="宋体" w:hAnsi="宋体" w:cs="宋体"/>
      <w:kern w:val="28"/>
      <w:sz w:val="10"/>
      <w:szCs w:val="20"/>
    </w:rPr>
  </w:style>
  <w:style w:type="paragraph" w:customStyle="1" w:styleId="1465">
    <w:name w:val="表左"/>
    <w:basedOn w:val="1"/>
    <w:next w:val="1"/>
    <w:qFormat/>
    <w:uiPriority w:val="0"/>
    <w:pPr>
      <w:adjustRightInd w:val="0"/>
      <w:spacing w:line="280" w:lineRule="exact"/>
      <w:ind w:firstLine="567"/>
      <w:jc w:val="center"/>
      <w:textAlignment w:val="baseline"/>
    </w:pPr>
    <w:rPr>
      <w:rFonts w:ascii="仿宋_GB2312" w:hAnsi="宋体" w:eastAsia="仿宋_GB2312" w:cs="宋体"/>
      <w:color w:val="000000"/>
      <w:kern w:val="0"/>
      <w:szCs w:val="21"/>
    </w:rPr>
  </w:style>
  <w:style w:type="character" w:customStyle="1" w:styleId="1466">
    <w:name w:val="正文(首行缩进) Char1"/>
    <w:qFormat/>
    <w:uiPriority w:val="0"/>
    <w:rPr>
      <w:rFonts w:ascii="宋体" w:hAnsi="宋体" w:eastAsia="宋体"/>
      <w:bCs/>
      <w:snapToGrid w:val="0"/>
      <w:color w:val="000000"/>
      <w:spacing w:val="2"/>
      <w:sz w:val="24"/>
      <w:szCs w:val="36"/>
      <w:lang w:val="en-US" w:eastAsia="zh-CN" w:bidi="ar-SA"/>
    </w:rPr>
  </w:style>
  <w:style w:type="paragraph" w:customStyle="1" w:styleId="1467">
    <w:name w:val="表格内"/>
    <w:qFormat/>
    <w:uiPriority w:val="0"/>
    <w:pPr>
      <w:keepNext/>
      <w:keepLines/>
      <w:widowControl w:val="0"/>
      <w:tabs>
        <w:tab w:val="left" w:pos="9356"/>
      </w:tabs>
      <w:adjustRightInd w:val="0"/>
      <w:spacing w:before="40" w:after="40" w:line="80" w:lineRule="atLeast"/>
      <w:textAlignment w:val="baseline"/>
    </w:pPr>
    <w:rPr>
      <w:rFonts w:ascii="Arial" w:hAnsi="Times New Roman" w:eastAsia="宋体" w:cs="Times New Roman"/>
      <w:sz w:val="24"/>
      <w:lang w:val="en-US" w:eastAsia="zh-CN" w:bidi="ar-SA"/>
    </w:rPr>
  </w:style>
  <w:style w:type="paragraph" w:customStyle="1" w:styleId="1468">
    <w:name w:val="正文样式2"/>
    <w:basedOn w:val="1"/>
    <w:qFormat/>
    <w:uiPriority w:val="0"/>
    <w:pPr>
      <w:adjustRightInd w:val="0"/>
      <w:spacing w:line="480" w:lineRule="atLeast"/>
      <w:ind w:firstLine="567"/>
      <w:textAlignment w:val="baseline"/>
    </w:pPr>
    <w:rPr>
      <w:rFonts w:ascii="黑体" w:hAnsi="宋体" w:eastAsia="黑体" w:cs="宋体"/>
      <w:kern w:val="0"/>
      <w:sz w:val="28"/>
      <w:szCs w:val="20"/>
    </w:rPr>
  </w:style>
  <w:style w:type="paragraph" w:customStyle="1" w:styleId="1469">
    <w:name w:val="标题样式一"/>
    <w:basedOn w:val="1"/>
    <w:qFormat/>
    <w:uiPriority w:val="0"/>
    <w:pPr>
      <w:adjustRightInd w:val="0"/>
      <w:spacing w:line="480" w:lineRule="atLeast"/>
      <w:ind w:firstLine="567"/>
      <w:jc w:val="center"/>
      <w:textAlignment w:val="baseline"/>
    </w:pPr>
    <w:rPr>
      <w:rFonts w:ascii="黑体" w:hAnsi="宋体" w:eastAsia="黑体" w:cs="宋体"/>
      <w:b/>
      <w:kern w:val="0"/>
      <w:sz w:val="32"/>
      <w:szCs w:val="20"/>
    </w:rPr>
  </w:style>
  <w:style w:type="paragraph" w:customStyle="1" w:styleId="1470">
    <w:name w:val="表格内正文"/>
    <w:qFormat/>
    <w:uiPriority w:val="0"/>
    <w:pPr>
      <w:widowControl w:val="0"/>
      <w:spacing w:beforeLines="20" w:afterLines="20" w:line="0" w:lineRule="atLeast"/>
      <w:jc w:val="center"/>
    </w:pPr>
    <w:rPr>
      <w:rFonts w:ascii="Times New Roman" w:hAnsi="Times New Roman" w:eastAsia="宋体" w:cs="Times New Roman"/>
      <w:kern w:val="2"/>
      <w:sz w:val="21"/>
      <w:szCs w:val="24"/>
      <w:lang w:val="en-US" w:eastAsia="zh-CN" w:bidi="ar-SA"/>
    </w:rPr>
  </w:style>
  <w:style w:type="character" w:customStyle="1" w:styleId="1471">
    <w:name w:val="line31"/>
    <w:qFormat/>
    <w:uiPriority w:val="0"/>
    <w:rPr>
      <w:color w:val="993333"/>
      <w:spacing w:val="360"/>
    </w:rPr>
  </w:style>
  <w:style w:type="character" w:customStyle="1" w:styleId="1472">
    <w:name w:val="表文字 Char"/>
    <w:qFormat/>
    <w:uiPriority w:val="0"/>
    <w:rPr>
      <w:rFonts w:ascii="Arial" w:hAnsi="Arial" w:eastAsia="宋体"/>
      <w:sz w:val="21"/>
      <w:lang w:val="en-US" w:eastAsia="zh-CN" w:bidi="ar-SA"/>
    </w:rPr>
  </w:style>
  <w:style w:type="paragraph" w:customStyle="1" w:styleId="1473">
    <w:name w:val="样式 宋体 小四 加粗 行距: 最小值 12 磅"/>
    <w:basedOn w:val="1"/>
    <w:qFormat/>
    <w:uiPriority w:val="0"/>
    <w:pPr>
      <w:spacing w:before="120" w:after="120" w:line="240" w:lineRule="atLeast"/>
    </w:pPr>
    <w:rPr>
      <w:rFonts w:ascii="宋体" w:hAnsi="宋体" w:cs="宋体"/>
      <w:b/>
      <w:bCs/>
      <w:kern w:val="0"/>
      <w:sz w:val="24"/>
      <w:szCs w:val="20"/>
    </w:rPr>
  </w:style>
  <w:style w:type="paragraph" w:customStyle="1" w:styleId="1474">
    <w:name w:val="样式 样式 标题 6 + (符号) Verdana 10 磅 左侧: (单实线 自动设置  0.5 磅 行宽) 右侧: (单....."/>
    <w:basedOn w:val="1"/>
    <w:qFormat/>
    <w:uiPriority w:val="0"/>
    <w:pPr>
      <w:keepNext/>
      <w:outlineLvl w:val="5"/>
    </w:pPr>
    <w:rPr>
      <w:rFonts w:ascii="宋体" w:hAnsi="Verdana" w:cs="宋体"/>
      <w:b/>
      <w:bCs/>
      <w:kern w:val="0"/>
      <w:szCs w:val="20"/>
      <w:lang w:eastAsia="en-US"/>
    </w:rPr>
  </w:style>
  <w:style w:type="paragraph" w:customStyle="1" w:styleId="1475">
    <w:name w:val="Char Char Char Char Char Char Char Char Char"/>
    <w:basedOn w:val="1"/>
    <w:qFormat/>
    <w:uiPriority w:val="0"/>
    <w:pPr>
      <w:spacing w:line="360" w:lineRule="auto"/>
      <w:ind w:firstLine="200" w:firstLineChars="200"/>
    </w:pPr>
    <w:rPr>
      <w:rFonts w:ascii="宋体" w:hAnsi="宋体" w:cs="宋体"/>
      <w:kern w:val="0"/>
      <w:sz w:val="24"/>
      <w:szCs w:val="24"/>
    </w:rPr>
  </w:style>
  <w:style w:type="paragraph" w:customStyle="1" w:styleId="1476">
    <w:name w:val="表1"/>
    <w:next w:val="1"/>
    <w:qFormat/>
    <w:uiPriority w:val="99"/>
    <w:pPr>
      <w:adjustRightInd w:val="0"/>
      <w:snapToGrid w:val="0"/>
      <w:jc w:val="center"/>
    </w:pPr>
    <w:rPr>
      <w:rFonts w:ascii="Times New Roman" w:hAnsi="Times New Roman" w:eastAsia="宋体" w:cs="Times New Roman"/>
      <w:sz w:val="21"/>
      <w:lang w:val="en-US" w:eastAsia="zh-CN" w:bidi="ar-SA"/>
    </w:rPr>
  </w:style>
  <w:style w:type="character" w:customStyle="1" w:styleId="1477">
    <w:name w:val="_Heading 2 Char"/>
    <w:qFormat/>
    <w:uiPriority w:val="9"/>
    <w:rPr>
      <w:rFonts w:ascii="Arial" w:hAnsi="Arial" w:eastAsia="黑体"/>
      <w:b/>
      <w:bCs/>
      <w:kern w:val="2"/>
      <w:sz w:val="32"/>
      <w:szCs w:val="32"/>
      <w:lang w:val="en-US" w:eastAsia="zh-CN" w:bidi="ar-SA"/>
    </w:rPr>
  </w:style>
  <w:style w:type="paragraph" w:customStyle="1" w:styleId="1478">
    <w:name w:val="12"/>
    <w:basedOn w:val="1"/>
    <w:next w:val="73"/>
    <w:qFormat/>
    <w:uiPriority w:val="0"/>
    <w:pPr>
      <w:spacing w:after="120"/>
      <w:ind w:left="420" w:leftChars="200"/>
    </w:pPr>
    <w:rPr>
      <w:rFonts w:ascii="宋体" w:hAnsi="宋体" w:cs="宋体"/>
      <w:kern w:val="0"/>
      <w:sz w:val="16"/>
      <w:szCs w:val="16"/>
    </w:rPr>
  </w:style>
  <w:style w:type="paragraph" w:customStyle="1" w:styleId="1479">
    <w:name w:val="Char Char Char1 Char Char Char Char"/>
    <w:basedOn w:val="1"/>
    <w:next w:val="1"/>
    <w:qFormat/>
    <w:uiPriority w:val="0"/>
    <w:pPr>
      <w:spacing w:line="360" w:lineRule="auto"/>
      <w:ind w:firstLine="200" w:firstLineChars="200"/>
    </w:pPr>
    <w:rPr>
      <w:rFonts w:ascii="宋体" w:hAnsi="宋体" w:eastAsia="汉鼎简书宋" w:cs="宋体"/>
      <w:kern w:val="0"/>
      <w:sz w:val="24"/>
      <w:szCs w:val="24"/>
    </w:rPr>
  </w:style>
  <w:style w:type="paragraph" w:customStyle="1" w:styleId="1480">
    <w:name w:val="默认段落字体 Para Char Char Char Char Char Char Char"/>
    <w:basedOn w:val="1"/>
    <w:qFormat/>
    <w:uiPriority w:val="0"/>
    <w:rPr>
      <w:rFonts w:ascii="Arial" w:hAnsi="Arial" w:cs="Arial"/>
      <w:kern w:val="0"/>
      <w:sz w:val="20"/>
      <w:szCs w:val="20"/>
    </w:rPr>
  </w:style>
  <w:style w:type="paragraph" w:customStyle="1" w:styleId="1481">
    <w:name w:val="Char Char Char Char Char Char1 Char"/>
    <w:basedOn w:val="1"/>
    <w:qFormat/>
    <w:uiPriority w:val="0"/>
    <w:pPr>
      <w:spacing w:after="160" w:line="240" w:lineRule="exact"/>
    </w:pPr>
    <w:rPr>
      <w:rFonts w:ascii="Arial" w:hAnsi="Arial" w:eastAsia="Times New Roman" w:cs="Verdana"/>
      <w:b/>
      <w:kern w:val="0"/>
      <w:sz w:val="24"/>
      <w:szCs w:val="20"/>
      <w:lang w:eastAsia="en-US"/>
    </w:rPr>
  </w:style>
  <w:style w:type="paragraph" w:customStyle="1" w:styleId="1482">
    <w:name w:val="Char Char Char Char Char Char Char1"/>
    <w:basedOn w:val="1"/>
    <w:qFormat/>
    <w:uiPriority w:val="0"/>
    <w:pPr>
      <w:spacing w:line="360" w:lineRule="auto"/>
      <w:ind w:firstLine="200" w:firstLineChars="200"/>
    </w:pPr>
    <w:rPr>
      <w:rFonts w:ascii="宋体" w:hAnsi="宋体" w:cs="宋体"/>
      <w:kern w:val="0"/>
      <w:sz w:val="24"/>
      <w:szCs w:val="24"/>
    </w:rPr>
  </w:style>
  <w:style w:type="paragraph" w:customStyle="1" w:styleId="1483">
    <w:name w:val="Char Char Char Char Char Char Char Char Char1"/>
    <w:basedOn w:val="1"/>
    <w:qFormat/>
    <w:uiPriority w:val="0"/>
    <w:pPr>
      <w:spacing w:line="360" w:lineRule="auto"/>
      <w:ind w:firstLine="200" w:firstLineChars="200"/>
    </w:pPr>
    <w:rPr>
      <w:rFonts w:ascii="宋体" w:hAnsi="宋体" w:cs="宋体"/>
      <w:kern w:val="0"/>
      <w:sz w:val="24"/>
      <w:szCs w:val="24"/>
    </w:rPr>
  </w:style>
  <w:style w:type="paragraph" w:customStyle="1" w:styleId="1484">
    <w:name w:val="Char21"/>
    <w:basedOn w:val="1"/>
    <w:qFormat/>
    <w:uiPriority w:val="0"/>
    <w:rPr>
      <w:rFonts w:ascii="宋体" w:hAnsi="宋体" w:cs="宋体"/>
      <w:kern w:val="0"/>
      <w:szCs w:val="24"/>
    </w:rPr>
  </w:style>
  <w:style w:type="paragraph" w:customStyle="1" w:styleId="1485">
    <w:name w:val="Char Char Char1 Char Char Char Char1"/>
    <w:basedOn w:val="1"/>
    <w:next w:val="1"/>
    <w:qFormat/>
    <w:uiPriority w:val="0"/>
    <w:pPr>
      <w:spacing w:line="360" w:lineRule="auto"/>
      <w:ind w:firstLine="200" w:firstLineChars="200"/>
    </w:pPr>
    <w:rPr>
      <w:rFonts w:ascii="宋体" w:hAnsi="宋体" w:eastAsia="汉鼎简书宋" w:cs="宋体"/>
      <w:kern w:val="0"/>
      <w:sz w:val="24"/>
      <w:szCs w:val="24"/>
    </w:rPr>
  </w:style>
  <w:style w:type="paragraph" w:customStyle="1" w:styleId="1486">
    <w:name w:val="Char Char Char Char Char Char1 Char1"/>
    <w:basedOn w:val="1"/>
    <w:qFormat/>
    <w:uiPriority w:val="0"/>
    <w:pPr>
      <w:spacing w:after="160" w:line="240" w:lineRule="exact"/>
    </w:pPr>
    <w:rPr>
      <w:rFonts w:ascii="Arial" w:hAnsi="Arial" w:eastAsia="Times New Roman" w:cs="Verdana"/>
      <w:b/>
      <w:kern w:val="0"/>
      <w:sz w:val="24"/>
      <w:szCs w:val="20"/>
      <w:lang w:eastAsia="en-US"/>
    </w:rPr>
  </w:style>
  <w:style w:type="paragraph" w:customStyle="1" w:styleId="1487">
    <w:name w:val="zjm"/>
    <w:basedOn w:val="1"/>
    <w:next w:val="1"/>
    <w:qFormat/>
    <w:uiPriority w:val="0"/>
    <w:pPr>
      <w:spacing w:line="360" w:lineRule="auto"/>
      <w:ind w:firstLine="200" w:firstLineChars="200"/>
    </w:pPr>
    <w:rPr>
      <w:rFonts w:ascii="宋体" w:hAnsi="宋体" w:eastAsia="仿宋_GB2312" w:cs="宋体"/>
      <w:kern w:val="0"/>
      <w:sz w:val="30"/>
      <w:szCs w:val="24"/>
    </w:rPr>
  </w:style>
  <w:style w:type="paragraph" w:customStyle="1" w:styleId="1488">
    <w:name w:val="表格样式4"/>
    <w:basedOn w:val="1388"/>
    <w:qFormat/>
    <w:uiPriority w:val="0"/>
    <w:pPr>
      <w:spacing w:line="260" w:lineRule="exact"/>
      <w:ind w:firstLine="105" w:firstLineChars="50"/>
      <w:jc w:val="left"/>
    </w:pPr>
  </w:style>
  <w:style w:type="paragraph" w:customStyle="1" w:styleId="1489">
    <w:name w:val="陈表头文字"/>
    <w:basedOn w:val="1"/>
    <w:next w:val="1"/>
    <w:link w:val="1490"/>
    <w:semiHidden/>
    <w:qFormat/>
    <w:uiPriority w:val="0"/>
    <w:pPr>
      <w:keepNext/>
      <w:spacing w:line="288" w:lineRule="auto"/>
      <w:jc w:val="center"/>
    </w:pPr>
    <w:rPr>
      <w:rFonts w:ascii="宋体" w:hAnsi="宋体" w:eastAsia="仿宋_GB2312" w:cs="宋体"/>
      <w:b/>
      <w:kern w:val="0"/>
      <w:sz w:val="24"/>
      <w:szCs w:val="24"/>
    </w:rPr>
  </w:style>
  <w:style w:type="character" w:customStyle="1" w:styleId="1490">
    <w:name w:val="陈表头文字 Char"/>
    <w:link w:val="1489"/>
    <w:semiHidden/>
    <w:qFormat/>
    <w:uiPriority w:val="0"/>
    <w:rPr>
      <w:rFonts w:ascii="宋体" w:hAnsi="宋体" w:eastAsia="仿宋_GB2312" w:cs="宋体"/>
      <w:b/>
      <w:sz w:val="24"/>
      <w:szCs w:val="24"/>
    </w:rPr>
  </w:style>
  <w:style w:type="paragraph" w:customStyle="1" w:styleId="1491">
    <w:name w:val="标题44"/>
    <w:basedOn w:val="1"/>
    <w:next w:val="1"/>
    <w:link w:val="1492"/>
    <w:qFormat/>
    <w:uiPriority w:val="0"/>
    <w:pPr>
      <w:spacing w:line="360" w:lineRule="auto"/>
      <w:outlineLvl w:val="3"/>
    </w:pPr>
    <w:rPr>
      <w:rFonts w:ascii="宋体" w:hAnsi="宋体" w:cs="宋体"/>
      <w:b/>
      <w:kern w:val="0"/>
      <w:sz w:val="24"/>
    </w:rPr>
  </w:style>
  <w:style w:type="character" w:customStyle="1" w:styleId="1492">
    <w:name w:val="标题44 Char"/>
    <w:link w:val="1491"/>
    <w:qFormat/>
    <w:uiPriority w:val="0"/>
    <w:rPr>
      <w:rFonts w:ascii="宋体" w:hAnsi="宋体" w:cs="宋体"/>
      <w:b/>
      <w:sz w:val="24"/>
      <w:szCs w:val="22"/>
    </w:rPr>
  </w:style>
  <w:style w:type="paragraph" w:customStyle="1" w:styleId="1493">
    <w:name w:val="CM68"/>
    <w:basedOn w:val="160"/>
    <w:next w:val="160"/>
    <w:qFormat/>
    <w:uiPriority w:val="0"/>
    <w:pPr>
      <w:spacing w:after="160"/>
    </w:pPr>
    <w:rPr>
      <w:rFonts w:ascii="华文楷体" w:hAnsi="Times New Roman" w:eastAsia="华文楷体" w:cs="Times New Roman"/>
      <w:color w:val="auto"/>
    </w:rPr>
  </w:style>
  <w:style w:type="paragraph" w:customStyle="1" w:styleId="1494">
    <w:name w:val="CM9"/>
    <w:basedOn w:val="160"/>
    <w:next w:val="160"/>
    <w:qFormat/>
    <w:uiPriority w:val="0"/>
    <w:pPr>
      <w:spacing w:line="468" w:lineRule="atLeast"/>
    </w:pPr>
    <w:rPr>
      <w:rFonts w:ascii="华文楷体" w:hAnsi="Times New Roman" w:eastAsia="华文楷体" w:cs="Times New Roman"/>
      <w:color w:val="auto"/>
    </w:rPr>
  </w:style>
  <w:style w:type="paragraph" w:customStyle="1" w:styleId="1495">
    <w:name w:val="CM69"/>
    <w:basedOn w:val="160"/>
    <w:next w:val="160"/>
    <w:qFormat/>
    <w:uiPriority w:val="0"/>
    <w:pPr>
      <w:spacing w:after="85"/>
    </w:pPr>
    <w:rPr>
      <w:rFonts w:ascii="华文楷体" w:hAnsi="Times New Roman" w:eastAsia="华文楷体" w:cs="Times New Roman"/>
      <w:color w:val="auto"/>
    </w:rPr>
  </w:style>
  <w:style w:type="paragraph" w:customStyle="1" w:styleId="1496">
    <w:name w:val="CM70"/>
    <w:basedOn w:val="1"/>
    <w:next w:val="1"/>
    <w:qFormat/>
    <w:uiPriority w:val="0"/>
    <w:pPr>
      <w:autoSpaceDE w:val="0"/>
      <w:autoSpaceDN w:val="0"/>
      <w:adjustRightInd w:val="0"/>
      <w:spacing w:after="265"/>
    </w:pPr>
    <w:rPr>
      <w:rFonts w:ascii="华文楷体" w:hAnsi="宋体" w:eastAsia="华文楷体" w:cs="宋体"/>
      <w:kern w:val="0"/>
      <w:sz w:val="24"/>
      <w:szCs w:val="24"/>
    </w:rPr>
  </w:style>
  <w:style w:type="paragraph" w:customStyle="1" w:styleId="1497">
    <w:name w:val="CM72"/>
    <w:basedOn w:val="1"/>
    <w:next w:val="1"/>
    <w:qFormat/>
    <w:uiPriority w:val="0"/>
    <w:pPr>
      <w:autoSpaceDE w:val="0"/>
      <w:autoSpaceDN w:val="0"/>
      <w:adjustRightInd w:val="0"/>
      <w:spacing w:after="620"/>
    </w:pPr>
    <w:rPr>
      <w:rFonts w:ascii="华文楷体" w:hAnsi="宋体" w:eastAsia="华文楷体" w:cs="宋体"/>
      <w:kern w:val="0"/>
      <w:sz w:val="24"/>
      <w:szCs w:val="24"/>
    </w:rPr>
  </w:style>
  <w:style w:type="paragraph" w:customStyle="1" w:styleId="1498">
    <w:name w:val="CM73"/>
    <w:basedOn w:val="1"/>
    <w:next w:val="1"/>
    <w:qFormat/>
    <w:uiPriority w:val="0"/>
    <w:pPr>
      <w:autoSpaceDE w:val="0"/>
      <w:autoSpaceDN w:val="0"/>
      <w:adjustRightInd w:val="0"/>
      <w:spacing w:after="418"/>
    </w:pPr>
    <w:rPr>
      <w:rFonts w:ascii="华文楷体" w:hAnsi="宋体" w:eastAsia="华文楷体" w:cs="宋体"/>
      <w:kern w:val="0"/>
      <w:sz w:val="24"/>
      <w:szCs w:val="24"/>
    </w:rPr>
  </w:style>
  <w:style w:type="paragraph" w:customStyle="1" w:styleId="1499">
    <w:name w:val="CM74"/>
    <w:basedOn w:val="1"/>
    <w:next w:val="1"/>
    <w:qFormat/>
    <w:uiPriority w:val="0"/>
    <w:pPr>
      <w:autoSpaceDE w:val="0"/>
      <w:autoSpaceDN w:val="0"/>
      <w:adjustRightInd w:val="0"/>
      <w:spacing w:after="127"/>
    </w:pPr>
    <w:rPr>
      <w:rFonts w:ascii="华文楷体" w:hAnsi="宋体" w:eastAsia="华文楷体" w:cs="宋体"/>
      <w:kern w:val="0"/>
      <w:sz w:val="24"/>
      <w:szCs w:val="24"/>
    </w:rPr>
  </w:style>
  <w:style w:type="paragraph" w:customStyle="1" w:styleId="1500">
    <w:name w:val="CM77"/>
    <w:basedOn w:val="1"/>
    <w:next w:val="1"/>
    <w:qFormat/>
    <w:uiPriority w:val="0"/>
    <w:pPr>
      <w:autoSpaceDE w:val="0"/>
      <w:autoSpaceDN w:val="0"/>
      <w:adjustRightInd w:val="0"/>
      <w:spacing w:after="67"/>
    </w:pPr>
    <w:rPr>
      <w:rFonts w:ascii="华文楷体" w:hAnsi="宋体" w:eastAsia="华文楷体" w:cs="宋体"/>
      <w:kern w:val="0"/>
      <w:sz w:val="24"/>
      <w:szCs w:val="24"/>
    </w:rPr>
  </w:style>
  <w:style w:type="paragraph" w:customStyle="1" w:styleId="1501">
    <w:name w:val="CM80"/>
    <w:basedOn w:val="160"/>
    <w:next w:val="160"/>
    <w:qFormat/>
    <w:uiPriority w:val="0"/>
    <w:pPr>
      <w:spacing w:after="488"/>
    </w:pPr>
    <w:rPr>
      <w:rFonts w:ascii="华文楷体" w:hAnsi="Times New Roman" w:eastAsia="华文楷体" w:cs="Times New Roman"/>
      <w:color w:val="auto"/>
    </w:rPr>
  </w:style>
  <w:style w:type="paragraph" w:customStyle="1" w:styleId="1502">
    <w:name w:val="CM19"/>
    <w:basedOn w:val="160"/>
    <w:next w:val="160"/>
    <w:qFormat/>
    <w:uiPriority w:val="0"/>
    <w:pPr>
      <w:spacing w:line="468" w:lineRule="atLeast"/>
    </w:pPr>
    <w:rPr>
      <w:rFonts w:ascii="华文楷体" w:hAnsi="Times New Roman" w:eastAsia="华文楷体" w:cs="Times New Roman"/>
      <w:color w:val="auto"/>
    </w:rPr>
  </w:style>
  <w:style w:type="paragraph" w:customStyle="1" w:styleId="1503">
    <w:name w:val="CM33"/>
    <w:basedOn w:val="160"/>
    <w:next w:val="160"/>
    <w:qFormat/>
    <w:uiPriority w:val="0"/>
    <w:pPr>
      <w:spacing w:line="468" w:lineRule="atLeast"/>
    </w:pPr>
    <w:rPr>
      <w:rFonts w:ascii="华文楷体" w:hAnsi="Times New Roman" w:eastAsia="华文楷体" w:cs="Times New Roman"/>
      <w:color w:val="auto"/>
    </w:rPr>
  </w:style>
  <w:style w:type="paragraph" w:customStyle="1" w:styleId="1504">
    <w:name w:val="CM36"/>
    <w:basedOn w:val="160"/>
    <w:next w:val="160"/>
    <w:qFormat/>
    <w:uiPriority w:val="0"/>
    <w:pPr>
      <w:spacing w:line="468" w:lineRule="atLeast"/>
    </w:pPr>
    <w:rPr>
      <w:rFonts w:ascii="华文楷体" w:hAnsi="Times New Roman" w:eastAsia="华文楷体" w:cs="Times New Roman"/>
      <w:color w:val="auto"/>
    </w:rPr>
  </w:style>
  <w:style w:type="paragraph" w:customStyle="1" w:styleId="1505">
    <w:name w:val="CM27"/>
    <w:basedOn w:val="160"/>
    <w:next w:val="160"/>
    <w:qFormat/>
    <w:uiPriority w:val="0"/>
    <w:pPr>
      <w:spacing w:line="468" w:lineRule="atLeast"/>
    </w:pPr>
    <w:rPr>
      <w:rFonts w:ascii="华文楷体" w:hAnsi="Times New Roman" w:eastAsia="华文楷体" w:cs="Times New Roman"/>
      <w:color w:val="auto"/>
    </w:rPr>
  </w:style>
  <w:style w:type="paragraph" w:customStyle="1" w:styleId="1506">
    <w:name w:val="标题3，章+段前2行，段后2行，行距15.5"/>
    <w:basedOn w:val="7"/>
    <w:qFormat/>
    <w:uiPriority w:val="0"/>
    <w:pPr>
      <w:numPr>
        <w:ilvl w:val="0"/>
        <w:numId w:val="0"/>
      </w:numPr>
      <w:tabs>
        <w:tab w:val="clear" w:pos="630"/>
      </w:tabs>
      <w:spacing w:before="260" w:beforeLines="70" w:after="260" w:afterLines="50" w:line="310" w:lineRule="exact"/>
      <w:jc w:val="left"/>
    </w:pPr>
    <w:rPr>
      <w:rFonts w:ascii="宋体" w:hAnsi="宋体" w:cs="宋体"/>
      <w:b w:val="0"/>
      <w:bCs w:val="0"/>
      <w:kern w:val="44"/>
      <w:sz w:val="44"/>
      <w:szCs w:val="32"/>
    </w:rPr>
  </w:style>
  <w:style w:type="paragraph" w:customStyle="1" w:styleId="1507">
    <w:name w:val="样式 标题3，章+段前2行，段后2行，行距15.5 + 居中"/>
    <w:basedOn w:val="1506"/>
    <w:qFormat/>
    <w:uiPriority w:val="0"/>
    <w:pPr>
      <w:spacing w:before="218" w:after="156"/>
      <w:jc w:val="center"/>
    </w:pPr>
    <w:rPr>
      <w:szCs w:val="20"/>
    </w:rPr>
  </w:style>
  <w:style w:type="paragraph" w:customStyle="1" w:styleId="1508">
    <w:name w:val="CM1"/>
    <w:basedOn w:val="160"/>
    <w:next w:val="160"/>
    <w:qFormat/>
    <w:uiPriority w:val="0"/>
    <w:pPr>
      <w:spacing w:line="468" w:lineRule="atLeast"/>
    </w:pPr>
    <w:rPr>
      <w:rFonts w:ascii="黑体" w:hAnsi="Times New Roman" w:eastAsia="黑体" w:cs="黑体"/>
      <w:color w:val="auto"/>
    </w:rPr>
  </w:style>
  <w:style w:type="paragraph" w:customStyle="1" w:styleId="1509">
    <w:name w:val="CM3"/>
    <w:basedOn w:val="160"/>
    <w:next w:val="160"/>
    <w:qFormat/>
    <w:uiPriority w:val="0"/>
    <w:pPr>
      <w:spacing w:line="468" w:lineRule="atLeast"/>
    </w:pPr>
    <w:rPr>
      <w:rFonts w:ascii="黑体" w:hAnsi="Times New Roman" w:eastAsia="黑体" w:cs="黑体"/>
      <w:color w:val="auto"/>
    </w:rPr>
  </w:style>
  <w:style w:type="paragraph" w:customStyle="1" w:styleId="1510">
    <w:name w:val="CM4"/>
    <w:basedOn w:val="160"/>
    <w:next w:val="160"/>
    <w:qFormat/>
    <w:uiPriority w:val="0"/>
    <w:pPr>
      <w:spacing w:line="468" w:lineRule="atLeast"/>
    </w:pPr>
    <w:rPr>
      <w:rFonts w:ascii="黑体" w:hAnsi="Times New Roman" w:eastAsia="黑体" w:cs="黑体"/>
      <w:color w:val="auto"/>
    </w:rPr>
  </w:style>
  <w:style w:type="paragraph" w:customStyle="1" w:styleId="1511">
    <w:name w:val="CM5"/>
    <w:basedOn w:val="160"/>
    <w:next w:val="160"/>
    <w:qFormat/>
    <w:uiPriority w:val="0"/>
    <w:pPr>
      <w:spacing w:line="468" w:lineRule="atLeast"/>
    </w:pPr>
    <w:rPr>
      <w:rFonts w:ascii="黑体" w:hAnsi="Times New Roman" w:eastAsia="黑体" w:cs="黑体"/>
      <w:color w:val="auto"/>
    </w:rPr>
  </w:style>
  <w:style w:type="paragraph" w:customStyle="1" w:styleId="1512">
    <w:name w:val="CM10"/>
    <w:basedOn w:val="160"/>
    <w:next w:val="160"/>
    <w:qFormat/>
    <w:uiPriority w:val="0"/>
    <w:rPr>
      <w:rFonts w:ascii="黑体" w:hAnsi="Times New Roman" w:eastAsia="黑体" w:cs="黑体"/>
      <w:color w:val="auto"/>
    </w:rPr>
  </w:style>
  <w:style w:type="paragraph" w:customStyle="1" w:styleId="1513">
    <w:name w:val="CM6"/>
    <w:basedOn w:val="160"/>
    <w:next w:val="160"/>
    <w:qFormat/>
    <w:uiPriority w:val="0"/>
    <w:pPr>
      <w:spacing w:line="468" w:lineRule="atLeast"/>
    </w:pPr>
    <w:rPr>
      <w:rFonts w:ascii="黑体" w:hAnsi="Times New Roman" w:eastAsia="黑体" w:cs="黑体"/>
      <w:color w:val="auto"/>
    </w:rPr>
  </w:style>
  <w:style w:type="paragraph" w:customStyle="1" w:styleId="1514">
    <w:name w:val="CM7"/>
    <w:basedOn w:val="160"/>
    <w:next w:val="160"/>
    <w:qFormat/>
    <w:uiPriority w:val="0"/>
    <w:pPr>
      <w:spacing w:line="468" w:lineRule="atLeast"/>
    </w:pPr>
    <w:rPr>
      <w:rFonts w:ascii="黑体" w:hAnsi="Times New Roman" w:eastAsia="黑体" w:cs="黑体"/>
      <w:color w:val="auto"/>
    </w:rPr>
  </w:style>
  <w:style w:type="character" w:customStyle="1" w:styleId="1515">
    <w:name w:val="xl26 Char"/>
    <w:qFormat/>
    <w:uiPriority w:val="0"/>
    <w:rPr>
      <w:rFonts w:ascii="Times New Roman" w:hAnsi="宋体"/>
      <w:sz w:val="18"/>
      <w:szCs w:val="18"/>
    </w:rPr>
  </w:style>
  <w:style w:type="paragraph" w:customStyle="1" w:styleId="1516">
    <w:name w:val="CM22"/>
    <w:basedOn w:val="1"/>
    <w:next w:val="1"/>
    <w:qFormat/>
    <w:uiPriority w:val="0"/>
    <w:pPr>
      <w:autoSpaceDE w:val="0"/>
      <w:autoSpaceDN w:val="0"/>
      <w:adjustRightInd w:val="0"/>
      <w:spacing w:line="400" w:lineRule="atLeast"/>
    </w:pPr>
    <w:rPr>
      <w:rFonts w:ascii="华文楷体" w:hAnsi="宋体" w:eastAsia="华文楷体" w:cs="宋体"/>
      <w:kern w:val="0"/>
      <w:sz w:val="24"/>
      <w:szCs w:val="24"/>
    </w:rPr>
  </w:style>
  <w:style w:type="paragraph" w:customStyle="1" w:styleId="1517">
    <w:name w:val="文字"/>
    <w:basedOn w:val="1"/>
    <w:link w:val="1518"/>
    <w:qFormat/>
    <w:uiPriority w:val="0"/>
    <w:pPr>
      <w:spacing w:line="360" w:lineRule="auto"/>
      <w:ind w:firstLine="480" w:firstLineChars="200"/>
    </w:pPr>
    <w:rPr>
      <w:rFonts w:ascii="宋体" w:hAnsi="宋体" w:cs="宋体"/>
      <w:kern w:val="0"/>
      <w:sz w:val="24"/>
      <w:szCs w:val="20"/>
    </w:rPr>
  </w:style>
  <w:style w:type="character" w:customStyle="1" w:styleId="1518">
    <w:name w:val="文字 Char"/>
    <w:link w:val="1517"/>
    <w:qFormat/>
    <w:uiPriority w:val="0"/>
    <w:rPr>
      <w:rFonts w:ascii="宋体" w:hAnsi="宋体" w:cs="宋体"/>
      <w:sz w:val="24"/>
    </w:rPr>
  </w:style>
  <w:style w:type="paragraph" w:customStyle="1" w:styleId="1519">
    <w:name w:val="正文格式"/>
    <w:basedOn w:val="1"/>
    <w:link w:val="1520"/>
    <w:qFormat/>
    <w:uiPriority w:val="0"/>
    <w:pPr>
      <w:spacing w:line="360" w:lineRule="auto"/>
      <w:ind w:firstLine="482"/>
    </w:pPr>
    <w:rPr>
      <w:rFonts w:ascii="宋体" w:hAnsi="宋体" w:cs="宋体"/>
      <w:kern w:val="0"/>
      <w:sz w:val="24"/>
      <w:szCs w:val="24"/>
    </w:rPr>
  </w:style>
  <w:style w:type="character" w:customStyle="1" w:styleId="1520">
    <w:name w:val="正文格式 Char"/>
    <w:link w:val="1519"/>
    <w:qFormat/>
    <w:uiPriority w:val="0"/>
    <w:rPr>
      <w:rFonts w:ascii="宋体" w:hAnsi="宋体" w:cs="宋体"/>
      <w:sz w:val="24"/>
      <w:szCs w:val="24"/>
    </w:rPr>
  </w:style>
  <w:style w:type="paragraph" w:customStyle="1" w:styleId="1521">
    <w:name w:val="环境影响报告书"/>
    <w:basedOn w:val="1"/>
    <w:next w:val="1"/>
    <w:qFormat/>
    <w:uiPriority w:val="0"/>
    <w:pPr>
      <w:jc w:val="center"/>
    </w:pPr>
    <w:rPr>
      <w:rFonts w:ascii="宋体" w:hAnsi="宋体" w:eastAsia="黑体" w:cs="宋体"/>
      <w:b/>
      <w:bCs/>
      <w:spacing w:val="30"/>
      <w:kern w:val="0"/>
      <w:sz w:val="52"/>
      <w:szCs w:val="20"/>
    </w:rPr>
  </w:style>
  <w:style w:type="character" w:customStyle="1" w:styleId="1522">
    <w:name w:val="zwb-正文 Char"/>
    <w:link w:val="1523"/>
    <w:qFormat/>
    <w:uiPriority w:val="0"/>
    <w:rPr>
      <w:kern w:val="2"/>
      <w:sz w:val="24"/>
      <w:szCs w:val="24"/>
    </w:rPr>
  </w:style>
  <w:style w:type="paragraph" w:customStyle="1" w:styleId="1523">
    <w:name w:val="zwb-正文"/>
    <w:basedOn w:val="1"/>
    <w:link w:val="1522"/>
    <w:qFormat/>
    <w:uiPriority w:val="0"/>
    <w:pPr>
      <w:spacing w:line="360" w:lineRule="auto"/>
      <w:ind w:firstLine="200" w:firstLineChars="200"/>
    </w:pPr>
    <w:rPr>
      <w:rFonts w:ascii="Times New Roman" w:hAnsi="Times New Roman"/>
      <w:sz w:val="24"/>
      <w:szCs w:val="24"/>
    </w:rPr>
  </w:style>
  <w:style w:type="paragraph" w:customStyle="1" w:styleId="1524">
    <w:name w:val="1-正文"/>
    <w:basedOn w:val="1"/>
    <w:link w:val="1525"/>
    <w:qFormat/>
    <w:uiPriority w:val="0"/>
    <w:pPr>
      <w:spacing w:line="360" w:lineRule="auto"/>
      <w:ind w:firstLine="200" w:firstLineChars="200"/>
    </w:pPr>
    <w:rPr>
      <w:rFonts w:ascii="宋体" w:hAnsi="宋体" w:cs="宋体"/>
      <w:kern w:val="0"/>
      <w:sz w:val="24"/>
      <w:szCs w:val="24"/>
    </w:rPr>
  </w:style>
  <w:style w:type="character" w:customStyle="1" w:styleId="1525">
    <w:name w:val="1-正文 Char"/>
    <w:link w:val="1524"/>
    <w:qFormat/>
    <w:uiPriority w:val="0"/>
    <w:rPr>
      <w:rFonts w:ascii="宋体" w:hAnsi="宋体" w:cs="宋体"/>
      <w:sz w:val="24"/>
      <w:szCs w:val="24"/>
    </w:rPr>
  </w:style>
  <w:style w:type="paragraph" w:customStyle="1" w:styleId="1526">
    <w:name w:val="陈表格中内容"/>
    <w:basedOn w:val="1"/>
    <w:next w:val="1"/>
    <w:link w:val="1527"/>
    <w:qFormat/>
    <w:uiPriority w:val="0"/>
    <w:pPr>
      <w:adjustRightInd w:val="0"/>
      <w:snapToGrid w:val="0"/>
      <w:spacing w:line="240" w:lineRule="exact"/>
      <w:jc w:val="center"/>
    </w:pPr>
    <w:rPr>
      <w:rFonts w:ascii="仿宋" w:hAnsi="仿宋" w:eastAsia="仿宋" w:cs="宋体"/>
      <w:color w:val="000000"/>
      <w:kern w:val="0"/>
      <w:szCs w:val="21"/>
    </w:rPr>
  </w:style>
  <w:style w:type="character" w:customStyle="1" w:styleId="1527">
    <w:name w:val="陈表格中内容 Char"/>
    <w:link w:val="1526"/>
    <w:qFormat/>
    <w:uiPriority w:val="0"/>
    <w:rPr>
      <w:rFonts w:ascii="仿宋" w:hAnsi="仿宋" w:eastAsia="仿宋" w:cs="宋体"/>
      <w:color w:val="000000"/>
      <w:sz w:val="21"/>
      <w:szCs w:val="21"/>
    </w:rPr>
  </w:style>
  <w:style w:type="character" w:customStyle="1" w:styleId="1528">
    <w:name w:val="ca-131"/>
    <w:qFormat/>
    <w:uiPriority w:val="0"/>
    <w:rPr>
      <w:rFonts w:ascii="Times New Roman" w:hAnsi="Times New Roman"/>
      <w:sz w:val="24"/>
    </w:rPr>
  </w:style>
  <w:style w:type="character" w:customStyle="1" w:styleId="1529">
    <w:name w:val="ca-191"/>
    <w:qFormat/>
    <w:uiPriority w:val="0"/>
    <w:rPr>
      <w:rFonts w:ascii="宋体" w:hAnsi="宋体" w:eastAsia="宋体"/>
      <w:sz w:val="24"/>
    </w:rPr>
  </w:style>
  <w:style w:type="paragraph" w:customStyle="1" w:styleId="1530">
    <w:name w:val="album-div"/>
    <w:basedOn w:val="1"/>
    <w:qFormat/>
    <w:uiPriority w:val="0"/>
    <w:pPr>
      <w:spacing w:before="100" w:beforeAutospacing="1" w:after="100" w:afterAutospacing="1"/>
    </w:pPr>
    <w:rPr>
      <w:rFonts w:ascii="宋体" w:hAnsi="宋体" w:cs="宋体"/>
      <w:kern w:val="0"/>
      <w:sz w:val="24"/>
      <w:szCs w:val="24"/>
    </w:rPr>
  </w:style>
  <w:style w:type="character" w:customStyle="1" w:styleId="1531">
    <w:name w:val="count"/>
    <w:qFormat/>
    <w:uiPriority w:val="0"/>
  </w:style>
  <w:style w:type="character" w:customStyle="1" w:styleId="1532">
    <w:name w:val="st"/>
    <w:qFormat/>
    <w:uiPriority w:val="0"/>
    <w:rPr>
      <w:rFonts w:cs="Times New Roman"/>
    </w:rPr>
  </w:style>
  <w:style w:type="paragraph" w:customStyle="1" w:styleId="1533">
    <w:name w:val="!hb1"/>
    <w:link w:val="1534"/>
    <w:qFormat/>
    <w:uiPriority w:val="0"/>
    <w:pPr>
      <w:widowControl w:val="0"/>
      <w:adjustRightInd w:val="0"/>
      <w:spacing w:line="360" w:lineRule="auto"/>
      <w:ind w:firstLine="200" w:firstLineChars="200"/>
      <w:jc w:val="both"/>
      <w:textAlignment w:val="baseline"/>
    </w:pPr>
    <w:rPr>
      <w:rFonts w:ascii="Times New Roman" w:hAnsi="Times New Roman" w:eastAsia="宋体" w:cs="黑体"/>
      <w:bCs/>
      <w:kern w:val="44"/>
      <w:szCs w:val="32"/>
      <w:lang w:val="en-US" w:eastAsia="zh-CN" w:bidi="ar-SA"/>
    </w:rPr>
  </w:style>
  <w:style w:type="character" w:customStyle="1" w:styleId="1534">
    <w:name w:val="!hb1 Char Char"/>
    <w:basedOn w:val="101"/>
    <w:link w:val="1533"/>
    <w:qFormat/>
    <w:uiPriority w:val="0"/>
    <w:rPr>
      <w:rFonts w:cs="黑体"/>
      <w:bCs/>
      <w:kern w:val="44"/>
      <w:szCs w:val="32"/>
    </w:rPr>
  </w:style>
  <w:style w:type="character" w:customStyle="1" w:styleId="1535">
    <w:name w:val="正式文本 Char"/>
    <w:link w:val="1536"/>
    <w:qFormat/>
    <w:uiPriority w:val="0"/>
    <w:rPr>
      <w:rFonts w:ascii="宋体" w:hAnsi="Arial Narrow"/>
      <w:sz w:val="24"/>
    </w:rPr>
  </w:style>
  <w:style w:type="paragraph" w:customStyle="1" w:styleId="1536">
    <w:name w:val="正式文本"/>
    <w:basedOn w:val="1"/>
    <w:link w:val="1535"/>
    <w:qFormat/>
    <w:uiPriority w:val="0"/>
    <w:pPr>
      <w:adjustRightInd w:val="0"/>
      <w:spacing w:line="500" w:lineRule="exact"/>
      <w:ind w:firstLine="200" w:firstLineChars="200"/>
    </w:pPr>
    <w:rPr>
      <w:rFonts w:ascii="宋体" w:hAnsi="Arial Narrow"/>
      <w:kern w:val="0"/>
      <w:sz w:val="24"/>
      <w:szCs w:val="20"/>
    </w:rPr>
  </w:style>
  <w:style w:type="paragraph" w:customStyle="1" w:styleId="1537">
    <w:name w:val="Char Char27"/>
    <w:basedOn w:val="1"/>
    <w:qFormat/>
    <w:uiPriority w:val="0"/>
    <w:rPr>
      <w:rFonts w:ascii="宋体" w:hAnsi="宋体" w:cs="宋体"/>
      <w:kern w:val="0"/>
      <w:szCs w:val="24"/>
    </w:rPr>
  </w:style>
  <w:style w:type="character" w:customStyle="1" w:styleId="1538">
    <w:name w:val="!BG_正文 Char Char"/>
    <w:basedOn w:val="101"/>
    <w:qFormat/>
    <w:uiPriority w:val="0"/>
    <w:rPr>
      <w:kern w:val="2"/>
      <w:sz w:val="24"/>
      <w:szCs w:val="24"/>
    </w:rPr>
  </w:style>
  <w:style w:type="character" w:customStyle="1" w:styleId="1539">
    <w:name w:val="Char Char25"/>
    <w:basedOn w:val="101"/>
    <w:qFormat/>
    <w:uiPriority w:val="0"/>
    <w:rPr>
      <w:sz w:val="18"/>
      <w:szCs w:val="18"/>
    </w:rPr>
  </w:style>
  <w:style w:type="character" w:customStyle="1" w:styleId="1540">
    <w:name w:val="Char Char34"/>
    <w:basedOn w:val="101"/>
    <w:qFormat/>
    <w:uiPriority w:val="0"/>
    <w:rPr>
      <w:rFonts w:ascii="Times New Roman" w:hAnsi="Times New Roman" w:eastAsia="黑体" w:cs="Times New Roman"/>
      <w:kern w:val="44"/>
      <w:sz w:val="32"/>
      <w:szCs w:val="44"/>
    </w:rPr>
  </w:style>
  <w:style w:type="character" w:customStyle="1" w:styleId="1541">
    <w:name w:val="Char Char24"/>
    <w:basedOn w:val="101"/>
    <w:qFormat/>
    <w:uiPriority w:val="0"/>
    <w:rPr>
      <w:rFonts w:ascii="宋体"/>
      <w:kern w:val="2"/>
      <w:sz w:val="18"/>
      <w:szCs w:val="18"/>
    </w:rPr>
  </w:style>
  <w:style w:type="character" w:customStyle="1" w:styleId="1542">
    <w:name w:val="Char Char33"/>
    <w:basedOn w:val="101"/>
    <w:qFormat/>
    <w:uiPriority w:val="0"/>
    <w:rPr>
      <w:b/>
      <w:bCs/>
      <w:kern w:val="2"/>
      <w:sz w:val="30"/>
      <w:szCs w:val="32"/>
      <w:lang w:val="en-US" w:eastAsia="zh-CN" w:bidi="ar-SA"/>
    </w:rPr>
  </w:style>
  <w:style w:type="character" w:customStyle="1" w:styleId="1543">
    <w:name w:val="Char Char32"/>
    <w:basedOn w:val="101"/>
    <w:qFormat/>
    <w:uiPriority w:val="0"/>
    <w:rPr>
      <w:b/>
      <w:bCs/>
      <w:kern w:val="2"/>
      <w:sz w:val="24"/>
      <w:szCs w:val="32"/>
      <w:lang w:val="en-US" w:eastAsia="zh-CN" w:bidi="ar-SA"/>
    </w:rPr>
  </w:style>
  <w:style w:type="paragraph" w:customStyle="1" w:styleId="1544">
    <w:name w:val="正文 小四 行距: 1.5 倍行距"/>
    <w:basedOn w:val="1"/>
    <w:link w:val="1545"/>
    <w:qFormat/>
    <w:uiPriority w:val="0"/>
    <w:pPr>
      <w:spacing w:line="360" w:lineRule="auto"/>
      <w:ind w:firstLine="480" w:firstLineChars="200"/>
    </w:pPr>
    <w:rPr>
      <w:rFonts w:ascii="宋体" w:hAnsi="宋体" w:cs="宋体"/>
      <w:kern w:val="0"/>
      <w:sz w:val="24"/>
      <w:szCs w:val="20"/>
    </w:rPr>
  </w:style>
  <w:style w:type="character" w:customStyle="1" w:styleId="1545">
    <w:name w:val="正文 小四 行距: 1.5 倍行距 Char"/>
    <w:basedOn w:val="101"/>
    <w:link w:val="1544"/>
    <w:qFormat/>
    <w:uiPriority w:val="0"/>
    <w:rPr>
      <w:rFonts w:ascii="宋体" w:hAnsi="宋体" w:cs="宋体"/>
      <w:sz w:val="24"/>
    </w:rPr>
  </w:style>
  <w:style w:type="character" w:customStyle="1" w:styleId="1546">
    <w:name w:val="Char Char30"/>
    <w:basedOn w:val="101"/>
    <w:qFormat/>
    <w:uiPriority w:val="0"/>
    <w:rPr>
      <w:bCs/>
      <w:kern w:val="2"/>
      <w:sz w:val="28"/>
      <w:szCs w:val="28"/>
    </w:rPr>
  </w:style>
  <w:style w:type="character" w:customStyle="1" w:styleId="1547">
    <w:name w:val="Char Char31"/>
    <w:basedOn w:val="101"/>
    <w:qFormat/>
    <w:uiPriority w:val="0"/>
    <w:rPr>
      <w:b/>
      <w:bCs/>
      <w:kern w:val="2"/>
      <w:sz w:val="24"/>
      <w:szCs w:val="28"/>
    </w:rPr>
  </w:style>
  <w:style w:type="character" w:customStyle="1" w:styleId="1548">
    <w:name w:val="Char Char29"/>
    <w:basedOn w:val="101"/>
    <w:qFormat/>
    <w:uiPriority w:val="0"/>
    <w:rPr>
      <w:rFonts w:ascii="Arial" w:hAnsi="Arial" w:eastAsia="黑体"/>
      <w:b/>
      <w:bCs/>
      <w:kern w:val="2"/>
      <w:sz w:val="24"/>
      <w:szCs w:val="24"/>
    </w:rPr>
  </w:style>
  <w:style w:type="character" w:customStyle="1" w:styleId="1549">
    <w:name w:val="Char Char28"/>
    <w:basedOn w:val="101"/>
    <w:qFormat/>
    <w:uiPriority w:val="0"/>
    <w:rPr>
      <w:b/>
      <w:bCs/>
      <w:kern w:val="2"/>
      <w:sz w:val="24"/>
      <w:szCs w:val="24"/>
    </w:rPr>
  </w:style>
  <w:style w:type="character" w:customStyle="1" w:styleId="1550">
    <w:name w:val="Char Char26"/>
    <w:basedOn w:val="101"/>
    <w:qFormat/>
    <w:uiPriority w:val="0"/>
    <w:rPr>
      <w:rFonts w:ascii="Arial" w:hAnsi="Arial" w:eastAsia="黑体"/>
      <w:kern w:val="2"/>
      <w:sz w:val="24"/>
      <w:szCs w:val="21"/>
    </w:rPr>
  </w:style>
  <w:style w:type="character" w:customStyle="1" w:styleId="1551">
    <w:name w:val="rsdesckey1"/>
    <w:basedOn w:val="101"/>
    <w:qFormat/>
    <w:uiPriority w:val="0"/>
    <w:rPr>
      <w:color w:val="FF0000"/>
    </w:rPr>
  </w:style>
  <w:style w:type="character" w:customStyle="1" w:styleId="1552">
    <w:name w:val="样式 自定义正文 + 首行缩进:  2 字符 Char Char"/>
    <w:basedOn w:val="1553"/>
    <w:qFormat/>
    <w:uiPriority w:val="0"/>
    <w:rPr>
      <w:spacing w:val="-2"/>
      <w:kern w:val="2"/>
      <w:sz w:val="28"/>
      <w:szCs w:val="24"/>
    </w:rPr>
  </w:style>
  <w:style w:type="character" w:customStyle="1" w:styleId="1553">
    <w:name w:val="自定义正文 Char Char Char Char"/>
    <w:basedOn w:val="101"/>
    <w:link w:val="1554"/>
    <w:qFormat/>
    <w:uiPriority w:val="0"/>
    <w:rPr>
      <w:spacing w:val="-2"/>
      <w:kern w:val="2"/>
      <w:sz w:val="28"/>
      <w:szCs w:val="24"/>
    </w:rPr>
  </w:style>
  <w:style w:type="paragraph" w:customStyle="1" w:styleId="1554">
    <w:name w:val="自定义正文 Char Char Char1"/>
    <w:link w:val="1553"/>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character" w:customStyle="1" w:styleId="1555">
    <w:name w:val="自定义正文 Char"/>
    <w:basedOn w:val="101"/>
    <w:link w:val="1556"/>
    <w:qFormat/>
    <w:uiPriority w:val="0"/>
    <w:rPr>
      <w:spacing w:val="-2"/>
      <w:kern w:val="2"/>
      <w:sz w:val="28"/>
      <w:szCs w:val="24"/>
    </w:rPr>
  </w:style>
  <w:style w:type="paragraph" w:customStyle="1" w:styleId="1556">
    <w:name w:val="自定义正文"/>
    <w:link w:val="1555"/>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character" w:customStyle="1" w:styleId="1557">
    <w:name w:val="样式20 Char"/>
    <w:basedOn w:val="101"/>
    <w:link w:val="1558"/>
    <w:qFormat/>
    <w:uiPriority w:val="0"/>
    <w:rPr>
      <w:rFonts w:ascii="宋体" w:hAnsi="宋体"/>
      <w:kern w:val="2"/>
      <w:sz w:val="24"/>
      <w:szCs w:val="24"/>
    </w:rPr>
  </w:style>
  <w:style w:type="paragraph" w:customStyle="1" w:styleId="1558">
    <w:name w:val="样式20"/>
    <w:basedOn w:val="1"/>
    <w:link w:val="1557"/>
    <w:qFormat/>
    <w:uiPriority w:val="0"/>
    <w:pPr>
      <w:spacing w:line="360" w:lineRule="auto"/>
      <w:ind w:firstLine="480" w:firstLineChars="200"/>
    </w:pPr>
    <w:rPr>
      <w:rFonts w:ascii="宋体" w:hAnsi="宋体"/>
      <w:sz w:val="24"/>
      <w:szCs w:val="24"/>
    </w:rPr>
  </w:style>
  <w:style w:type="character" w:customStyle="1" w:styleId="1559">
    <w:name w:val="章 Char Char Char Char"/>
    <w:basedOn w:val="101"/>
    <w:link w:val="1560"/>
    <w:qFormat/>
    <w:uiPriority w:val="0"/>
    <w:rPr>
      <w:rFonts w:eastAsia="黑体_GB2312"/>
      <w:b/>
      <w:snapToGrid w:val="0"/>
      <w:kern w:val="2"/>
      <w:sz w:val="36"/>
      <w:szCs w:val="36"/>
    </w:rPr>
  </w:style>
  <w:style w:type="paragraph" w:customStyle="1" w:styleId="1560">
    <w:name w:val="章 Char Char Char"/>
    <w:next w:val="6"/>
    <w:link w:val="1559"/>
    <w:qFormat/>
    <w:uiPriority w:val="0"/>
    <w:pPr>
      <w:widowControl w:val="0"/>
      <w:snapToGrid w:val="0"/>
      <w:spacing w:line="360" w:lineRule="auto"/>
      <w:jc w:val="center"/>
    </w:pPr>
    <w:rPr>
      <w:rFonts w:ascii="Times New Roman" w:hAnsi="Times New Roman" w:eastAsia="黑体_GB2312" w:cs="Times New Roman"/>
      <w:b/>
      <w:snapToGrid w:val="0"/>
      <w:kern w:val="2"/>
      <w:sz w:val="36"/>
      <w:szCs w:val="36"/>
      <w:lang w:val="en-US" w:eastAsia="zh-CN" w:bidi="ar-SA"/>
    </w:rPr>
  </w:style>
  <w:style w:type="character" w:customStyle="1" w:styleId="1561">
    <w:name w:val="main1"/>
    <w:basedOn w:val="101"/>
    <w:qFormat/>
    <w:uiPriority w:val="0"/>
    <w:rPr>
      <w:rFonts w:hint="eastAsia" w:ascii="宋体" w:hAnsi="宋体" w:eastAsia="宋体"/>
      <w:color w:val="0033CC"/>
      <w:sz w:val="18"/>
      <w:szCs w:val="18"/>
    </w:rPr>
  </w:style>
  <w:style w:type="character" w:customStyle="1" w:styleId="1562">
    <w:name w:val="style31"/>
    <w:basedOn w:val="101"/>
    <w:qFormat/>
    <w:uiPriority w:val="0"/>
    <w:rPr>
      <w:sz w:val="21"/>
      <w:szCs w:val="21"/>
    </w:rPr>
  </w:style>
  <w:style w:type="character" w:customStyle="1" w:styleId="1563">
    <w:name w:val="小节1 Char Char"/>
    <w:basedOn w:val="101"/>
    <w:link w:val="1564"/>
    <w:qFormat/>
    <w:uiPriority w:val="0"/>
    <w:rPr>
      <w:rFonts w:eastAsia="黑体_GB2312"/>
      <w:b/>
      <w:kern w:val="2"/>
      <w:position w:val="-28"/>
      <w:sz w:val="28"/>
      <w:szCs w:val="28"/>
    </w:rPr>
  </w:style>
  <w:style w:type="paragraph" w:customStyle="1" w:styleId="1564">
    <w:name w:val="小节1 Char"/>
    <w:next w:val="1565"/>
    <w:link w:val="1563"/>
    <w:qFormat/>
    <w:uiPriority w:val="0"/>
    <w:pPr>
      <w:widowControl w:val="0"/>
      <w:adjustRightInd w:val="0"/>
      <w:snapToGrid w:val="0"/>
      <w:spacing w:line="360" w:lineRule="auto"/>
    </w:pPr>
    <w:rPr>
      <w:rFonts w:ascii="Times New Roman" w:hAnsi="Times New Roman" w:eastAsia="黑体_GB2312" w:cs="Times New Roman"/>
      <w:b/>
      <w:kern w:val="2"/>
      <w:position w:val="-28"/>
      <w:sz w:val="28"/>
      <w:szCs w:val="28"/>
      <w:lang w:val="en-US" w:eastAsia="zh-CN" w:bidi="ar-SA"/>
    </w:rPr>
  </w:style>
  <w:style w:type="paragraph" w:customStyle="1" w:styleId="1565">
    <w:name w:val="自定义正文 Char Char"/>
    <w:link w:val="1566"/>
    <w:qFormat/>
    <w:uiPriority w:val="0"/>
    <w:pPr>
      <w:widowControl w:val="0"/>
      <w:adjustRightInd w:val="0"/>
      <w:snapToGrid w:val="0"/>
      <w:spacing w:line="360" w:lineRule="auto"/>
      <w:ind w:firstLine="510"/>
      <w:jc w:val="both"/>
    </w:pPr>
    <w:rPr>
      <w:rFonts w:ascii="Times New Roman" w:hAnsi="Times New Roman" w:eastAsia="宋体" w:cs="Times New Roman"/>
      <w:spacing w:val="-2"/>
      <w:kern w:val="2"/>
      <w:sz w:val="28"/>
      <w:szCs w:val="24"/>
      <w:lang w:val="en-US" w:eastAsia="zh-CN" w:bidi="ar-SA"/>
    </w:rPr>
  </w:style>
  <w:style w:type="character" w:customStyle="1" w:styleId="1566">
    <w:name w:val="自定义正文 Char Char Char"/>
    <w:basedOn w:val="101"/>
    <w:link w:val="1565"/>
    <w:qFormat/>
    <w:uiPriority w:val="0"/>
    <w:rPr>
      <w:spacing w:val="-2"/>
      <w:kern w:val="2"/>
      <w:sz w:val="28"/>
      <w:szCs w:val="24"/>
    </w:rPr>
  </w:style>
  <w:style w:type="character" w:customStyle="1" w:styleId="1567">
    <w:name w:val="style1 style2 style3 style4 style5 style6"/>
    <w:basedOn w:val="101"/>
    <w:qFormat/>
    <w:uiPriority w:val="0"/>
  </w:style>
  <w:style w:type="character" w:customStyle="1" w:styleId="1568">
    <w:name w:val="style41"/>
    <w:basedOn w:val="101"/>
    <w:qFormat/>
    <w:uiPriority w:val="0"/>
    <w:rPr>
      <w:color w:val="000000"/>
      <w:sz w:val="16"/>
      <w:szCs w:val="16"/>
    </w:rPr>
  </w:style>
  <w:style w:type="character" w:customStyle="1" w:styleId="1569">
    <w:name w:val="ch中文正文 Char"/>
    <w:basedOn w:val="101"/>
    <w:qFormat/>
    <w:uiPriority w:val="0"/>
    <w:rPr>
      <w:sz w:val="24"/>
      <w:lang w:val="en-US" w:eastAsia="zh-CN"/>
    </w:rPr>
  </w:style>
  <w:style w:type="character" w:customStyle="1" w:styleId="1570">
    <w:name w:val="正文样式100 Char"/>
    <w:basedOn w:val="101"/>
    <w:link w:val="1571"/>
    <w:qFormat/>
    <w:uiPriority w:val="0"/>
    <w:rPr>
      <w:rFonts w:eastAsia="华文新魏"/>
      <w:b/>
      <w:bCs/>
      <w:kern w:val="2"/>
      <w:sz w:val="72"/>
      <w:szCs w:val="24"/>
    </w:rPr>
  </w:style>
  <w:style w:type="paragraph" w:customStyle="1" w:styleId="1571">
    <w:name w:val="正文样式100"/>
    <w:basedOn w:val="1"/>
    <w:link w:val="1570"/>
    <w:qFormat/>
    <w:uiPriority w:val="0"/>
    <w:pPr>
      <w:adjustRightInd w:val="0"/>
      <w:snapToGrid w:val="0"/>
      <w:spacing w:line="360" w:lineRule="auto"/>
      <w:ind w:firstLine="1500" w:firstLineChars="625"/>
    </w:pPr>
    <w:rPr>
      <w:rFonts w:ascii="Times New Roman" w:hAnsi="Times New Roman" w:eastAsia="华文新魏"/>
      <w:b/>
      <w:bCs/>
      <w:sz w:val="72"/>
      <w:szCs w:val="24"/>
    </w:rPr>
  </w:style>
  <w:style w:type="character" w:customStyle="1" w:styleId="1572">
    <w:name w:val="样式 自定义正文 + 首行缩进:  2 字符 Char"/>
    <w:basedOn w:val="1566"/>
    <w:link w:val="1573"/>
    <w:qFormat/>
    <w:uiPriority w:val="0"/>
    <w:rPr>
      <w:rFonts w:cs="宋体"/>
      <w:spacing w:val="-2"/>
      <w:kern w:val="2"/>
      <w:sz w:val="28"/>
      <w:szCs w:val="24"/>
    </w:rPr>
  </w:style>
  <w:style w:type="paragraph" w:customStyle="1" w:styleId="1573">
    <w:name w:val="样式 自定义正文 + 首行缩进:  2 字符"/>
    <w:basedOn w:val="1565"/>
    <w:link w:val="1572"/>
    <w:qFormat/>
    <w:uiPriority w:val="0"/>
    <w:rPr>
      <w:rFonts w:cs="宋体"/>
    </w:rPr>
  </w:style>
  <w:style w:type="paragraph" w:customStyle="1" w:styleId="1574">
    <w:name w:val="小节1"/>
    <w:next w:val="1556"/>
    <w:qFormat/>
    <w:uiPriority w:val="0"/>
    <w:pPr>
      <w:widowControl w:val="0"/>
      <w:adjustRightInd w:val="0"/>
      <w:snapToGrid w:val="0"/>
      <w:spacing w:line="360" w:lineRule="auto"/>
    </w:pPr>
    <w:rPr>
      <w:rFonts w:ascii="Times New Roman" w:hAnsi="Times New Roman" w:eastAsia="黑体_GB2312" w:cs="Times New Roman"/>
      <w:b/>
      <w:kern w:val="2"/>
      <w:position w:val="-28"/>
      <w:sz w:val="32"/>
      <w:szCs w:val="32"/>
      <w:lang w:val="en-US" w:eastAsia="zh-CN" w:bidi="ar-SA"/>
    </w:rPr>
  </w:style>
  <w:style w:type="paragraph" w:customStyle="1" w:styleId="1575">
    <w:name w:val="小节4"/>
    <w:next w:val="1565"/>
    <w:qFormat/>
    <w:uiPriority w:val="0"/>
    <w:pPr>
      <w:widowControl w:val="0"/>
      <w:adjustRightInd w:val="0"/>
      <w:snapToGrid w:val="0"/>
      <w:spacing w:line="360" w:lineRule="auto"/>
    </w:pPr>
    <w:rPr>
      <w:rFonts w:ascii="Times New Roman" w:hAnsi="Times New Roman" w:eastAsia="黑体_GB2312" w:cs="Times New Roman"/>
      <w:b/>
      <w:kern w:val="2"/>
      <w:sz w:val="32"/>
      <w:szCs w:val="32"/>
      <w:lang w:val="en-US" w:eastAsia="zh-CN" w:bidi="ar-SA"/>
    </w:rPr>
  </w:style>
  <w:style w:type="paragraph" w:customStyle="1" w:styleId="1576">
    <w:name w:val="样式 行距: 固定值 14 磅1"/>
    <w:basedOn w:val="1"/>
    <w:qFormat/>
    <w:uiPriority w:val="0"/>
    <w:pPr>
      <w:spacing w:line="360" w:lineRule="auto"/>
      <w:ind w:firstLine="1600" w:firstLineChars="1600"/>
    </w:pPr>
    <w:rPr>
      <w:rFonts w:ascii="宋体" w:hAnsi="宋体" w:cs="宋体"/>
      <w:kern w:val="0"/>
      <w:sz w:val="24"/>
      <w:szCs w:val="20"/>
    </w:rPr>
  </w:style>
  <w:style w:type="paragraph" w:customStyle="1" w:styleId="1577">
    <w:name w:val="ch中文正文"/>
    <w:qFormat/>
    <w:uiPriority w:val="0"/>
    <w:pPr>
      <w:spacing w:beforeLines="50" w:afterLines="50" w:line="360" w:lineRule="auto"/>
      <w:ind w:firstLine="420" w:firstLineChars="200"/>
    </w:pPr>
    <w:rPr>
      <w:rFonts w:ascii="Times New Roman" w:hAnsi="Times New Roman" w:eastAsia="宋体" w:cs="Times New Roman"/>
      <w:sz w:val="24"/>
      <w:lang w:val="en-US" w:eastAsia="zh-CN" w:bidi="ar-SA"/>
    </w:rPr>
  </w:style>
  <w:style w:type="paragraph" w:customStyle="1" w:styleId="1578">
    <w:name w:val="样式 样式3 + 首行缩进:  0.85 厘米"/>
    <w:basedOn w:val="38"/>
    <w:qFormat/>
    <w:uiPriority w:val="0"/>
    <w:pPr>
      <w:tabs>
        <w:tab w:val="center" w:pos="4649"/>
        <w:tab w:val="right" w:pos="9072"/>
      </w:tabs>
      <w:snapToGrid w:val="0"/>
      <w:spacing w:line="360" w:lineRule="auto"/>
      <w:ind w:left="0" w:firstLine="1506" w:firstLineChars="625"/>
      <w:outlineLvl w:val="2"/>
    </w:pPr>
    <w:rPr>
      <w:rFonts w:ascii="Times New Roman" w:hAnsi="宋体" w:cs="宋体"/>
      <w:bCs/>
      <w:szCs w:val="28"/>
    </w:rPr>
  </w:style>
  <w:style w:type="paragraph" w:customStyle="1" w:styleId="1579">
    <w:name w:val="样式 样式7 + 首行缩进:  2.25 字符"/>
    <w:basedOn w:val="468"/>
    <w:qFormat/>
    <w:uiPriority w:val="0"/>
    <w:pPr>
      <w:keepNext w:val="0"/>
      <w:keepLines w:val="0"/>
      <w:numPr>
        <w:ilvl w:val="0"/>
        <w:numId w:val="0"/>
      </w:numPr>
      <w:tabs>
        <w:tab w:val="clear" w:pos="1040"/>
      </w:tabs>
      <w:adjustRightInd/>
      <w:ind w:firstLine="540" w:firstLineChars="225"/>
      <w:jc w:val="center"/>
      <w:outlineLvl w:val="9"/>
    </w:pPr>
    <w:rPr>
      <w:rFonts w:hAnsi="宋体" w:cs="宋体"/>
      <w:b w:val="0"/>
      <w:color w:val="0000FF"/>
      <w:kern w:val="56"/>
      <w:szCs w:val="24"/>
      <w:lang w:val="zh-CN"/>
    </w:rPr>
  </w:style>
  <w:style w:type="paragraph" w:customStyle="1" w:styleId="1580">
    <w:name w:val="12 Char Char Char Char"/>
    <w:basedOn w:val="1"/>
    <w:qFormat/>
    <w:uiPriority w:val="0"/>
    <w:pPr>
      <w:spacing w:line="360" w:lineRule="auto"/>
      <w:ind w:firstLine="200" w:firstLineChars="200"/>
    </w:pPr>
    <w:rPr>
      <w:rFonts w:ascii="宋体" w:hAnsi="宋体" w:cs="宋体"/>
      <w:kern w:val="0"/>
      <w:position w:val="-6"/>
      <w:sz w:val="28"/>
      <w:szCs w:val="20"/>
      <w:u w:val="single"/>
    </w:rPr>
  </w:style>
  <w:style w:type="character" w:customStyle="1" w:styleId="1581">
    <w:name w:val="Char Char23"/>
    <w:basedOn w:val="101"/>
    <w:qFormat/>
    <w:uiPriority w:val="0"/>
    <w:rPr>
      <w:rFonts w:ascii="Courier New" w:hAnsi="Courier New" w:cs="Courier New"/>
      <w:kern w:val="2"/>
    </w:rPr>
  </w:style>
  <w:style w:type="paragraph" w:customStyle="1" w:styleId="1582">
    <w:name w:val="图号样式100"/>
    <w:basedOn w:val="34"/>
    <w:qFormat/>
    <w:uiPriority w:val="0"/>
    <w:pPr>
      <w:spacing w:after="0" w:line="360" w:lineRule="auto"/>
      <w:ind w:firstLine="1500" w:firstLineChars="625"/>
    </w:pPr>
    <w:rPr>
      <w:rFonts w:ascii="宋体" w:hAnsi="宋体" w:cs="宋体"/>
      <w:kern w:val="0"/>
      <w:sz w:val="24"/>
      <w:szCs w:val="24"/>
    </w:rPr>
  </w:style>
  <w:style w:type="paragraph" w:customStyle="1" w:styleId="1583">
    <w:name w:val="样式 自定义正文 + 首行缩进:  2 字符1"/>
    <w:basedOn w:val="1565"/>
    <w:qFormat/>
    <w:uiPriority w:val="0"/>
    <w:pPr>
      <w:suppressLineNumbers/>
      <w:suppressAutoHyphens/>
      <w:topLinePunct/>
    </w:pPr>
    <w:rPr>
      <w:rFonts w:cs="宋体"/>
      <w:kern w:val="0"/>
      <w:szCs w:val="32"/>
    </w:rPr>
  </w:style>
  <w:style w:type="paragraph" w:customStyle="1" w:styleId="1584">
    <w:name w:val="样式 样式5 + 首行缩进:  0.85 厘米"/>
    <w:basedOn w:val="37"/>
    <w:qFormat/>
    <w:uiPriority w:val="0"/>
    <w:pPr>
      <w:keepNext/>
      <w:keepLines/>
      <w:tabs>
        <w:tab w:val="clear" w:pos="1247"/>
        <w:tab w:val="clear" w:pos="1534"/>
      </w:tabs>
      <w:adjustRightInd/>
      <w:snapToGrid/>
      <w:spacing w:line="360" w:lineRule="auto"/>
      <w:ind w:left="0" w:firstLine="1500" w:firstLineChars="625"/>
      <w:textAlignment w:val="auto"/>
      <w:outlineLvl w:val="4"/>
    </w:pPr>
    <w:rPr>
      <w:rFonts w:hAnsi="宋体" w:cs="宋体"/>
      <w:b/>
      <w:bCs/>
      <w:snapToGrid/>
      <w:sz w:val="21"/>
      <w:lang w:val="zh-CN"/>
    </w:rPr>
  </w:style>
  <w:style w:type="character" w:customStyle="1" w:styleId="1585">
    <w:name w:val="Char Char20"/>
    <w:basedOn w:val="101"/>
    <w:qFormat/>
    <w:uiPriority w:val="0"/>
    <w:rPr>
      <w:kern w:val="2"/>
      <w:sz w:val="24"/>
      <w:szCs w:val="24"/>
    </w:rPr>
  </w:style>
  <w:style w:type="paragraph" w:customStyle="1" w:styleId="1586">
    <w:name w:val="标题样式4"/>
    <w:basedOn w:val="3"/>
    <w:qFormat/>
    <w:uiPriority w:val="0"/>
    <w:pPr>
      <w:numPr>
        <w:ilvl w:val="0"/>
        <w:numId w:val="0"/>
      </w:numPr>
      <w:ind w:firstLine="1500" w:firstLineChars="625"/>
      <w:jc w:val="left"/>
    </w:pPr>
    <w:rPr>
      <w:rFonts w:ascii="黑体" w:hAnsi="Arial" w:eastAsia="黑体" w:cs="宋体"/>
      <w:b w:val="0"/>
      <w:kern w:val="0"/>
      <w:szCs w:val="24"/>
      <w:lang w:val="zh-CN"/>
    </w:rPr>
  </w:style>
  <w:style w:type="paragraph" w:customStyle="1" w:styleId="1587">
    <w:name w:val="样式 样式6 + 右2"/>
    <w:basedOn w:val="434"/>
    <w:qFormat/>
    <w:uiPriority w:val="0"/>
    <w:pPr>
      <w:keepNext w:val="0"/>
      <w:keepLines w:val="0"/>
      <w:numPr>
        <w:ilvl w:val="0"/>
        <w:numId w:val="0"/>
      </w:numPr>
      <w:tabs>
        <w:tab w:val="clear" w:pos="1247"/>
        <w:tab w:val="clear" w:pos="1400"/>
      </w:tabs>
      <w:adjustRightInd/>
      <w:ind w:firstLine="480" w:firstLineChars="200"/>
      <w:outlineLvl w:val="9"/>
    </w:pPr>
    <w:rPr>
      <w:rFonts w:ascii="宋体" w:hAnsi="宋体" w:cs="宋体"/>
      <w:b w:val="0"/>
      <w:kern w:val="24"/>
      <w:sz w:val="24"/>
      <w:lang w:val="zh-CN"/>
    </w:rPr>
  </w:style>
  <w:style w:type="paragraph" w:customStyle="1" w:styleId="1588">
    <w:name w:val="样式 样式6 + 右"/>
    <w:basedOn w:val="434"/>
    <w:qFormat/>
    <w:uiPriority w:val="0"/>
    <w:pPr>
      <w:keepNext w:val="0"/>
      <w:keepLines w:val="0"/>
      <w:numPr>
        <w:ilvl w:val="0"/>
        <w:numId w:val="0"/>
      </w:numPr>
      <w:tabs>
        <w:tab w:val="clear" w:pos="1247"/>
        <w:tab w:val="clear" w:pos="1400"/>
      </w:tabs>
      <w:adjustRightInd/>
      <w:ind w:firstLine="480" w:firstLineChars="200"/>
      <w:outlineLvl w:val="9"/>
    </w:pPr>
    <w:rPr>
      <w:rFonts w:ascii="宋体" w:hAnsi="宋体" w:cs="宋体"/>
      <w:b w:val="0"/>
      <w:kern w:val="24"/>
      <w:sz w:val="24"/>
      <w:lang w:val="zh-CN"/>
    </w:rPr>
  </w:style>
  <w:style w:type="paragraph" w:customStyle="1" w:styleId="1589">
    <w:name w:val="表格样式6"/>
    <w:basedOn w:val="1388"/>
    <w:qFormat/>
    <w:uiPriority w:val="0"/>
  </w:style>
  <w:style w:type="paragraph" w:customStyle="1" w:styleId="1590">
    <w:name w:val="小节3"/>
    <w:next w:val="1565"/>
    <w:qFormat/>
    <w:uiPriority w:val="0"/>
    <w:pPr>
      <w:widowControl w:val="0"/>
    </w:pPr>
    <w:rPr>
      <w:rFonts w:ascii="Times New Roman" w:hAnsi="Times New Roman" w:eastAsia="黑体_GB2312" w:cs="Times New Roman"/>
      <w:b/>
      <w:kern w:val="2"/>
      <w:sz w:val="32"/>
      <w:szCs w:val="32"/>
      <w:lang w:val="en-US" w:eastAsia="zh-CN" w:bidi="ar-SA"/>
    </w:rPr>
  </w:style>
  <w:style w:type="paragraph" w:customStyle="1" w:styleId="1591">
    <w:name w:val="样式 样式3 + 段前: 0.5 行"/>
    <w:basedOn w:val="38"/>
    <w:qFormat/>
    <w:uiPriority w:val="0"/>
    <w:pPr>
      <w:tabs>
        <w:tab w:val="center" w:pos="4649"/>
        <w:tab w:val="right" w:pos="9072"/>
      </w:tabs>
      <w:snapToGrid w:val="0"/>
      <w:spacing w:beforeLines="50" w:line="360" w:lineRule="auto"/>
      <w:ind w:left="0" w:firstLine="1506" w:firstLineChars="625"/>
      <w:outlineLvl w:val="2"/>
    </w:pPr>
    <w:rPr>
      <w:rFonts w:ascii="Times New Roman" w:hAnsi="宋体" w:cs="宋体"/>
      <w:bCs/>
      <w:szCs w:val="28"/>
    </w:rPr>
  </w:style>
  <w:style w:type="paragraph" w:customStyle="1" w:styleId="1592">
    <w:name w:val="样式 自定义正文 + 首行缩进:  1.13 厘米"/>
    <w:basedOn w:val="1565"/>
    <w:qFormat/>
    <w:uiPriority w:val="0"/>
    <w:pPr>
      <w:topLinePunct/>
      <w:ind w:firstLine="640"/>
    </w:pPr>
    <w:rPr>
      <w:rFonts w:cs="宋体"/>
      <w:spacing w:val="0"/>
      <w:position w:val="-28"/>
      <w:szCs w:val="20"/>
    </w:rPr>
  </w:style>
  <w:style w:type="paragraph" w:customStyle="1" w:styleId="1593">
    <w:name w:val="样式 样式6 + 右3"/>
    <w:basedOn w:val="434"/>
    <w:qFormat/>
    <w:uiPriority w:val="0"/>
    <w:pPr>
      <w:keepNext w:val="0"/>
      <w:keepLines w:val="0"/>
      <w:numPr>
        <w:ilvl w:val="0"/>
        <w:numId w:val="0"/>
      </w:numPr>
      <w:tabs>
        <w:tab w:val="clear" w:pos="1247"/>
        <w:tab w:val="clear" w:pos="1400"/>
      </w:tabs>
      <w:adjustRightInd/>
      <w:ind w:firstLine="480" w:firstLineChars="200"/>
      <w:outlineLvl w:val="9"/>
    </w:pPr>
    <w:rPr>
      <w:rFonts w:ascii="宋体" w:hAnsi="宋体" w:cs="宋体"/>
      <w:b w:val="0"/>
      <w:kern w:val="24"/>
      <w:sz w:val="24"/>
      <w:lang w:val="zh-CN"/>
    </w:rPr>
  </w:style>
  <w:style w:type="paragraph" w:customStyle="1" w:styleId="1594">
    <w:name w:val="样式 样式6 + 右1"/>
    <w:basedOn w:val="434"/>
    <w:qFormat/>
    <w:uiPriority w:val="0"/>
    <w:pPr>
      <w:keepNext w:val="0"/>
      <w:keepLines w:val="0"/>
      <w:numPr>
        <w:ilvl w:val="0"/>
        <w:numId w:val="0"/>
      </w:numPr>
      <w:tabs>
        <w:tab w:val="clear" w:pos="1247"/>
        <w:tab w:val="clear" w:pos="1400"/>
      </w:tabs>
      <w:adjustRightInd/>
      <w:ind w:firstLine="480" w:firstLineChars="200"/>
      <w:outlineLvl w:val="9"/>
    </w:pPr>
    <w:rPr>
      <w:rFonts w:ascii="宋体" w:hAnsi="宋体" w:cs="宋体"/>
      <w:b w:val="0"/>
      <w:kern w:val="24"/>
      <w:sz w:val="24"/>
      <w:lang w:val="zh-CN"/>
    </w:rPr>
  </w:style>
  <w:style w:type="paragraph" w:customStyle="1" w:styleId="1595">
    <w:name w:val="表格样式5"/>
    <w:basedOn w:val="1388"/>
    <w:qFormat/>
    <w:uiPriority w:val="0"/>
  </w:style>
  <w:style w:type="paragraph" w:customStyle="1" w:styleId="1596">
    <w:name w:val="小节2"/>
    <w:next w:val="1565"/>
    <w:qFormat/>
    <w:uiPriority w:val="0"/>
    <w:pPr>
      <w:widowControl w:val="0"/>
      <w:adjustRightInd w:val="0"/>
      <w:snapToGrid w:val="0"/>
      <w:spacing w:line="360" w:lineRule="auto"/>
    </w:pPr>
    <w:rPr>
      <w:rFonts w:ascii="Times New Roman" w:hAnsi="Times New Roman" w:eastAsia="黑体_GB2312" w:cs="Times New Roman"/>
      <w:b/>
      <w:spacing w:val="-2"/>
      <w:kern w:val="2"/>
      <w:sz w:val="28"/>
      <w:szCs w:val="24"/>
      <w:lang w:val="en-US" w:eastAsia="zh-CN" w:bidi="ar-SA"/>
    </w:rPr>
  </w:style>
  <w:style w:type="paragraph" w:customStyle="1" w:styleId="1597">
    <w:name w:val="样式 左侧:  0 厘米 悬挂缩进: 16 字符"/>
    <w:basedOn w:val="1"/>
    <w:qFormat/>
    <w:uiPriority w:val="0"/>
    <w:pPr>
      <w:spacing w:line="360" w:lineRule="auto"/>
      <w:ind w:firstLine="1500" w:firstLineChars="625"/>
    </w:pPr>
    <w:rPr>
      <w:rFonts w:ascii="宋体" w:hAnsi="宋体" w:cs="宋体"/>
      <w:kern w:val="0"/>
      <w:sz w:val="24"/>
      <w:szCs w:val="20"/>
    </w:rPr>
  </w:style>
  <w:style w:type="paragraph" w:customStyle="1" w:styleId="1598">
    <w:name w:val="表格样式2"/>
    <w:basedOn w:val="1463"/>
    <w:qFormat/>
    <w:uiPriority w:val="0"/>
    <w:pPr>
      <w:spacing w:line="240" w:lineRule="auto"/>
      <w:ind w:left="-57" w:right="-57"/>
    </w:pPr>
    <w:rPr>
      <w:sz w:val="18"/>
      <w:szCs w:val="18"/>
    </w:rPr>
  </w:style>
  <w:style w:type="paragraph" w:customStyle="1" w:styleId="1599">
    <w:name w:val="正文 + Arial"/>
    <w:basedOn w:val="1"/>
    <w:qFormat/>
    <w:uiPriority w:val="0"/>
    <w:pPr>
      <w:adjustRightInd w:val="0"/>
      <w:snapToGrid w:val="0"/>
      <w:spacing w:line="360" w:lineRule="auto"/>
      <w:ind w:right="-21" w:firstLine="600"/>
      <w:textAlignment w:val="baseline"/>
    </w:pPr>
    <w:rPr>
      <w:rFonts w:ascii="Arial" w:hAnsi="Arial" w:cs="宋体"/>
      <w:spacing w:val="20"/>
      <w:kern w:val="0"/>
      <w:sz w:val="24"/>
      <w:szCs w:val="20"/>
    </w:rPr>
  </w:style>
  <w:style w:type="paragraph" w:customStyle="1" w:styleId="1600">
    <w:name w:val="样式 左侧:  -0.5 字符 悬挂缩进: 0.43 字符"/>
    <w:basedOn w:val="1"/>
    <w:qFormat/>
    <w:uiPriority w:val="0"/>
    <w:pPr>
      <w:spacing w:line="360" w:lineRule="auto"/>
      <w:ind w:left="1890" w:hanging="1890" w:hangingChars="900"/>
    </w:pPr>
    <w:rPr>
      <w:rFonts w:ascii="宋体" w:hAnsi="宋体" w:cs="宋体"/>
      <w:kern w:val="0"/>
      <w:sz w:val="24"/>
      <w:szCs w:val="21"/>
    </w:rPr>
  </w:style>
  <w:style w:type="paragraph" w:customStyle="1" w:styleId="1601">
    <w:name w:val="Char Char Char Char Char Char Char Char Char Char Char"/>
    <w:basedOn w:val="35"/>
    <w:qFormat/>
    <w:uiPriority w:val="0"/>
    <w:pPr>
      <w:adjustRightInd/>
      <w:spacing w:line="240" w:lineRule="auto"/>
      <w:ind w:left="200"/>
      <w:textAlignment w:val="auto"/>
    </w:pPr>
    <w:rPr>
      <w:rFonts w:ascii="宋体" w:hAnsi="宋体" w:cs="宋体"/>
      <w:sz w:val="21"/>
      <w:szCs w:val="24"/>
    </w:rPr>
  </w:style>
  <w:style w:type="paragraph" w:customStyle="1" w:styleId="1602">
    <w:name w:val="样式 样式7 + 首行缩进:  2.25 字符1"/>
    <w:basedOn w:val="468"/>
    <w:qFormat/>
    <w:uiPriority w:val="0"/>
    <w:pPr>
      <w:keepNext w:val="0"/>
      <w:keepLines w:val="0"/>
      <w:numPr>
        <w:ilvl w:val="0"/>
        <w:numId w:val="0"/>
      </w:numPr>
      <w:tabs>
        <w:tab w:val="clear" w:pos="1040"/>
      </w:tabs>
      <w:adjustRightInd/>
      <w:ind w:firstLine="540" w:firstLineChars="225"/>
      <w:jc w:val="center"/>
      <w:outlineLvl w:val="9"/>
    </w:pPr>
    <w:rPr>
      <w:rFonts w:hAnsi="宋体" w:cs="宋体"/>
      <w:b w:val="0"/>
      <w:color w:val="0000FF"/>
      <w:kern w:val="56"/>
      <w:szCs w:val="24"/>
      <w:lang w:val="zh-CN"/>
    </w:rPr>
  </w:style>
  <w:style w:type="paragraph" w:customStyle="1" w:styleId="1603">
    <w:name w:val="样式 样式1 + 小五"/>
    <w:basedOn w:val="627"/>
    <w:qFormat/>
    <w:uiPriority w:val="0"/>
    <w:pPr>
      <w:overflowPunct/>
      <w:topLinePunct w:val="0"/>
      <w:autoSpaceDE/>
      <w:autoSpaceDN/>
      <w:adjustRightInd/>
      <w:snapToGrid/>
      <w:spacing w:before="50" w:line="360" w:lineRule="auto"/>
      <w:ind w:firstLine="1500" w:firstLineChars="625"/>
      <w:jc w:val="both"/>
      <w:textAlignment w:val="auto"/>
      <w:outlineLvl w:val="0"/>
    </w:pPr>
    <w:rPr>
      <w:rFonts w:hAnsi="宋体" w:cs="宋体"/>
      <w:kern w:val="0"/>
      <w:sz w:val="28"/>
      <w:szCs w:val="28"/>
    </w:rPr>
  </w:style>
  <w:style w:type="paragraph" w:customStyle="1" w:styleId="1604">
    <w:name w:val="章 Char Char"/>
    <w:next w:val="6"/>
    <w:qFormat/>
    <w:uiPriority w:val="0"/>
    <w:pPr>
      <w:widowControl w:val="0"/>
      <w:snapToGrid w:val="0"/>
      <w:spacing w:line="360" w:lineRule="auto"/>
      <w:jc w:val="center"/>
    </w:pPr>
    <w:rPr>
      <w:rFonts w:ascii="Times New Roman" w:hAnsi="Times New Roman" w:eastAsia="黑体_GB2312" w:cs="Times New Roman"/>
      <w:b/>
      <w:snapToGrid w:val="0"/>
      <w:kern w:val="2"/>
      <w:sz w:val="36"/>
      <w:szCs w:val="36"/>
      <w:lang w:val="en-US" w:eastAsia="zh-CN" w:bidi="ar-SA"/>
    </w:rPr>
  </w:style>
  <w:style w:type="paragraph" w:customStyle="1" w:styleId="1605">
    <w:name w:val="表头样式"/>
    <w:basedOn w:val="1"/>
    <w:qFormat/>
    <w:uiPriority w:val="0"/>
    <w:pPr>
      <w:spacing w:beforeLines="30" w:afterLines="20" w:line="360" w:lineRule="auto"/>
      <w:ind w:firstLine="1500" w:firstLineChars="625"/>
    </w:pPr>
    <w:rPr>
      <w:rFonts w:ascii="宋体" w:hAnsi="宋体" w:eastAsia="黑体" w:cs="宋体"/>
      <w:kern w:val="0"/>
      <w:sz w:val="28"/>
      <w:szCs w:val="24"/>
    </w:rPr>
  </w:style>
  <w:style w:type="paragraph" w:customStyle="1" w:styleId="1606">
    <w:name w:val="文章总标题"/>
    <w:basedOn w:val="1"/>
    <w:qFormat/>
    <w:uiPriority w:val="0"/>
    <w:pPr>
      <w:spacing w:line="351" w:lineRule="atLeast"/>
      <w:ind w:firstLine="1500" w:firstLineChars="625"/>
      <w:textAlignment w:val="baseline"/>
    </w:pPr>
    <w:rPr>
      <w:rFonts w:ascii="Arial Black" w:hAnsi="宋体" w:cs="宋体"/>
      <w:color w:val="000000"/>
      <w:kern w:val="0"/>
      <w:sz w:val="36"/>
      <w:szCs w:val="20"/>
      <w:u w:color="000000"/>
    </w:rPr>
  </w:style>
  <w:style w:type="paragraph" w:customStyle="1" w:styleId="1607">
    <w:name w:val="zwb-报告正文"/>
    <w:basedOn w:val="1"/>
    <w:link w:val="1608"/>
    <w:qFormat/>
    <w:uiPriority w:val="0"/>
    <w:pPr>
      <w:spacing w:line="360" w:lineRule="auto"/>
      <w:ind w:firstLine="480" w:firstLineChars="200"/>
    </w:pPr>
    <w:rPr>
      <w:rFonts w:ascii="宋体" w:hAnsi="宋体" w:cs="宋体"/>
      <w:kern w:val="0"/>
      <w:sz w:val="24"/>
      <w:szCs w:val="24"/>
    </w:rPr>
  </w:style>
  <w:style w:type="character" w:customStyle="1" w:styleId="1608">
    <w:name w:val="zwb-报告正文 Char"/>
    <w:basedOn w:val="101"/>
    <w:link w:val="1607"/>
    <w:qFormat/>
    <w:uiPriority w:val="0"/>
    <w:rPr>
      <w:rFonts w:ascii="宋体" w:hAnsi="宋体" w:cs="宋体"/>
      <w:sz w:val="24"/>
      <w:szCs w:val="24"/>
    </w:rPr>
  </w:style>
  <w:style w:type="character" w:customStyle="1" w:styleId="1609">
    <w:name w:val="ch中文正文 Char Char"/>
    <w:basedOn w:val="101"/>
    <w:qFormat/>
    <w:uiPriority w:val="0"/>
    <w:rPr>
      <w:sz w:val="24"/>
      <w:lang w:val="en-US" w:eastAsia="zh-CN"/>
    </w:rPr>
  </w:style>
  <w:style w:type="character" w:customStyle="1" w:styleId="1610">
    <w:name w:val="样式 自定义正文 + 首行缩进:  2 字符 Char Char Char"/>
    <w:basedOn w:val="1611"/>
    <w:qFormat/>
    <w:uiPriority w:val="0"/>
    <w:rPr>
      <w:rFonts w:cs="宋体"/>
      <w:spacing w:val="-2"/>
      <w:kern w:val="2"/>
      <w:sz w:val="28"/>
      <w:szCs w:val="24"/>
      <w:lang w:val="en-US" w:eastAsia="zh-CN" w:bidi="ar-SA"/>
    </w:rPr>
  </w:style>
  <w:style w:type="character" w:customStyle="1" w:styleId="1611">
    <w:name w:val="自定义正文 Char Char Char Char Char"/>
    <w:basedOn w:val="101"/>
    <w:qFormat/>
    <w:uiPriority w:val="0"/>
    <w:rPr>
      <w:spacing w:val="-2"/>
      <w:kern w:val="2"/>
      <w:sz w:val="28"/>
      <w:szCs w:val="24"/>
      <w:lang w:val="en-US" w:eastAsia="zh-CN" w:bidi="ar-SA"/>
    </w:rPr>
  </w:style>
  <w:style w:type="character" w:customStyle="1" w:styleId="1612">
    <w:name w:val="样式3 Char Char"/>
    <w:basedOn w:val="1613"/>
    <w:qFormat/>
    <w:uiPriority w:val="0"/>
    <w:rPr>
      <w:rFonts w:ascii="宋体" w:hAnsi="宋体"/>
      <w:kern w:val="2"/>
      <w:sz w:val="24"/>
      <w:szCs w:val="28"/>
    </w:rPr>
  </w:style>
  <w:style w:type="character" w:customStyle="1" w:styleId="1613">
    <w:name w:val="样式2 Char Char"/>
    <w:basedOn w:val="101"/>
    <w:qFormat/>
    <w:uiPriority w:val="0"/>
    <w:rPr>
      <w:b/>
      <w:sz w:val="24"/>
      <w:szCs w:val="28"/>
    </w:rPr>
  </w:style>
  <w:style w:type="character" w:customStyle="1" w:styleId="1614">
    <w:name w:val="章 Char Char Char Char Char Char"/>
    <w:basedOn w:val="101"/>
    <w:qFormat/>
    <w:uiPriority w:val="0"/>
    <w:rPr>
      <w:rFonts w:eastAsia="黑体_GB2312"/>
      <w:b/>
      <w:snapToGrid w:val="0"/>
      <w:kern w:val="2"/>
      <w:sz w:val="36"/>
      <w:szCs w:val="36"/>
      <w:lang w:val="en-US" w:eastAsia="zh-CN" w:bidi="ar-SA"/>
    </w:rPr>
  </w:style>
  <w:style w:type="character" w:customStyle="1" w:styleId="1615">
    <w:name w:val="正文样式100 Char Char"/>
    <w:basedOn w:val="101"/>
    <w:qFormat/>
    <w:uiPriority w:val="0"/>
    <w:rPr>
      <w:rFonts w:eastAsia="华文新魏"/>
      <w:b/>
      <w:bCs/>
      <w:kern w:val="2"/>
      <w:sz w:val="72"/>
      <w:szCs w:val="24"/>
    </w:rPr>
  </w:style>
  <w:style w:type="character" w:customStyle="1" w:styleId="1616">
    <w:name w:val="正文样式 Char Char"/>
    <w:basedOn w:val="101"/>
    <w:qFormat/>
    <w:uiPriority w:val="0"/>
    <w:rPr>
      <w:rFonts w:ascii="宋体" w:hAnsi="宋体"/>
      <w:kern w:val="2"/>
      <w:sz w:val="24"/>
      <w:szCs w:val="24"/>
    </w:rPr>
  </w:style>
  <w:style w:type="character" w:customStyle="1" w:styleId="1617">
    <w:name w:val="zwb-报告正文 Char Char"/>
    <w:basedOn w:val="101"/>
    <w:qFormat/>
    <w:uiPriority w:val="0"/>
    <w:rPr>
      <w:rFonts w:ascii="Times New Roman" w:hAnsi="Times New Roman"/>
      <w:kern w:val="2"/>
      <w:sz w:val="24"/>
      <w:szCs w:val="24"/>
    </w:rPr>
  </w:style>
  <w:style w:type="character" w:customStyle="1" w:styleId="1618">
    <w:name w:val="正文缩进 Char Char"/>
    <w:basedOn w:val="101"/>
    <w:qFormat/>
    <w:uiPriority w:val="0"/>
    <w:rPr>
      <w:rFonts w:eastAsia="宋体"/>
      <w:kern w:val="2"/>
      <w:sz w:val="21"/>
      <w:lang w:val="en-US" w:eastAsia="zh-CN" w:bidi="ar-SA"/>
    </w:rPr>
  </w:style>
  <w:style w:type="character" w:customStyle="1" w:styleId="1619">
    <w:name w:val="样式8 Char Char"/>
    <w:basedOn w:val="435"/>
    <w:qFormat/>
    <w:uiPriority w:val="0"/>
    <w:rPr>
      <w:rFonts w:ascii="Arial" w:hAnsi="Arial"/>
      <w:snapToGrid w:val="0"/>
      <w:color w:val="000000"/>
      <w:sz w:val="28"/>
    </w:rPr>
  </w:style>
  <w:style w:type="character" w:customStyle="1" w:styleId="1620">
    <w:name w:val="我的正文 Char Char"/>
    <w:basedOn w:val="101"/>
    <w:qFormat/>
    <w:uiPriority w:val="0"/>
    <w:rPr>
      <w:kern w:val="2"/>
      <w:sz w:val="24"/>
      <w:szCs w:val="24"/>
    </w:rPr>
  </w:style>
  <w:style w:type="character" w:customStyle="1" w:styleId="1621">
    <w:name w:val="标题4 Char Char"/>
    <w:basedOn w:val="1547"/>
    <w:qFormat/>
    <w:uiPriority w:val="0"/>
    <w:rPr>
      <w:rFonts w:ascii="Times New Roman" w:hAnsi="Times New Roman"/>
      <w:kern w:val="2"/>
      <w:sz w:val="24"/>
      <w:szCs w:val="28"/>
    </w:rPr>
  </w:style>
  <w:style w:type="character" w:customStyle="1" w:styleId="1622">
    <w:name w:val="样式20 Char Char"/>
    <w:basedOn w:val="101"/>
    <w:qFormat/>
    <w:uiPriority w:val="0"/>
    <w:rPr>
      <w:rFonts w:ascii="宋体" w:hAnsi="宋体" w:cs="仿宋_GB2312"/>
      <w:kern w:val="2"/>
      <w:sz w:val="24"/>
      <w:szCs w:val="24"/>
    </w:rPr>
  </w:style>
  <w:style w:type="character" w:customStyle="1" w:styleId="1623">
    <w:name w:val="正文 小四 行距: 1.5 倍行距 Char Char"/>
    <w:basedOn w:val="101"/>
    <w:qFormat/>
    <w:uiPriority w:val="0"/>
    <w:rPr>
      <w:rFonts w:ascii="Times New Roman" w:hAnsi="Times New Roman" w:cs="宋体"/>
      <w:kern w:val="2"/>
      <w:sz w:val="24"/>
    </w:rPr>
  </w:style>
  <w:style w:type="character" w:customStyle="1" w:styleId="1624">
    <w:name w:val="样式4 Char Char"/>
    <w:basedOn w:val="101"/>
    <w:qFormat/>
    <w:uiPriority w:val="0"/>
    <w:rPr>
      <w:rFonts w:ascii="宋体" w:hAnsi="宋体"/>
      <w:bCs/>
      <w:color w:val="000000"/>
      <w:kern w:val="2"/>
      <w:sz w:val="24"/>
      <w:szCs w:val="24"/>
      <w:lang w:val="zh-CN"/>
    </w:rPr>
  </w:style>
  <w:style w:type="character" w:customStyle="1" w:styleId="1625">
    <w:name w:val="样式7 Char Char"/>
    <w:basedOn w:val="435"/>
    <w:qFormat/>
    <w:uiPriority w:val="0"/>
    <w:rPr>
      <w:rFonts w:ascii="Arial" w:hAnsi="Arial"/>
      <w:snapToGrid w:val="0"/>
      <w:sz w:val="30"/>
    </w:rPr>
  </w:style>
  <w:style w:type="paragraph" w:customStyle="1" w:styleId="1626">
    <w:name w:val="1 Char Char Char Char"/>
    <w:basedOn w:val="1"/>
    <w:next w:val="1"/>
    <w:qFormat/>
    <w:uiPriority w:val="0"/>
    <w:pPr>
      <w:spacing w:line="360" w:lineRule="auto"/>
      <w:ind w:firstLine="200" w:firstLineChars="200"/>
    </w:pPr>
    <w:rPr>
      <w:rFonts w:ascii="宋体" w:hAnsi="宋体" w:cs="宋体"/>
      <w:kern w:val="0"/>
      <w:sz w:val="24"/>
      <w:szCs w:val="24"/>
    </w:rPr>
  </w:style>
  <w:style w:type="paragraph" w:customStyle="1" w:styleId="1627">
    <w:name w:val="标题 3 New New"/>
    <w:basedOn w:val="1"/>
    <w:qFormat/>
    <w:uiPriority w:val="0"/>
    <w:pPr>
      <w:tabs>
        <w:tab w:val="left" w:pos="720"/>
      </w:tabs>
      <w:ind w:left="1740"/>
    </w:pPr>
    <w:rPr>
      <w:rFonts w:ascii="宋体" w:hAnsi="宋体" w:cs="宋体"/>
      <w:kern w:val="0"/>
      <w:szCs w:val="20"/>
    </w:rPr>
  </w:style>
  <w:style w:type="paragraph" w:customStyle="1" w:styleId="1628">
    <w:name w:val="xl1745"/>
    <w:basedOn w:val="1"/>
    <w:qFormat/>
    <w:uiPriority w:val="0"/>
    <w:pPr>
      <w:pBdr>
        <w:top w:val="single" w:color="auto" w:sz="4" w:space="0"/>
        <w:left w:val="single" w:color="auto" w:sz="4" w:space="0"/>
        <w:bottom w:val="single" w:color="auto" w:sz="4" w:space="0"/>
        <w:right w:val="single" w:color="auto" w:sz="4" w:space="0"/>
      </w:pBdr>
      <w:spacing w:before="100" w:after="100"/>
      <w:jc w:val="center"/>
      <w:textAlignment w:val="center"/>
    </w:pPr>
    <w:rPr>
      <w:rFonts w:ascii="Arial Unicode MS" w:hAnsi="宋体" w:eastAsia="Arial Unicode MS" w:cs="宋体"/>
      <w:kern w:val="0"/>
      <w:sz w:val="22"/>
      <w:szCs w:val="20"/>
    </w:rPr>
  </w:style>
  <w:style w:type="character" w:customStyle="1" w:styleId="1629">
    <w:name w:val="font01"/>
    <w:qFormat/>
    <w:uiPriority w:val="0"/>
    <w:rPr>
      <w:rFonts w:hint="eastAsia" w:ascii="宋体" w:hAnsi="宋体" w:eastAsia="宋体" w:cs="宋体"/>
      <w:color w:val="000000"/>
      <w:sz w:val="22"/>
      <w:szCs w:val="22"/>
      <w:u w:val="none"/>
    </w:rPr>
  </w:style>
  <w:style w:type="character" w:customStyle="1" w:styleId="1630">
    <w:name w:val="Char Char21"/>
    <w:qFormat/>
    <w:uiPriority w:val="0"/>
    <w:rPr>
      <w:sz w:val="18"/>
      <w:szCs w:val="18"/>
    </w:rPr>
  </w:style>
  <w:style w:type="character" w:customStyle="1" w:styleId="1631">
    <w:name w:val="样式 正文缩进表正文正文非缩进 + Char"/>
    <w:link w:val="1632"/>
    <w:qFormat/>
    <w:locked/>
    <w:uiPriority w:val="0"/>
    <w:rPr>
      <w:rFonts w:ascii="宋体" w:hAnsi="宋体"/>
      <w:sz w:val="24"/>
      <w:szCs w:val="24"/>
    </w:rPr>
  </w:style>
  <w:style w:type="paragraph" w:customStyle="1" w:styleId="1632">
    <w:name w:val="样式 正文缩进表正文正文非缩进 +"/>
    <w:basedOn w:val="2"/>
    <w:link w:val="1631"/>
    <w:qFormat/>
    <w:uiPriority w:val="0"/>
    <w:pPr>
      <w:spacing w:line="360" w:lineRule="auto"/>
      <w:ind w:firstLine="200"/>
    </w:pPr>
    <w:rPr>
      <w:rFonts w:ascii="宋体" w:hAnsi="宋体"/>
      <w:kern w:val="0"/>
      <w:sz w:val="24"/>
      <w:szCs w:val="24"/>
    </w:rPr>
  </w:style>
  <w:style w:type="paragraph" w:customStyle="1" w:styleId="1633">
    <w:name w:val="表格标题样式"/>
    <w:qFormat/>
    <w:uiPriority w:val="0"/>
    <w:pPr>
      <w:spacing w:line="360" w:lineRule="auto"/>
      <w:jc w:val="center"/>
    </w:pPr>
    <w:rPr>
      <w:rFonts w:ascii="黑体" w:hAnsi="Times New Roman" w:eastAsia="黑体" w:cs="Times New Roman"/>
      <w:sz w:val="21"/>
      <w:szCs w:val="21"/>
      <w:lang w:val="en-US" w:eastAsia="zh-CN" w:bidi="ar-SA"/>
    </w:rPr>
  </w:style>
  <w:style w:type="paragraph" w:customStyle="1" w:styleId="1634">
    <w:name w:val="标准正文"/>
    <w:basedOn w:val="1"/>
    <w:qFormat/>
    <w:uiPriority w:val="0"/>
    <w:pPr>
      <w:tabs>
        <w:tab w:val="right" w:pos="8640"/>
      </w:tabs>
      <w:spacing w:afterLines="50" w:line="360" w:lineRule="auto"/>
      <w:ind w:firstLine="531" w:firstLineChars="225"/>
    </w:pPr>
    <w:rPr>
      <w:rFonts w:ascii="Garamond" w:hAnsi="Garamond" w:eastAsia="仿宋_GB2312" w:cs="宋体"/>
      <w:spacing w:val="-2"/>
      <w:kern w:val="44"/>
      <w:sz w:val="24"/>
      <w:szCs w:val="24"/>
    </w:rPr>
  </w:style>
  <w:style w:type="paragraph" w:customStyle="1" w:styleId="1635">
    <w:name w:val="ZSynopsisText"/>
    <w:basedOn w:val="1"/>
    <w:qFormat/>
    <w:uiPriority w:val="99"/>
    <w:pPr>
      <w:spacing w:before="140" w:line="280" w:lineRule="atLeast"/>
    </w:pPr>
    <w:rPr>
      <w:rFonts w:ascii="宋体" w:hAnsi="宋体" w:cs="宋体"/>
      <w:kern w:val="0"/>
      <w:sz w:val="20"/>
      <w:szCs w:val="20"/>
      <w:lang w:val="en-AU"/>
    </w:rPr>
  </w:style>
  <w:style w:type="character" w:customStyle="1" w:styleId="1636">
    <w:name w:val="样式 标 3 + 宋体 Char"/>
    <w:link w:val="1637"/>
    <w:qFormat/>
    <w:uiPriority w:val="0"/>
    <w:rPr>
      <w:rFonts w:ascii="宋体" w:hAnsi="宋体"/>
      <w:bCs/>
      <w:color w:val="000000"/>
      <w:sz w:val="28"/>
      <w:szCs w:val="28"/>
    </w:rPr>
  </w:style>
  <w:style w:type="paragraph" w:customStyle="1" w:styleId="1637">
    <w:name w:val="样式 标 3 + 宋体"/>
    <w:basedOn w:val="1638"/>
    <w:link w:val="1636"/>
    <w:qFormat/>
    <w:uiPriority w:val="0"/>
    <w:pPr>
      <w:tabs>
        <w:tab w:val="left" w:pos="768"/>
      </w:tabs>
    </w:pPr>
    <w:rPr>
      <w:rFonts w:cs="Times New Roman"/>
    </w:rPr>
  </w:style>
  <w:style w:type="paragraph" w:customStyle="1" w:styleId="1638">
    <w:name w:val="标 3"/>
    <w:basedOn w:val="7"/>
    <w:link w:val="1639"/>
    <w:qFormat/>
    <w:uiPriority w:val="0"/>
    <w:pPr>
      <w:keepNext w:val="0"/>
      <w:keepLines w:val="0"/>
      <w:numPr>
        <w:ilvl w:val="0"/>
        <w:numId w:val="0"/>
      </w:numPr>
      <w:tabs>
        <w:tab w:val="left" w:pos="768"/>
        <w:tab w:val="clear" w:pos="630"/>
      </w:tabs>
      <w:spacing w:before="0" w:beforeLines="0" w:after="0" w:afterLines="0" w:line="540" w:lineRule="exact"/>
      <w:ind w:firstLine="560" w:firstLineChars="200"/>
      <w:jc w:val="left"/>
    </w:pPr>
    <w:rPr>
      <w:rFonts w:ascii="宋体" w:hAnsi="宋体" w:cs="宋体"/>
      <w:b w:val="0"/>
      <w:color w:val="000000"/>
      <w:kern w:val="0"/>
    </w:rPr>
  </w:style>
  <w:style w:type="character" w:customStyle="1" w:styleId="1639">
    <w:name w:val="标 3 Char"/>
    <w:link w:val="1638"/>
    <w:qFormat/>
    <w:uiPriority w:val="0"/>
    <w:rPr>
      <w:rFonts w:ascii="宋体" w:hAnsi="宋体" w:cs="宋体"/>
      <w:bCs/>
      <w:color w:val="000000"/>
      <w:sz w:val="28"/>
      <w:szCs w:val="28"/>
    </w:rPr>
  </w:style>
  <w:style w:type="character" w:customStyle="1" w:styleId="1640">
    <w:name w:val="正文文本缩进 Char Char"/>
    <w:qFormat/>
    <w:uiPriority w:val="0"/>
    <w:rPr>
      <w:rFonts w:eastAsia="宋体"/>
      <w:kern w:val="2"/>
      <w:sz w:val="21"/>
      <w:szCs w:val="24"/>
      <w:lang w:val="en-US" w:eastAsia="zh-CN" w:bidi="ar-SA"/>
    </w:rPr>
  </w:style>
  <w:style w:type="character" w:customStyle="1" w:styleId="1641">
    <w:name w:val="editor_quote_mouseover"/>
    <w:qFormat/>
    <w:uiPriority w:val="0"/>
  </w:style>
  <w:style w:type="character" w:customStyle="1" w:styleId="1642">
    <w:name w:val="hover38"/>
    <w:qFormat/>
    <w:uiPriority w:val="0"/>
    <w:rPr>
      <w:shd w:val="clear" w:color="auto" w:fill="E9EDFF"/>
    </w:rPr>
  </w:style>
  <w:style w:type="character" w:customStyle="1" w:styleId="1643">
    <w:name w:val="editor_quote_active"/>
    <w:qFormat/>
    <w:uiPriority w:val="0"/>
  </w:style>
  <w:style w:type="character" w:customStyle="1" w:styleId="1644">
    <w:name w:val="editor_createlink_mousedown"/>
    <w:qFormat/>
    <w:uiPriority w:val="0"/>
  </w:style>
  <w:style w:type="character" w:customStyle="1" w:styleId="1645">
    <w:name w:val="Char Char3"/>
    <w:qFormat/>
    <w:locked/>
    <w:uiPriority w:val="0"/>
    <w:rPr>
      <w:rFonts w:ascii="Cambria" w:hAnsi="Cambria" w:eastAsia="宋体"/>
      <w:kern w:val="2"/>
      <w:sz w:val="24"/>
      <w:szCs w:val="24"/>
      <w:lang w:val="en-US" w:eastAsia="zh-CN" w:bidi="ar-SA"/>
    </w:rPr>
  </w:style>
  <w:style w:type="character" w:customStyle="1" w:styleId="1646">
    <w:name w:val="表格文字居中 Char1"/>
    <w:link w:val="1647"/>
    <w:qFormat/>
    <w:uiPriority w:val="0"/>
    <w:rPr>
      <w:snapToGrid w:val="0"/>
      <w:spacing w:val="-2"/>
      <w:sz w:val="24"/>
      <w:szCs w:val="24"/>
    </w:rPr>
  </w:style>
  <w:style w:type="paragraph" w:customStyle="1" w:styleId="1647">
    <w:name w:val="表格文字居中"/>
    <w:basedOn w:val="1"/>
    <w:next w:val="1"/>
    <w:link w:val="1646"/>
    <w:qFormat/>
    <w:uiPriority w:val="0"/>
    <w:pPr>
      <w:jc w:val="center"/>
    </w:pPr>
    <w:rPr>
      <w:rFonts w:ascii="Times New Roman" w:hAnsi="Times New Roman"/>
      <w:snapToGrid w:val="0"/>
      <w:spacing w:val="-2"/>
      <w:kern w:val="0"/>
      <w:sz w:val="24"/>
      <w:szCs w:val="24"/>
    </w:rPr>
  </w:style>
  <w:style w:type="character" w:customStyle="1" w:styleId="1648">
    <w:name w:val="Char Char6"/>
    <w:qFormat/>
    <w:uiPriority w:val="0"/>
    <w:rPr>
      <w:rFonts w:ascii="宋体" w:hAnsi="Courier New" w:eastAsia="宋体"/>
      <w:kern w:val="3"/>
      <w:sz w:val="21"/>
      <w:szCs w:val="21"/>
      <w:lang w:val="en-US" w:eastAsia="zh-CN" w:bidi="ar-SA"/>
    </w:rPr>
  </w:style>
  <w:style w:type="character" w:customStyle="1" w:styleId="1649">
    <w:name w:val="font41"/>
    <w:qFormat/>
    <w:uiPriority w:val="0"/>
    <w:rPr>
      <w:rFonts w:hint="eastAsia" w:ascii="宋体" w:hAnsi="宋体" w:eastAsia="宋体" w:cs="宋体"/>
      <w:color w:val="000000"/>
      <w:sz w:val="20"/>
      <w:szCs w:val="20"/>
      <w:u w:val="none"/>
      <w:vertAlign w:val="superscript"/>
    </w:rPr>
  </w:style>
  <w:style w:type="character" w:customStyle="1" w:styleId="1650">
    <w:name w:val="text_img"/>
    <w:basedOn w:val="101"/>
    <w:qFormat/>
    <w:uiPriority w:val="0"/>
  </w:style>
  <w:style w:type="character" w:customStyle="1" w:styleId="1651">
    <w:name w:val="albumcount"/>
    <w:basedOn w:val="101"/>
    <w:qFormat/>
    <w:uiPriority w:val="0"/>
  </w:style>
  <w:style w:type="character" w:customStyle="1" w:styleId="1652">
    <w:name w:val="@标题三"/>
    <w:qFormat/>
    <w:uiPriority w:val="0"/>
    <w:rPr>
      <w:rFonts w:eastAsia="黑体"/>
      <w:color w:val="000000"/>
      <w:spacing w:val="8"/>
      <w:kern w:val="0"/>
      <w:sz w:val="28"/>
    </w:rPr>
  </w:style>
  <w:style w:type="character" w:customStyle="1" w:styleId="1653">
    <w:name w:val="纯文本 Char2"/>
    <w:qFormat/>
    <w:uiPriority w:val="0"/>
    <w:rPr>
      <w:rFonts w:ascii="宋体" w:hAnsi="Courier New" w:eastAsia="宋体"/>
      <w:kern w:val="3"/>
      <w:sz w:val="21"/>
      <w:szCs w:val="21"/>
      <w:lang w:val="en-US" w:eastAsia="zh-CN" w:bidi="ar-SA"/>
    </w:rPr>
  </w:style>
  <w:style w:type="character" w:customStyle="1" w:styleId="1654">
    <w:name w:val="editor_createlink"/>
    <w:qFormat/>
    <w:uiPriority w:val="0"/>
  </w:style>
  <w:style w:type="character" w:customStyle="1" w:styleId="1655">
    <w:name w:val="editor_createlink_mouseover"/>
    <w:qFormat/>
    <w:uiPriority w:val="0"/>
  </w:style>
  <w:style w:type="character" w:customStyle="1" w:styleId="1656">
    <w:name w:val="zhengwen Char1"/>
    <w:link w:val="1657"/>
    <w:qFormat/>
    <w:uiPriority w:val="0"/>
    <w:rPr>
      <w:rFonts w:ascii="Arial" w:hAnsi="Arial"/>
      <w:kern w:val="2"/>
      <w:sz w:val="24"/>
      <w:szCs w:val="24"/>
    </w:rPr>
  </w:style>
  <w:style w:type="paragraph" w:customStyle="1" w:styleId="1657">
    <w:name w:val="zhengwen"/>
    <w:basedOn w:val="1"/>
    <w:link w:val="1656"/>
    <w:qFormat/>
    <w:uiPriority w:val="0"/>
    <w:rPr>
      <w:rFonts w:ascii="Arial" w:hAnsi="Arial"/>
      <w:sz w:val="24"/>
      <w:szCs w:val="24"/>
    </w:rPr>
  </w:style>
  <w:style w:type="character" w:customStyle="1" w:styleId="1658">
    <w:name w:val="文字缩进 Char Char"/>
    <w:qFormat/>
    <w:uiPriority w:val="0"/>
    <w:rPr>
      <w:rFonts w:ascii="宋体" w:hAnsi="Courier New" w:eastAsia="宋体"/>
      <w:kern w:val="3"/>
      <w:sz w:val="21"/>
      <w:szCs w:val="21"/>
      <w:lang w:val="en-US" w:eastAsia="zh-CN" w:bidi="ar-SA"/>
    </w:rPr>
  </w:style>
  <w:style w:type="character" w:customStyle="1" w:styleId="1659">
    <w:name w:val="表格文字 Char Char"/>
    <w:qFormat/>
    <w:uiPriority w:val="0"/>
    <w:rPr>
      <w:kern w:val="2"/>
      <w:sz w:val="28"/>
      <w:lang w:bidi="ar-SA"/>
    </w:rPr>
  </w:style>
  <w:style w:type="character" w:customStyle="1" w:styleId="1660">
    <w:name w:val="editor_quote_disabled"/>
    <w:qFormat/>
    <w:uiPriority w:val="0"/>
  </w:style>
  <w:style w:type="character" w:customStyle="1" w:styleId="1661">
    <w:name w:val="hover40"/>
    <w:qFormat/>
    <w:uiPriority w:val="0"/>
    <w:rPr>
      <w:shd w:val="clear" w:color="auto" w:fill="E9EDFF"/>
    </w:rPr>
  </w:style>
  <w:style w:type="character" w:customStyle="1" w:styleId="1662">
    <w:name w:val="editor_createlink_disabled"/>
    <w:qFormat/>
    <w:uiPriority w:val="0"/>
  </w:style>
  <w:style w:type="character" w:customStyle="1" w:styleId="1663">
    <w:name w:val="表格中文字居中 Char Char"/>
    <w:link w:val="1664"/>
    <w:qFormat/>
    <w:uiPriority w:val="0"/>
    <w:rPr>
      <w:rFonts w:ascii="宋体" w:hAnsi="宋体"/>
      <w:kern w:val="2"/>
      <w:sz w:val="21"/>
      <w:szCs w:val="24"/>
    </w:rPr>
  </w:style>
  <w:style w:type="paragraph" w:customStyle="1" w:styleId="1664">
    <w:name w:val="表格中文字居中"/>
    <w:basedOn w:val="1"/>
    <w:link w:val="1663"/>
    <w:qFormat/>
    <w:uiPriority w:val="0"/>
    <w:pPr>
      <w:tabs>
        <w:tab w:val="left" w:pos="1890"/>
      </w:tabs>
      <w:adjustRightInd w:val="0"/>
      <w:snapToGrid w:val="0"/>
      <w:spacing w:line="360" w:lineRule="auto"/>
      <w:jc w:val="center"/>
    </w:pPr>
    <w:rPr>
      <w:rFonts w:ascii="宋体" w:hAnsi="宋体"/>
      <w:szCs w:val="24"/>
    </w:rPr>
  </w:style>
  <w:style w:type="character" w:customStyle="1" w:styleId="1665">
    <w:name w:val="editor_quote"/>
    <w:qFormat/>
    <w:uiPriority w:val="0"/>
  </w:style>
  <w:style w:type="character" w:customStyle="1" w:styleId="1666">
    <w:name w:val="报告正文 Char1"/>
    <w:qFormat/>
    <w:uiPriority w:val="0"/>
    <w:rPr>
      <w:rFonts w:eastAsia="宋体"/>
      <w:kern w:val="2"/>
      <w:sz w:val="24"/>
      <w:lang w:val="en-US" w:eastAsia="zh-CN" w:bidi="ar-SA"/>
    </w:rPr>
  </w:style>
  <w:style w:type="character" w:customStyle="1" w:styleId="1667">
    <w:name w:val="正文缩进 Char Char Char Char1"/>
    <w:qFormat/>
    <w:uiPriority w:val="0"/>
    <w:rPr>
      <w:rFonts w:eastAsia="宋体"/>
      <w:sz w:val="21"/>
      <w:lang w:val="en-US" w:eastAsia="zh-CN" w:bidi="ar-SA"/>
    </w:rPr>
  </w:style>
  <w:style w:type="character" w:customStyle="1" w:styleId="1668">
    <w:name w:val="图表说明 Char2"/>
    <w:qFormat/>
    <w:uiPriority w:val="0"/>
    <w:rPr>
      <w:rFonts w:ascii="宋体" w:hAnsi="Courier New" w:eastAsia="宋体"/>
      <w:kern w:val="3"/>
      <w:sz w:val="21"/>
      <w:szCs w:val="21"/>
      <w:lang w:val="en-US" w:eastAsia="zh-CN" w:bidi="ar-SA"/>
    </w:rPr>
  </w:style>
  <w:style w:type="character" w:customStyle="1" w:styleId="1669">
    <w:name w:val="正文文本缩进 Char1"/>
    <w:qFormat/>
    <w:uiPriority w:val="99"/>
    <w:rPr>
      <w:kern w:val="2"/>
      <w:sz w:val="21"/>
      <w:szCs w:val="24"/>
    </w:rPr>
  </w:style>
  <w:style w:type="character" w:customStyle="1" w:styleId="1670">
    <w:name w:val="hover39"/>
    <w:qFormat/>
    <w:uiPriority w:val="0"/>
    <w:rPr>
      <w:shd w:val="clear" w:color="auto" w:fill="E9EDFF"/>
    </w:rPr>
  </w:style>
  <w:style w:type="character" w:customStyle="1" w:styleId="1671">
    <w:name w:val="number"/>
    <w:qFormat/>
    <w:uiPriority w:val="0"/>
  </w:style>
  <w:style w:type="character" w:customStyle="1" w:styleId="1672">
    <w:name w:val="editor_quote_mousedown"/>
    <w:qFormat/>
    <w:uiPriority w:val="0"/>
  </w:style>
  <w:style w:type="character" w:customStyle="1" w:styleId="1673">
    <w:name w:val="editor_createlink_active"/>
    <w:qFormat/>
    <w:uiPriority w:val="0"/>
  </w:style>
  <w:style w:type="character" w:customStyle="1" w:styleId="1674">
    <w:name w:val="标题 2 Char1"/>
    <w:qFormat/>
    <w:uiPriority w:val="9"/>
    <w:rPr>
      <w:sz w:val="24"/>
    </w:rPr>
  </w:style>
  <w:style w:type="character" w:customStyle="1" w:styleId="1675">
    <w:name w:val="纯文本 Char Char"/>
    <w:qFormat/>
    <w:uiPriority w:val="0"/>
    <w:rPr>
      <w:rFonts w:ascii="宋体" w:hAnsi="Courier New"/>
      <w:kern w:val="3"/>
      <w:sz w:val="21"/>
      <w:szCs w:val="21"/>
    </w:rPr>
  </w:style>
  <w:style w:type="paragraph" w:customStyle="1" w:styleId="1676">
    <w:name w:val="indent"/>
    <w:basedOn w:val="1"/>
    <w:qFormat/>
    <w:uiPriority w:val="0"/>
    <w:pPr>
      <w:tabs>
        <w:tab w:val="left" w:pos="360"/>
        <w:tab w:val="left" w:pos="660"/>
      </w:tabs>
      <w:autoSpaceDE w:val="0"/>
      <w:autoSpaceDN w:val="0"/>
      <w:adjustRightInd w:val="0"/>
      <w:spacing w:line="460" w:lineRule="exact"/>
      <w:ind w:right="244"/>
      <w:jc w:val="center"/>
    </w:pPr>
    <w:rPr>
      <w:rFonts w:ascii="宋体" w:hAnsi="宋体" w:cs="宋体"/>
      <w:kern w:val="0"/>
      <w:sz w:val="24"/>
      <w:szCs w:val="24"/>
    </w:rPr>
  </w:style>
  <w:style w:type="paragraph" w:customStyle="1" w:styleId="1677">
    <w:name w:val="CM11"/>
    <w:basedOn w:val="160"/>
    <w:next w:val="160"/>
    <w:qFormat/>
    <w:uiPriority w:val="0"/>
    <w:pPr>
      <w:spacing w:line="468" w:lineRule="atLeast"/>
    </w:pPr>
    <w:rPr>
      <w:rFonts w:hAnsi="Times New Roman" w:cs="Times New Roman"/>
      <w:color w:val="auto"/>
    </w:rPr>
  </w:style>
  <w:style w:type="paragraph" w:customStyle="1" w:styleId="1678">
    <w:name w:val="reader-word-layer reader-word-s1-24"/>
    <w:basedOn w:val="1"/>
    <w:qFormat/>
    <w:uiPriority w:val="0"/>
    <w:pPr>
      <w:spacing w:before="100" w:beforeAutospacing="1" w:after="100" w:afterAutospacing="1"/>
    </w:pPr>
    <w:rPr>
      <w:rFonts w:ascii="宋体" w:hAnsi="宋体" w:cs="宋体"/>
      <w:kern w:val="0"/>
      <w:sz w:val="24"/>
      <w:szCs w:val="24"/>
    </w:rPr>
  </w:style>
  <w:style w:type="paragraph" w:customStyle="1" w:styleId="1679">
    <w:name w:val="编号1)"/>
    <w:basedOn w:val="1"/>
    <w:qFormat/>
    <w:uiPriority w:val="0"/>
    <w:pPr>
      <w:tabs>
        <w:tab w:val="left" w:pos="105"/>
        <w:tab w:val="left" w:pos="422"/>
      </w:tabs>
      <w:adjustRightInd w:val="0"/>
      <w:snapToGrid w:val="0"/>
      <w:spacing w:line="360" w:lineRule="auto"/>
      <w:ind w:left="822" w:hanging="360"/>
    </w:pPr>
    <w:rPr>
      <w:rFonts w:ascii="宋体" w:hAnsi="宋体" w:cs="宋体"/>
      <w:kern w:val="0"/>
      <w:sz w:val="28"/>
      <w:szCs w:val="28"/>
    </w:rPr>
  </w:style>
  <w:style w:type="paragraph" w:customStyle="1" w:styleId="1680">
    <w:name w:val="标题三"/>
    <w:basedOn w:val="1"/>
    <w:qFormat/>
    <w:uiPriority w:val="0"/>
    <w:pPr>
      <w:spacing w:line="600" w:lineRule="exact"/>
      <w:outlineLvl w:val="2"/>
    </w:pPr>
    <w:rPr>
      <w:rFonts w:ascii="宋体" w:hAnsi="宋体" w:cs="宋体"/>
      <w:kern w:val="0"/>
      <w:sz w:val="28"/>
      <w:szCs w:val="20"/>
    </w:rPr>
  </w:style>
  <w:style w:type="paragraph" w:customStyle="1" w:styleId="1681">
    <w:name w:val="样式 文字格式 + 首行缩进:  2 字符"/>
    <w:basedOn w:val="1"/>
    <w:qFormat/>
    <w:uiPriority w:val="0"/>
    <w:pPr>
      <w:spacing w:line="560" w:lineRule="exact"/>
      <w:ind w:right="171" w:rightChars="171" w:firstLine="560" w:firstLineChars="200"/>
    </w:pPr>
    <w:rPr>
      <w:rFonts w:hint="eastAsia" w:ascii="宋体" w:hAnsi="宋体" w:cs="宋体"/>
      <w:kern w:val="0"/>
      <w:sz w:val="28"/>
    </w:rPr>
  </w:style>
  <w:style w:type="paragraph" w:customStyle="1" w:styleId="1682">
    <w:name w:val="reader-word-layer reader-word-s1-16"/>
    <w:basedOn w:val="1"/>
    <w:qFormat/>
    <w:uiPriority w:val="0"/>
    <w:pPr>
      <w:spacing w:before="100" w:beforeAutospacing="1" w:after="100" w:afterAutospacing="1"/>
    </w:pPr>
    <w:rPr>
      <w:rFonts w:ascii="宋体" w:hAnsi="宋体" w:cs="宋体"/>
      <w:kern w:val="0"/>
      <w:sz w:val="24"/>
      <w:szCs w:val="24"/>
    </w:rPr>
  </w:style>
  <w:style w:type="paragraph" w:customStyle="1" w:styleId="1683">
    <w:name w:val="reader-word-layer reader-word-s1-7"/>
    <w:basedOn w:val="1"/>
    <w:qFormat/>
    <w:uiPriority w:val="0"/>
    <w:pPr>
      <w:spacing w:before="100" w:beforeAutospacing="1" w:after="100" w:afterAutospacing="1"/>
    </w:pPr>
    <w:rPr>
      <w:rFonts w:ascii="宋体" w:hAnsi="宋体" w:cs="宋体"/>
      <w:kern w:val="0"/>
      <w:sz w:val="24"/>
      <w:szCs w:val="24"/>
    </w:rPr>
  </w:style>
  <w:style w:type="paragraph" w:customStyle="1" w:styleId="1684">
    <w:name w:val="默认段落字体 Para Char Char Char Char Char Cᕨr Char"/>
    <w:basedOn w:val="1"/>
    <w:qFormat/>
    <w:uiPriority w:val="0"/>
    <w:rPr>
      <w:rFonts w:ascii="宋体" w:hAnsi="宋体" w:cs="宋体"/>
      <w:kern w:val="0"/>
      <w:szCs w:val="24"/>
    </w:rPr>
  </w:style>
  <w:style w:type="paragraph" w:customStyle="1" w:styleId="1685">
    <w:name w:val="reader-word-layer reader-word-s1-9"/>
    <w:basedOn w:val="1"/>
    <w:qFormat/>
    <w:uiPriority w:val="0"/>
    <w:pPr>
      <w:spacing w:before="100" w:beforeAutospacing="1" w:after="100" w:afterAutospacing="1"/>
    </w:pPr>
    <w:rPr>
      <w:rFonts w:ascii="宋体" w:hAnsi="宋体" w:cs="宋体"/>
      <w:kern w:val="0"/>
      <w:sz w:val="24"/>
      <w:szCs w:val="24"/>
    </w:rPr>
  </w:style>
  <w:style w:type="paragraph" w:customStyle="1" w:styleId="1686">
    <w:name w:val="reader-word-layer reader-word-s1-6"/>
    <w:basedOn w:val="1"/>
    <w:qFormat/>
    <w:uiPriority w:val="0"/>
    <w:pPr>
      <w:spacing w:before="100" w:beforeAutospacing="1" w:after="100" w:afterAutospacing="1"/>
    </w:pPr>
    <w:rPr>
      <w:rFonts w:ascii="宋体" w:hAnsi="宋体" w:cs="宋体"/>
      <w:kern w:val="0"/>
      <w:sz w:val="24"/>
      <w:szCs w:val="24"/>
    </w:rPr>
  </w:style>
  <w:style w:type="paragraph" w:customStyle="1" w:styleId="1687">
    <w:name w:val="reader-word-layer reader-word-s1-14"/>
    <w:basedOn w:val="1"/>
    <w:qFormat/>
    <w:uiPriority w:val="0"/>
    <w:pPr>
      <w:spacing w:before="100" w:beforeAutospacing="1" w:after="100" w:afterAutospacing="1"/>
    </w:pPr>
    <w:rPr>
      <w:rFonts w:ascii="宋体" w:hAnsi="宋体" w:cs="宋体"/>
      <w:kern w:val="0"/>
      <w:sz w:val="24"/>
      <w:szCs w:val="24"/>
    </w:rPr>
  </w:style>
  <w:style w:type="paragraph" w:customStyle="1" w:styleId="1688">
    <w:name w:val="reader-word-layer reader-word-s1-20"/>
    <w:basedOn w:val="1"/>
    <w:qFormat/>
    <w:uiPriority w:val="0"/>
    <w:pPr>
      <w:spacing w:before="100" w:beforeAutospacing="1" w:after="100" w:afterAutospacing="1"/>
    </w:pPr>
    <w:rPr>
      <w:rFonts w:ascii="宋体" w:hAnsi="宋体" w:cs="宋体"/>
      <w:kern w:val="0"/>
      <w:sz w:val="24"/>
      <w:szCs w:val="24"/>
    </w:rPr>
  </w:style>
  <w:style w:type="paragraph" w:customStyle="1" w:styleId="1689">
    <w:name w:val="CM13"/>
    <w:basedOn w:val="160"/>
    <w:next w:val="160"/>
    <w:qFormat/>
    <w:uiPriority w:val="0"/>
    <w:pPr>
      <w:spacing w:line="468" w:lineRule="atLeast"/>
    </w:pPr>
    <w:rPr>
      <w:rFonts w:ascii="隶书" w:hAnsi="Times New Roman" w:eastAsia="隶书" w:cs="Times New Roman"/>
      <w:color w:val="auto"/>
    </w:rPr>
  </w:style>
  <w:style w:type="paragraph" w:customStyle="1" w:styleId="1690">
    <w:name w:val="样式 仿宋_GB2312 四号 行距: 1.5 倍行距"/>
    <w:basedOn w:val="1"/>
    <w:qFormat/>
    <w:uiPriority w:val="0"/>
    <w:pPr>
      <w:spacing w:after="120" w:line="360" w:lineRule="auto"/>
      <w:ind w:firstLine="560" w:firstLineChars="200"/>
    </w:pPr>
    <w:rPr>
      <w:rFonts w:ascii="宋体" w:hAnsi="宋体" w:cs="宋体"/>
      <w:color w:val="000000"/>
      <w:kern w:val="0"/>
      <w:sz w:val="24"/>
      <w:szCs w:val="20"/>
    </w:rPr>
  </w:style>
  <w:style w:type="paragraph" w:customStyle="1" w:styleId="1691">
    <w:name w:val="CM42"/>
    <w:basedOn w:val="160"/>
    <w:next w:val="160"/>
    <w:qFormat/>
    <w:uiPriority w:val="0"/>
    <w:pPr>
      <w:spacing w:after="173"/>
    </w:pPr>
    <w:rPr>
      <w:rFonts w:ascii="隶书" w:hAnsi="Times New Roman" w:eastAsia="隶书" w:cs="Times New Roman"/>
      <w:color w:val="auto"/>
    </w:rPr>
  </w:style>
  <w:style w:type="paragraph" w:customStyle="1" w:styleId="1692">
    <w:name w:val="新正文"/>
    <w:basedOn w:val="1"/>
    <w:qFormat/>
    <w:uiPriority w:val="0"/>
    <w:pPr>
      <w:spacing w:line="440" w:lineRule="exact"/>
      <w:ind w:firstLine="480" w:firstLineChars="200"/>
    </w:pPr>
    <w:rPr>
      <w:rFonts w:ascii="Arial" w:hAnsi="Arial" w:cs="宋体"/>
      <w:kern w:val="0"/>
      <w:sz w:val="24"/>
      <w:szCs w:val="20"/>
    </w:rPr>
  </w:style>
  <w:style w:type="paragraph" w:customStyle="1" w:styleId="1693">
    <w:name w:val="目录"/>
    <w:basedOn w:val="63"/>
    <w:qFormat/>
    <w:uiPriority w:val="0"/>
    <w:pPr>
      <w:keepNext/>
      <w:keepLines/>
      <w:tabs>
        <w:tab w:val="left" w:pos="426"/>
        <w:tab w:val="left" w:pos="854"/>
        <w:tab w:val="right" w:leader="dot" w:pos="8505"/>
        <w:tab w:val="right" w:leader="dot" w:pos="9028"/>
      </w:tabs>
      <w:adjustRightInd w:val="0"/>
      <w:snapToGrid w:val="0"/>
      <w:spacing w:line="300" w:lineRule="auto"/>
      <w:jc w:val="center"/>
    </w:pPr>
    <w:rPr>
      <w:rFonts w:hAnsi="Calibri" w:cs="Arial" w:asciiTheme="minorHAnsi"/>
      <w:b w:val="0"/>
      <w:caps w:val="0"/>
      <w:kern w:val="0"/>
      <w:sz w:val="28"/>
    </w:rPr>
  </w:style>
  <w:style w:type="paragraph" w:customStyle="1" w:styleId="1694">
    <w:name w:val="reader-word-layer reader-word-s1-15"/>
    <w:basedOn w:val="1"/>
    <w:qFormat/>
    <w:uiPriority w:val="0"/>
    <w:pPr>
      <w:spacing w:before="100" w:beforeAutospacing="1" w:after="100" w:afterAutospacing="1"/>
    </w:pPr>
    <w:rPr>
      <w:rFonts w:ascii="宋体" w:hAnsi="宋体" w:cs="宋体"/>
      <w:kern w:val="0"/>
      <w:sz w:val="24"/>
      <w:szCs w:val="24"/>
    </w:rPr>
  </w:style>
  <w:style w:type="paragraph" w:customStyle="1" w:styleId="1695">
    <w:name w:val="reader-word-layer reader-word-s1-17"/>
    <w:basedOn w:val="1"/>
    <w:qFormat/>
    <w:uiPriority w:val="0"/>
    <w:pPr>
      <w:spacing w:before="100" w:beforeAutospacing="1" w:after="100" w:afterAutospacing="1"/>
    </w:pPr>
    <w:rPr>
      <w:rFonts w:ascii="宋体" w:hAnsi="宋体" w:cs="宋体"/>
      <w:kern w:val="0"/>
      <w:sz w:val="24"/>
      <w:szCs w:val="24"/>
    </w:rPr>
  </w:style>
  <w:style w:type="paragraph" w:customStyle="1" w:styleId="1696">
    <w:name w:val="样式 表格文字居中 + 五号"/>
    <w:basedOn w:val="1647"/>
    <w:qFormat/>
    <w:uiPriority w:val="0"/>
    <w:pPr>
      <w:spacing w:line="520" w:lineRule="exact"/>
    </w:pPr>
    <w:rPr>
      <w:spacing w:val="-6"/>
    </w:rPr>
  </w:style>
  <w:style w:type="paragraph" w:customStyle="1" w:styleId="1697">
    <w:name w:val="7级"/>
    <w:basedOn w:val="1"/>
    <w:qFormat/>
    <w:uiPriority w:val="0"/>
    <w:pPr>
      <w:tabs>
        <w:tab w:val="left" w:pos="1107"/>
      </w:tabs>
      <w:ind w:left="822" w:hanging="360"/>
    </w:pPr>
    <w:rPr>
      <w:rFonts w:ascii="宋体" w:hAnsi="宋体" w:cs="宋体"/>
      <w:kern w:val="0"/>
      <w:szCs w:val="20"/>
    </w:rPr>
  </w:style>
  <w:style w:type="paragraph" w:customStyle="1" w:styleId="1698">
    <w:name w:val="bg"/>
    <w:basedOn w:val="1"/>
    <w:qFormat/>
    <w:uiPriority w:val="0"/>
    <w:rPr>
      <w:rFonts w:ascii="宋体" w:hAnsi="宋体" w:cs="宋体"/>
      <w:kern w:val="0"/>
      <w:sz w:val="24"/>
      <w:szCs w:val="20"/>
    </w:rPr>
  </w:style>
  <w:style w:type="paragraph" w:customStyle="1" w:styleId="1699">
    <w:name w:val="reader-word-layer reader-word-s1-21"/>
    <w:basedOn w:val="1"/>
    <w:qFormat/>
    <w:uiPriority w:val="0"/>
    <w:pPr>
      <w:spacing w:before="100" w:beforeAutospacing="1" w:after="100" w:afterAutospacing="1"/>
    </w:pPr>
    <w:rPr>
      <w:rFonts w:ascii="宋体" w:hAnsi="宋体" w:cs="宋体"/>
      <w:kern w:val="0"/>
      <w:sz w:val="24"/>
      <w:szCs w:val="24"/>
    </w:rPr>
  </w:style>
  <w:style w:type="paragraph" w:customStyle="1" w:styleId="1700">
    <w:name w:val="正文a"/>
    <w:basedOn w:val="1"/>
    <w:qFormat/>
    <w:uiPriority w:val="0"/>
    <w:pPr>
      <w:adjustRightInd w:val="0"/>
      <w:spacing w:line="400" w:lineRule="exact"/>
      <w:ind w:firstLine="480" w:firstLineChars="200"/>
      <w:textAlignment w:val="baseline"/>
    </w:pPr>
    <w:rPr>
      <w:rFonts w:ascii="宋体" w:hAnsi="宋体" w:cs="宋体"/>
      <w:color w:val="000000"/>
      <w:kern w:val="0"/>
      <w:sz w:val="24"/>
      <w:szCs w:val="24"/>
    </w:rPr>
  </w:style>
  <w:style w:type="paragraph" w:customStyle="1" w:styleId="1701">
    <w:name w:val="列出段落3"/>
    <w:basedOn w:val="1"/>
    <w:qFormat/>
    <w:uiPriority w:val="0"/>
    <w:pPr>
      <w:ind w:firstLine="420" w:firstLineChars="200"/>
    </w:pPr>
    <w:rPr>
      <w:rFonts w:ascii="宋体" w:hAnsi="宋体" w:cs="宋体"/>
      <w:kern w:val="0"/>
      <w:szCs w:val="24"/>
    </w:rPr>
  </w:style>
  <w:style w:type="paragraph" w:customStyle="1" w:styleId="1702">
    <w:name w:val="样式 标题 1 + 段前: 1 行 段后: 1 行"/>
    <w:basedOn w:val="5"/>
    <w:qFormat/>
    <w:uiPriority w:val="0"/>
    <w:pPr>
      <w:numPr>
        <w:numId w:val="0"/>
      </w:numPr>
      <w:tabs>
        <w:tab w:val="left" w:pos="420"/>
      </w:tabs>
      <w:adjustRightInd w:val="0"/>
      <w:snapToGrid w:val="0"/>
      <w:spacing w:before="0" w:beforeLines="100" w:after="0" w:afterLines="100" w:line="240" w:lineRule="auto"/>
      <w:ind w:left="420" w:hanging="420"/>
      <w:jc w:val="left"/>
    </w:pPr>
    <w:rPr>
      <w:rFonts w:hAnsi="宋体" w:eastAsia="宋体" w:cs="宋体"/>
      <w:b/>
      <w:szCs w:val="20"/>
    </w:rPr>
  </w:style>
  <w:style w:type="paragraph" w:customStyle="1" w:styleId="1703">
    <w:name w:val="CM12"/>
    <w:basedOn w:val="160"/>
    <w:next w:val="160"/>
    <w:qFormat/>
    <w:uiPriority w:val="0"/>
    <w:pPr>
      <w:spacing w:line="468" w:lineRule="atLeast"/>
    </w:pPr>
    <w:rPr>
      <w:rFonts w:hAnsi="Times New Roman" w:cs="Times New Roman"/>
      <w:color w:val="auto"/>
    </w:rPr>
  </w:style>
  <w:style w:type="paragraph" w:customStyle="1" w:styleId="1704">
    <w:name w:val="样式 标题 2 + 宋体"/>
    <w:basedOn w:val="6"/>
    <w:qFormat/>
    <w:uiPriority w:val="0"/>
    <w:pPr>
      <w:numPr>
        <w:ilvl w:val="0"/>
        <w:numId w:val="0"/>
      </w:numPr>
      <w:tabs>
        <w:tab w:val="clear" w:pos="525"/>
      </w:tabs>
      <w:spacing w:before="360" w:beforeLines="0" w:after="120" w:afterLines="0" w:line="240" w:lineRule="auto"/>
      <w:jc w:val="left"/>
    </w:pPr>
    <w:rPr>
      <w:rFonts w:cs="宋体"/>
      <w:bCs w:val="0"/>
      <w:kern w:val="0"/>
      <w:sz w:val="32"/>
      <w:szCs w:val="20"/>
    </w:rPr>
  </w:style>
  <w:style w:type="paragraph" w:customStyle="1" w:styleId="1705">
    <w:name w:val="reader-word-layer reader-word-s1-8"/>
    <w:basedOn w:val="1"/>
    <w:qFormat/>
    <w:uiPriority w:val="0"/>
    <w:pPr>
      <w:spacing w:before="100" w:beforeAutospacing="1" w:after="100" w:afterAutospacing="1"/>
    </w:pPr>
    <w:rPr>
      <w:rFonts w:ascii="宋体" w:hAnsi="宋体" w:cs="宋体"/>
      <w:kern w:val="0"/>
      <w:sz w:val="24"/>
      <w:szCs w:val="24"/>
    </w:rPr>
  </w:style>
  <w:style w:type="paragraph" w:customStyle="1" w:styleId="1706">
    <w:name w:val="编号@"/>
    <w:basedOn w:val="1"/>
    <w:qFormat/>
    <w:uiPriority w:val="0"/>
    <w:pPr>
      <w:tabs>
        <w:tab w:val="left" w:pos="755"/>
      </w:tabs>
      <w:adjustRightInd w:val="0"/>
      <w:snapToGrid w:val="0"/>
      <w:spacing w:line="360" w:lineRule="auto"/>
      <w:ind w:left="1302" w:hanging="420"/>
    </w:pPr>
    <w:rPr>
      <w:rFonts w:ascii="宋体" w:hAnsi="宋体" w:cs="宋体"/>
      <w:kern w:val="0"/>
      <w:sz w:val="28"/>
      <w:szCs w:val="28"/>
    </w:rPr>
  </w:style>
  <w:style w:type="paragraph" w:customStyle="1" w:styleId="1707">
    <w:name w:val="reader-word-layer reader-word-s1-25"/>
    <w:basedOn w:val="1"/>
    <w:qFormat/>
    <w:uiPriority w:val="0"/>
    <w:pPr>
      <w:spacing w:before="100" w:beforeAutospacing="1" w:after="100" w:afterAutospacing="1"/>
    </w:pPr>
    <w:rPr>
      <w:rFonts w:ascii="宋体" w:hAnsi="宋体" w:cs="宋体"/>
      <w:kern w:val="0"/>
      <w:sz w:val="24"/>
      <w:szCs w:val="24"/>
    </w:rPr>
  </w:style>
  <w:style w:type="paragraph" w:customStyle="1" w:styleId="1708">
    <w:name w:val="a"/>
    <w:basedOn w:val="1"/>
    <w:qFormat/>
    <w:uiPriority w:val="0"/>
    <w:pPr>
      <w:spacing w:before="100" w:beforeAutospacing="1" w:after="100" w:afterAutospacing="1"/>
    </w:pPr>
    <w:rPr>
      <w:rFonts w:ascii="宋体" w:hAnsi="宋体" w:cs="宋体"/>
      <w:kern w:val="0"/>
      <w:sz w:val="24"/>
      <w:szCs w:val="24"/>
    </w:rPr>
  </w:style>
  <w:style w:type="paragraph" w:customStyle="1" w:styleId="1709">
    <w:name w:val="reader-word-layer reader-word-s1-23"/>
    <w:basedOn w:val="1"/>
    <w:qFormat/>
    <w:uiPriority w:val="0"/>
    <w:pPr>
      <w:spacing w:before="100" w:beforeAutospacing="1" w:after="100" w:afterAutospacing="1"/>
    </w:pPr>
    <w:rPr>
      <w:rFonts w:ascii="宋体" w:hAnsi="宋体" w:cs="宋体"/>
      <w:kern w:val="0"/>
      <w:sz w:val="24"/>
      <w:szCs w:val="24"/>
    </w:rPr>
  </w:style>
  <w:style w:type="paragraph" w:customStyle="1" w:styleId="1710">
    <w:name w:val="图名1"/>
    <w:basedOn w:val="1"/>
    <w:next w:val="1"/>
    <w:qFormat/>
    <w:uiPriority w:val="0"/>
    <w:pPr>
      <w:spacing w:line="360" w:lineRule="auto"/>
      <w:ind w:firstLine="480" w:firstLineChars="200"/>
      <w:jc w:val="center"/>
    </w:pPr>
    <w:rPr>
      <w:rFonts w:ascii="黑体" w:hAnsi="宋体" w:eastAsia="黑体" w:cs="Arial"/>
      <w:bCs/>
      <w:kern w:val="0"/>
      <w:sz w:val="24"/>
      <w:szCs w:val="21"/>
    </w:rPr>
  </w:style>
  <w:style w:type="character" w:customStyle="1" w:styleId="1711">
    <w:name w:val="标题 41 Char Char"/>
    <w:qFormat/>
    <w:uiPriority w:val="0"/>
    <w:rPr>
      <w:rFonts w:ascii="宋体" w:hAnsi="宋体" w:eastAsia="宋体"/>
      <w:bCs/>
      <w:kern w:val="2"/>
      <w:sz w:val="28"/>
      <w:szCs w:val="28"/>
      <w:lang w:val="en-US" w:eastAsia="zh-CN" w:bidi="ar-SA"/>
    </w:rPr>
  </w:style>
  <w:style w:type="character" w:customStyle="1" w:styleId="1712">
    <w:name w:val="!BG_标题4 Char Char"/>
    <w:link w:val="1713"/>
    <w:qFormat/>
    <w:uiPriority w:val="0"/>
    <w:rPr>
      <w:b/>
      <w:kern w:val="2"/>
      <w:sz w:val="24"/>
      <w:szCs w:val="28"/>
    </w:rPr>
  </w:style>
  <w:style w:type="paragraph" w:customStyle="1" w:styleId="1713">
    <w:name w:val="!BG_标题4"/>
    <w:basedOn w:val="1"/>
    <w:link w:val="1712"/>
    <w:qFormat/>
    <w:uiPriority w:val="0"/>
    <w:pPr>
      <w:keepNext/>
      <w:keepLines/>
      <w:numPr>
        <w:ilvl w:val="3"/>
        <w:numId w:val="11"/>
      </w:numPr>
      <w:spacing w:line="360" w:lineRule="auto"/>
      <w:outlineLvl w:val="3"/>
    </w:pPr>
    <w:rPr>
      <w:rFonts w:ascii="Times New Roman" w:hAnsi="Times New Roman"/>
      <w:b/>
      <w:sz w:val="24"/>
      <w:szCs w:val="28"/>
    </w:rPr>
  </w:style>
  <w:style w:type="paragraph" w:customStyle="1" w:styleId="1714">
    <w:name w:val="!BG_标题2"/>
    <w:basedOn w:val="6"/>
    <w:qFormat/>
    <w:uiPriority w:val="0"/>
    <w:pPr>
      <w:numPr>
        <w:numId w:val="11"/>
      </w:numPr>
      <w:tabs>
        <w:tab w:val="left" w:pos="576"/>
        <w:tab w:val="clear" w:pos="525"/>
      </w:tabs>
      <w:spacing w:before="0" w:beforeLines="0" w:after="0" w:afterLines="0"/>
      <w:jc w:val="left"/>
    </w:pPr>
    <w:rPr>
      <w:rFonts w:ascii="Times New Roman" w:hAnsi="Times New Roman" w:cs="宋体"/>
      <w:bCs w:val="0"/>
      <w:kern w:val="0"/>
      <w:szCs w:val="30"/>
    </w:rPr>
  </w:style>
  <w:style w:type="paragraph" w:customStyle="1" w:styleId="1715">
    <w:name w:val="!BG_标题3"/>
    <w:basedOn w:val="7"/>
    <w:qFormat/>
    <w:uiPriority w:val="0"/>
    <w:pPr>
      <w:numPr>
        <w:numId w:val="11"/>
      </w:numPr>
      <w:tabs>
        <w:tab w:val="left" w:pos="720"/>
        <w:tab w:val="clear" w:pos="630"/>
      </w:tabs>
      <w:spacing w:before="0" w:beforeLines="0" w:after="0" w:afterLines="0"/>
      <w:jc w:val="left"/>
    </w:pPr>
    <w:rPr>
      <w:rFonts w:ascii="宋体" w:hAnsi="宋体" w:cs="宋体"/>
      <w:bCs w:val="0"/>
      <w:kern w:val="0"/>
    </w:rPr>
  </w:style>
  <w:style w:type="paragraph" w:customStyle="1" w:styleId="1716">
    <w:name w:val="!BG_表注"/>
    <w:basedOn w:val="1"/>
    <w:qFormat/>
    <w:uiPriority w:val="0"/>
    <w:pPr>
      <w:jc w:val="center"/>
    </w:pPr>
    <w:rPr>
      <w:rFonts w:ascii="宋体" w:hAnsi="宋体" w:cs="宋体"/>
      <w:b/>
      <w:bCs/>
      <w:kern w:val="0"/>
      <w:sz w:val="24"/>
      <w:szCs w:val="24"/>
    </w:rPr>
  </w:style>
  <w:style w:type="paragraph" w:customStyle="1" w:styleId="1717">
    <w:name w:val="00正文"/>
    <w:qFormat/>
    <w:uiPriority w:val="0"/>
    <w:pPr>
      <w:spacing w:line="360" w:lineRule="auto"/>
      <w:ind w:firstLine="480" w:firstLineChars="200"/>
      <w:jc w:val="both"/>
    </w:pPr>
    <w:rPr>
      <w:rFonts w:ascii="Arial" w:hAnsi="宋体" w:eastAsia="Arial" w:cs="Arial"/>
      <w:bCs/>
      <w:kern w:val="2"/>
      <w:sz w:val="24"/>
      <w:szCs w:val="24"/>
      <w:lang w:val="en-US" w:eastAsia="zh-CN" w:bidi="ar-SA"/>
    </w:rPr>
  </w:style>
  <w:style w:type="character" w:customStyle="1" w:styleId="1718">
    <w:name w:val="ZW 字符"/>
    <w:qFormat/>
    <w:uiPriority w:val="0"/>
    <w:rPr>
      <w:rFonts w:ascii="Times New Roman" w:hAnsi="Times New Roman" w:eastAsia="宋体" w:cs="Times New Roman"/>
      <w:sz w:val="24"/>
      <w:szCs w:val="24"/>
    </w:rPr>
  </w:style>
  <w:style w:type="paragraph" w:customStyle="1" w:styleId="1719">
    <w:name w:val="ZW"/>
    <w:basedOn w:val="1"/>
    <w:link w:val="1720"/>
    <w:qFormat/>
    <w:uiPriority w:val="0"/>
    <w:pPr>
      <w:spacing w:line="500" w:lineRule="exact"/>
      <w:ind w:firstLine="480" w:firstLineChars="200"/>
    </w:pPr>
    <w:rPr>
      <w:rFonts w:ascii="宋体" w:hAnsi="宋体" w:cs="宋体"/>
      <w:kern w:val="0"/>
      <w:sz w:val="24"/>
      <w:szCs w:val="24"/>
      <w:lang w:val="zh-CN"/>
    </w:rPr>
  </w:style>
  <w:style w:type="character" w:customStyle="1" w:styleId="1720">
    <w:name w:val="ZW Char"/>
    <w:link w:val="1719"/>
    <w:qFormat/>
    <w:uiPriority w:val="0"/>
    <w:rPr>
      <w:rFonts w:ascii="宋体" w:hAnsi="宋体" w:cs="宋体"/>
      <w:sz w:val="24"/>
      <w:szCs w:val="24"/>
      <w:lang w:val="zh-CN"/>
    </w:rPr>
  </w:style>
  <w:style w:type="paragraph" w:customStyle="1" w:styleId="1721">
    <w:name w:val="ZW加粗"/>
    <w:basedOn w:val="1719"/>
    <w:qFormat/>
    <w:uiPriority w:val="0"/>
    <w:pPr>
      <w:ind w:firstLine="200"/>
    </w:pPr>
    <w:rPr>
      <w:b/>
    </w:rPr>
  </w:style>
  <w:style w:type="paragraph" w:customStyle="1" w:styleId="1722">
    <w:name w:val="TBT"/>
    <w:basedOn w:val="1"/>
    <w:link w:val="1723"/>
    <w:qFormat/>
    <w:uiPriority w:val="0"/>
    <w:pPr>
      <w:spacing w:line="500" w:lineRule="exact"/>
      <w:jc w:val="center"/>
    </w:pPr>
    <w:rPr>
      <w:rFonts w:ascii="宋体" w:hAnsi="宋体" w:cs="宋体"/>
      <w:b/>
      <w:kern w:val="0"/>
      <w:sz w:val="24"/>
      <w:szCs w:val="24"/>
    </w:rPr>
  </w:style>
  <w:style w:type="character" w:customStyle="1" w:styleId="1723">
    <w:name w:val="TBT Char"/>
    <w:link w:val="1722"/>
    <w:qFormat/>
    <w:uiPriority w:val="0"/>
    <w:rPr>
      <w:rFonts w:ascii="宋体" w:hAnsi="宋体" w:cs="宋体"/>
      <w:b/>
      <w:sz w:val="24"/>
      <w:szCs w:val="24"/>
    </w:rPr>
  </w:style>
  <w:style w:type="paragraph" w:customStyle="1" w:styleId="1724">
    <w:name w:val="TB"/>
    <w:basedOn w:val="1"/>
    <w:qFormat/>
    <w:uiPriority w:val="0"/>
    <w:pPr>
      <w:snapToGrid w:val="0"/>
      <w:spacing w:line="400" w:lineRule="exact"/>
      <w:jc w:val="center"/>
    </w:pPr>
    <w:rPr>
      <w:rFonts w:ascii="宋体" w:hAnsi="宋体" w:cs="宋体"/>
      <w:kern w:val="0"/>
    </w:rPr>
  </w:style>
  <w:style w:type="paragraph" w:customStyle="1" w:styleId="1725">
    <w:name w:val="tb"/>
    <w:basedOn w:val="1"/>
    <w:qFormat/>
    <w:uiPriority w:val="0"/>
    <w:pPr>
      <w:snapToGrid w:val="0"/>
      <w:spacing w:line="360" w:lineRule="exact"/>
      <w:jc w:val="center"/>
    </w:pPr>
    <w:rPr>
      <w:rFonts w:ascii="宋体" w:hAnsi="宋体" w:cs="宋体"/>
      <w:kern w:val="0"/>
      <w:szCs w:val="21"/>
      <w:lang w:val="zh-CN"/>
    </w:rPr>
  </w:style>
  <w:style w:type="paragraph" w:customStyle="1" w:styleId="1726">
    <w:name w:val="BT2"/>
    <w:basedOn w:val="6"/>
    <w:qFormat/>
    <w:uiPriority w:val="0"/>
    <w:pPr>
      <w:numPr>
        <w:ilvl w:val="0"/>
        <w:numId w:val="0"/>
      </w:numPr>
      <w:tabs>
        <w:tab w:val="clear" w:pos="525"/>
      </w:tabs>
      <w:spacing w:before="0" w:beforeLines="50" w:after="0" w:afterLines="50" w:line="500" w:lineRule="exact"/>
      <w:jc w:val="left"/>
    </w:pPr>
    <w:rPr>
      <w:rFonts w:ascii="Times New Roman" w:hAnsi="Times New Roman" w:cs="宋体"/>
      <w:b w:val="0"/>
      <w:bCs w:val="0"/>
      <w:kern w:val="0"/>
      <w:szCs w:val="28"/>
    </w:rPr>
  </w:style>
  <w:style w:type="paragraph" w:customStyle="1" w:styleId="1727">
    <w:name w:val="BT1"/>
    <w:basedOn w:val="5"/>
    <w:qFormat/>
    <w:uiPriority w:val="0"/>
    <w:pPr>
      <w:keepLines w:val="0"/>
      <w:pageBreakBefore/>
      <w:numPr>
        <w:numId w:val="0"/>
      </w:numPr>
      <w:spacing w:before="0" w:beforeLines="50" w:after="0" w:afterLines="50" w:line="500" w:lineRule="exact"/>
      <w:jc w:val="left"/>
    </w:pPr>
    <w:rPr>
      <w:rFonts w:ascii="黑体" w:hAnsi="宋体" w:cs="宋体"/>
      <w:bCs w:val="0"/>
      <w:szCs w:val="30"/>
    </w:rPr>
  </w:style>
  <w:style w:type="paragraph" w:customStyle="1" w:styleId="1728">
    <w:name w:val="3标题"/>
    <w:basedOn w:val="1"/>
    <w:qFormat/>
    <w:uiPriority w:val="0"/>
    <w:pPr>
      <w:keepNext/>
      <w:keepLines/>
      <w:spacing w:line="360" w:lineRule="auto"/>
      <w:outlineLvl w:val="2"/>
    </w:pPr>
    <w:rPr>
      <w:rFonts w:ascii="宋体" w:hAnsi="宋体" w:cs="宋体"/>
      <w:b/>
      <w:bCs/>
      <w:color w:val="0000FF"/>
      <w:kern w:val="0"/>
      <w:sz w:val="28"/>
      <w:szCs w:val="24"/>
    </w:rPr>
  </w:style>
  <w:style w:type="paragraph" w:customStyle="1" w:styleId="1729">
    <w:name w:val="标题3"/>
    <w:basedOn w:val="1"/>
    <w:qFormat/>
    <w:uiPriority w:val="0"/>
    <w:pPr>
      <w:spacing w:line="500" w:lineRule="exact"/>
      <w:outlineLvl w:val="2"/>
    </w:pPr>
    <w:rPr>
      <w:rFonts w:ascii="宋体" w:hAnsi="宋体" w:cs="宋体"/>
      <w:b/>
      <w:kern w:val="0"/>
      <w:sz w:val="28"/>
      <w:szCs w:val="52"/>
    </w:rPr>
  </w:style>
  <w:style w:type="paragraph" w:customStyle="1" w:styleId="1730">
    <w:name w:val="BT4"/>
    <w:basedOn w:val="1"/>
    <w:qFormat/>
    <w:uiPriority w:val="0"/>
    <w:pPr>
      <w:spacing w:line="500" w:lineRule="exact"/>
      <w:outlineLvl w:val="3"/>
    </w:pPr>
    <w:rPr>
      <w:rFonts w:ascii="宋体" w:hAnsi="宋体" w:cs="宋体"/>
      <w:b/>
      <w:bCs/>
      <w:kern w:val="0"/>
      <w:sz w:val="24"/>
      <w:szCs w:val="24"/>
    </w:rPr>
  </w:style>
  <w:style w:type="paragraph" w:customStyle="1" w:styleId="1731">
    <w:name w:val="表格标注"/>
    <w:basedOn w:val="190"/>
    <w:qFormat/>
    <w:uiPriority w:val="0"/>
    <w:pPr>
      <w:spacing w:line="240" w:lineRule="auto"/>
      <w:jc w:val="left"/>
    </w:pPr>
    <w:rPr>
      <w:rFonts w:eastAsia="宋体"/>
      <w:b/>
      <w:sz w:val="18"/>
    </w:rPr>
  </w:style>
  <w:style w:type="paragraph" w:customStyle="1" w:styleId="1732">
    <w:name w:val="BT3"/>
    <w:basedOn w:val="1"/>
    <w:qFormat/>
    <w:uiPriority w:val="0"/>
    <w:pPr>
      <w:tabs>
        <w:tab w:val="left" w:pos="0"/>
      </w:tabs>
      <w:adjustRightInd w:val="0"/>
      <w:spacing w:before="60" w:after="60" w:line="500" w:lineRule="exact"/>
      <w:outlineLvl w:val="2"/>
    </w:pPr>
    <w:rPr>
      <w:rFonts w:ascii="宋体" w:hAnsi="宋体" w:cs="宋体"/>
      <w:b/>
      <w:bCs/>
      <w:snapToGrid w:val="0"/>
      <w:kern w:val="0"/>
      <w:sz w:val="28"/>
      <w:szCs w:val="24"/>
    </w:rPr>
  </w:style>
  <w:style w:type="paragraph" w:customStyle="1" w:styleId="1733">
    <w:name w:val="5 图名"/>
    <w:basedOn w:val="1"/>
    <w:qFormat/>
    <w:uiPriority w:val="0"/>
    <w:pPr>
      <w:jc w:val="center"/>
    </w:pPr>
    <w:rPr>
      <w:rFonts w:ascii="宋体" w:hAnsi="宋体" w:cs="宋体"/>
      <w:b/>
      <w:color w:val="0000FF"/>
      <w:kern w:val="0"/>
      <w:sz w:val="24"/>
      <w:szCs w:val="24"/>
    </w:rPr>
  </w:style>
  <w:style w:type="paragraph" w:customStyle="1" w:styleId="1734">
    <w:name w:val="表格文字左"/>
    <w:basedOn w:val="189"/>
    <w:qFormat/>
    <w:uiPriority w:val="99"/>
    <w:pPr>
      <w:widowControl/>
      <w:tabs>
        <w:tab w:val="center" w:pos="4153"/>
        <w:tab w:val="right" w:pos="8306"/>
        <w:tab w:val="clear" w:pos="3720"/>
      </w:tabs>
      <w:autoSpaceDE/>
      <w:autoSpaceDN/>
      <w:adjustRightInd/>
      <w:spacing w:beforeLines="30" w:afterLines="30" w:line="240" w:lineRule="auto"/>
      <w:jc w:val="left"/>
    </w:pPr>
    <w:rPr>
      <w:spacing w:val="10"/>
      <w:sz w:val="21"/>
      <w:szCs w:val="21"/>
    </w:rPr>
  </w:style>
  <w:style w:type="paragraph" w:customStyle="1" w:styleId="1735">
    <w:name w:val="正正文"/>
    <w:basedOn w:val="190"/>
    <w:qFormat/>
    <w:uiPriority w:val="0"/>
    <w:rPr>
      <w:rFonts w:eastAsia="宋体"/>
      <w:sz w:val="24"/>
    </w:rPr>
  </w:style>
  <w:style w:type="character" w:customStyle="1" w:styleId="1736">
    <w:name w:val="bsharetext"/>
    <w:basedOn w:val="101"/>
    <w:qFormat/>
    <w:uiPriority w:val="0"/>
  </w:style>
  <w:style w:type="character" w:customStyle="1" w:styleId="1737">
    <w:name w:val="hover27"/>
    <w:basedOn w:val="101"/>
    <w:qFormat/>
    <w:uiPriority w:val="0"/>
  </w:style>
  <w:style w:type="paragraph" w:customStyle="1" w:styleId="1738">
    <w:name w:val="!正文"/>
    <w:qFormat/>
    <w:uiPriority w:val="0"/>
    <w:pPr>
      <w:widowControl w:val="0"/>
      <w:adjustRightInd w:val="0"/>
      <w:snapToGrid w:val="0"/>
      <w:spacing w:line="360" w:lineRule="auto"/>
      <w:ind w:firstLine="200" w:firstLineChars="200"/>
      <w:jc w:val="both"/>
    </w:pPr>
    <w:rPr>
      <w:rFonts w:ascii="宋体" w:hAnsi="宋体" w:eastAsia="宋体" w:cs="宋体"/>
      <w:kern w:val="2"/>
      <w:sz w:val="24"/>
      <w:lang w:val="en-US" w:eastAsia="zh-CN" w:bidi="ar-SA"/>
    </w:rPr>
  </w:style>
  <w:style w:type="paragraph" w:customStyle="1" w:styleId="1739">
    <w:name w:val="钢--正文"/>
    <w:basedOn w:val="1"/>
    <w:qFormat/>
    <w:uiPriority w:val="0"/>
    <w:pPr>
      <w:spacing w:line="520" w:lineRule="exact"/>
    </w:pPr>
    <w:rPr>
      <w:rFonts w:ascii="宋体" w:hAnsi="宋体" w:cs="宋体"/>
      <w:kern w:val="0"/>
      <w:sz w:val="24"/>
      <w:szCs w:val="24"/>
    </w:rPr>
  </w:style>
  <w:style w:type="paragraph" w:customStyle="1" w:styleId="1740">
    <w:name w:val="6级正文"/>
    <w:basedOn w:val="1"/>
    <w:qFormat/>
    <w:uiPriority w:val="0"/>
    <w:pPr>
      <w:adjustRightInd w:val="0"/>
      <w:snapToGrid w:val="0"/>
    </w:pPr>
    <w:rPr>
      <w:rFonts w:ascii="宋体" w:hAnsi="宋体" w:cs="宋体"/>
      <w:kern w:val="0"/>
      <w:sz w:val="24"/>
      <w:szCs w:val="24"/>
    </w:rPr>
  </w:style>
  <w:style w:type="character" w:customStyle="1" w:styleId="1741">
    <w:name w:val="current"/>
    <w:basedOn w:val="101"/>
    <w:qFormat/>
    <w:uiPriority w:val="0"/>
    <w:rPr>
      <w:b/>
      <w:color w:val="000000"/>
      <w:bdr w:val="single" w:color="E89954" w:sz="6" w:space="0"/>
      <w:shd w:val="clear" w:color="auto" w:fill="E89954"/>
    </w:rPr>
  </w:style>
  <w:style w:type="character" w:customStyle="1" w:styleId="1742">
    <w:name w:val="disabled"/>
    <w:basedOn w:val="101"/>
    <w:qFormat/>
    <w:uiPriority w:val="0"/>
    <w:rPr>
      <w:color w:val="CCCCCC"/>
      <w:bdr w:val="single" w:color="CCCCCC" w:sz="6" w:space="0"/>
    </w:rPr>
  </w:style>
  <w:style w:type="character" w:customStyle="1" w:styleId="1743">
    <w:name w:val="btna_s"/>
    <w:basedOn w:val="101"/>
    <w:qFormat/>
    <w:uiPriority w:val="0"/>
    <w:rPr>
      <w:color w:val="FFFFFF"/>
    </w:rPr>
  </w:style>
  <w:style w:type="character" w:customStyle="1" w:styleId="1744">
    <w:name w:val="font"/>
    <w:basedOn w:val="101"/>
    <w:qFormat/>
    <w:uiPriority w:val="0"/>
  </w:style>
  <w:style w:type="character" w:customStyle="1" w:styleId="1745">
    <w:name w:val="gwds_nopic"/>
    <w:basedOn w:val="101"/>
    <w:qFormat/>
    <w:uiPriority w:val="0"/>
  </w:style>
  <w:style w:type="character" w:customStyle="1" w:styleId="1746">
    <w:name w:val="gwds_nopic1"/>
    <w:basedOn w:val="101"/>
    <w:qFormat/>
    <w:uiPriority w:val="0"/>
  </w:style>
  <w:style w:type="character" w:customStyle="1" w:styleId="1747">
    <w:name w:val="gwds_nopic2"/>
    <w:basedOn w:val="101"/>
    <w:qFormat/>
    <w:uiPriority w:val="0"/>
  </w:style>
  <w:style w:type="character" w:customStyle="1" w:styleId="1748">
    <w:name w:val="Char Char410"/>
    <w:qFormat/>
    <w:uiPriority w:val="0"/>
    <w:rPr>
      <w:rFonts w:eastAsia="宋体"/>
      <w:kern w:val="2"/>
      <w:sz w:val="28"/>
      <w:lang w:val="en-US" w:eastAsia="zh-CN" w:bidi="ar-SA"/>
    </w:rPr>
  </w:style>
  <w:style w:type="paragraph" w:customStyle="1" w:styleId="1749">
    <w:name w:val="妇幼正文"/>
    <w:basedOn w:val="1"/>
    <w:qFormat/>
    <w:uiPriority w:val="0"/>
    <w:pPr>
      <w:adjustRightInd w:val="0"/>
    </w:pPr>
    <w:rPr>
      <w:rFonts w:ascii="宋体" w:hAnsi="宋体" w:cs="宋体"/>
      <w:color w:val="000000"/>
      <w:kern w:val="0"/>
      <w:sz w:val="24"/>
      <w:szCs w:val="24"/>
    </w:rPr>
  </w:style>
  <w:style w:type="paragraph" w:customStyle="1" w:styleId="1750">
    <w:name w:val="正文文本 (3)2"/>
    <w:basedOn w:val="1"/>
    <w:qFormat/>
    <w:uiPriority w:val="0"/>
    <w:pPr>
      <w:shd w:val="clear" w:color="auto" w:fill="FFFFFF"/>
      <w:spacing w:line="518" w:lineRule="exact"/>
    </w:pPr>
    <w:rPr>
      <w:rFonts w:ascii="宋体" w:hAnsi="宋体" w:eastAsia="Times New Roman" w:cs="宋体"/>
      <w:spacing w:val="20"/>
      <w:kern w:val="0"/>
      <w:sz w:val="29"/>
      <w:szCs w:val="29"/>
    </w:rPr>
  </w:style>
  <w:style w:type="character" w:customStyle="1" w:styleId="1751">
    <w:name w:val="正文文本 (3) + Arial Unicode MS"/>
    <w:basedOn w:val="1752"/>
    <w:qFormat/>
    <w:uiPriority w:val="0"/>
    <w:rPr>
      <w:rFonts w:ascii="Arial Unicode MS" w:hAnsi="Arial Unicode MS" w:eastAsia="Arial Unicode MS" w:cs="Arial Unicode MS"/>
      <w:color w:val="000000"/>
      <w:spacing w:val="40"/>
      <w:w w:val="100"/>
      <w:position w:val="0"/>
      <w:sz w:val="27"/>
      <w:szCs w:val="27"/>
      <w:shd w:val="clear" w:color="auto" w:fill="FFFFFF"/>
      <w:lang w:val="zh-TW"/>
    </w:rPr>
  </w:style>
  <w:style w:type="character" w:customStyle="1" w:styleId="1752">
    <w:name w:val="正文文本 (3)_"/>
    <w:basedOn w:val="101"/>
    <w:link w:val="1753"/>
    <w:qFormat/>
    <w:uiPriority w:val="0"/>
    <w:rPr>
      <w:rFonts w:ascii="Malgun Gothic" w:hAnsi="Malgun Gothic" w:eastAsia="Malgun Gothic" w:cs="Malgun Gothic"/>
      <w:sz w:val="9"/>
      <w:szCs w:val="9"/>
      <w:shd w:val="clear" w:color="auto" w:fill="FFFFFF"/>
    </w:rPr>
  </w:style>
  <w:style w:type="paragraph" w:customStyle="1" w:styleId="1753">
    <w:name w:val="正文文本 (3)"/>
    <w:basedOn w:val="1"/>
    <w:link w:val="1752"/>
    <w:qFormat/>
    <w:uiPriority w:val="0"/>
    <w:pPr>
      <w:shd w:val="clear" w:color="auto" w:fill="FFFFFF"/>
      <w:spacing w:line="0" w:lineRule="atLeast"/>
    </w:pPr>
    <w:rPr>
      <w:rFonts w:ascii="Malgun Gothic" w:hAnsi="Malgun Gothic" w:eastAsia="Malgun Gothic" w:cs="Malgun Gothic"/>
      <w:kern w:val="0"/>
      <w:sz w:val="9"/>
      <w:szCs w:val="9"/>
    </w:rPr>
  </w:style>
  <w:style w:type="paragraph" w:customStyle="1" w:styleId="1754">
    <w:name w:val="标题 #4"/>
    <w:basedOn w:val="1"/>
    <w:qFormat/>
    <w:uiPriority w:val="0"/>
    <w:pPr>
      <w:shd w:val="clear" w:color="auto" w:fill="FFFFFF"/>
      <w:spacing w:line="514" w:lineRule="exact"/>
      <w:jc w:val="distribute"/>
      <w:outlineLvl w:val="3"/>
    </w:pPr>
    <w:rPr>
      <w:rFonts w:ascii="Arial Unicode MS" w:hAnsi="Arial Unicode MS" w:eastAsia="Arial Unicode MS" w:cs="Arial Unicode MS"/>
      <w:spacing w:val="40"/>
      <w:kern w:val="0"/>
      <w:sz w:val="27"/>
      <w:szCs w:val="27"/>
    </w:rPr>
  </w:style>
  <w:style w:type="paragraph" w:customStyle="1" w:styleId="1755">
    <w:name w:val="表格标题 (2)1"/>
    <w:basedOn w:val="1"/>
    <w:qFormat/>
    <w:uiPriority w:val="0"/>
    <w:pPr>
      <w:shd w:val="clear" w:color="auto" w:fill="FFFFFF"/>
      <w:spacing w:line="0" w:lineRule="atLeast"/>
    </w:pPr>
    <w:rPr>
      <w:rFonts w:ascii="宋体" w:hAnsi="宋体" w:eastAsia="Times New Roman" w:cs="宋体"/>
      <w:spacing w:val="20"/>
      <w:kern w:val="0"/>
      <w:sz w:val="29"/>
      <w:szCs w:val="29"/>
    </w:rPr>
  </w:style>
  <w:style w:type="character" w:customStyle="1" w:styleId="1756">
    <w:name w:val="表格标题 (2) + Arial Unicode MS"/>
    <w:basedOn w:val="1757"/>
    <w:qFormat/>
    <w:uiPriority w:val="0"/>
    <w:rPr>
      <w:rFonts w:ascii="Arial Unicode MS" w:hAnsi="Arial Unicode MS" w:eastAsia="Arial Unicode MS" w:cs="Arial Unicode MS"/>
      <w:color w:val="000000"/>
      <w:spacing w:val="40"/>
      <w:w w:val="100"/>
      <w:position w:val="0"/>
      <w:sz w:val="27"/>
      <w:szCs w:val="27"/>
      <w:shd w:val="clear" w:color="auto" w:fill="FFFFFF"/>
      <w:lang w:val="zh-CN"/>
    </w:rPr>
  </w:style>
  <w:style w:type="character" w:customStyle="1" w:styleId="1757">
    <w:name w:val="表格标题 (2)_"/>
    <w:basedOn w:val="101"/>
    <w:link w:val="1758"/>
    <w:qFormat/>
    <w:uiPriority w:val="0"/>
    <w:rPr>
      <w:rFonts w:ascii="Arial Narrow" w:hAnsi="Arial Narrow" w:eastAsia="Arial Narrow" w:cs="Arial Narrow"/>
      <w:sz w:val="29"/>
      <w:szCs w:val="29"/>
      <w:shd w:val="clear" w:color="auto" w:fill="FFFFFF"/>
    </w:rPr>
  </w:style>
  <w:style w:type="paragraph" w:customStyle="1" w:styleId="1758">
    <w:name w:val="表格标题 (2)"/>
    <w:basedOn w:val="1"/>
    <w:link w:val="1757"/>
    <w:qFormat/>
    <w:uiPriority w:val="0"/>
    <w:pPr>
      <w:shd w:val="clear" w:color="auto" w:fill="FFFFFF"/>
      <w:spacing w:line="0" w:lineRule="atLeast"/>
    </w:pPr>
    <w:rPr>
      <w:rFonts w:ascii="Arial Narrow" w:hAnsi="Arial Narrow" w:eastAsia="Arial Narrow" w:cs="Arial Narrow"/>
      <w:kern w:val="0"/>
      <w:sz w:val="29"/>
      <w:szCs w:val="29"/>
    </w:rPr>
  </w:style>
  <w:style w:type="paragraph" w:customStyle="1" w:styleId="1759">
    <w:name w:val="正文文本 (7)1"/>
    <w:basedOn w:val="1"/>
    <w:link w:val="1760"/>
    <w:qFormat/>
    <w:uiPriority w:val="0"/>
    <w:pPr>
      <w:shd w:val="clear" w:color="auto" w:fill="FFFFFF"/>
      <w:spacing w:line="226" w:lineRule="exact"/>
    </w:pPr>
    <w:rPr>
      <w:rFonts w:ascii="宋体" w:hAnsi="宋体" w:cs="宋体"/>
      <w:spacing w:val="60"/>
      <w:kern w:val="0"/>
      <w:sz w:val="19"/>
      <w:szCs w:val="19"/>
    </w:rPr>
  </w:style>
  <w:style w:type="character" w:customStyle="1" w:styleId="1760">
    <w:name w:val="正文文本 (7)_"/>
    <w:basedOn w:val="101"/>
    <w:link w:val="1759"/>
    <w:qFormat/>
    <w:uiPriority w:val="0"/>
    <w:rPr>
      <w:rFonts w:ascii="宋体" w:hAnsi="宋体" w:cs="宋体"/>
      <w:spacing w:val="60"/>
      <w:sz w:val="19"/>
      <w:szCs w:val="19"/>
      <w:shd w:val="clear" w:color="auto" w:fill="FFFFFF"/>
    </w:rPr>
  </w:style>
  <w:style w:type="character" w:customStyle="1" w:styleId="1761">
    <w:name w:val="正文文本 (7)"/>
    <w:basedOn w:val="101"/>
    <w:qFormat/>
    <w:uiPriority w:val="0"/>
    <w:rPr>
      <w:rFonts w:ascii="宋体" w:hAnsi="宋体" w:eastAsia="宋体" w:cs="宋体"/>
      <w:spacing w:val="60"/>
      <w:sz w:val="19"/>
      <w:szCs w:val="19"/>
      <w:u w:val="none"/>
    </w:rPr>
  </w:style>
  <w:style w:type="character" w:customStyle="1" w:styleId="1762">
    <w:name w:val="正文文本 (7) + 间距 1 pt"/>
    <w:basedOn w:val="1760"/>
    <w:qFormat/>
    <w:uiPriority w:val="0"/>
    <w:rPr>
      <w:rFonts w:ascii="宋体" w:hAnsi="宋体" w:cs="宋体"/>
      <w:color w:val="000000"/>
      <w:spacing w:val="20"/>
      <w:w w:val="100"/>
      <w:position w:val="0"/>
      <w:sz w:val="19"/>
      <w:szCs w:val="19"/>
      <w:shd w:val="clear" w:color="auto" w:fill="FFFFFF"/>
      <w:lang w:val="en-US"/>
    </w:rPr>
  </w:style>
  <w:style w:type="character" w:customStyle="1" w:styleId="1763">
    <w:name w:val="正文文本 (7) + 间距 1 pt1"/>
    <w:basedOn w:val="1760"/>
    <w:qFormat/>
    <w:uiPriority w:val="0"/>
    <w:rPr>
      <w:rFonts w:ascii="宋体" w:hAnsi="宋体" w:cs="宋体"/>
      <w:color w:val="000000"/>
      <w:spacing w:val="30"/>
      <w:w w:val="100"/>
      <w:position w:val="0"/>
      <w:sz w:val="19"/>
      <w:szCs w:val="19"/>
      <w:shd w:val="clear" w:color="auto" w:fill="FFFFFF"/>
      <w:lang w:val="zh-TW"/>
    </w:rPr>
  </w:style>
  <w:style w:type="character" w:customStyle="1" w:styleId="1764">
    <w:name w:val="正文文本 (7) + Times New Roman"/>
    <w:basedOn w:val="1760"/>
    <w:qFormat/>
    <w:uiPriority w:val="0"/>
    <w:rPr>
      <w:rFonts w:ascii="Times New Roman" w:hAnsi="Times New Roman" w:eastAsia="Times New Roman" w:cs="Times New Roman"/>
      <w:color w:val="000000"/>
      <w:spacing w:val="0"/>
      <w:w w:val="100"/>
      <w:position w:val="0"/>
      <w:sz w:val="20"/>
      <w:szCs w:val="20"/>
      <w:shd w:val="clear" w:color="auto" w:fill="FFFFFF"/>
      <w:lang w:val="zh-CN"/>
    </w:rPr>
  </w:style>
  <w:style w:type="character" w:customStyle="1" w:styleId="1765">
    <w:name w:val="正文文本 (7) + 间距 0 pt"/>
    <w:basedOn w:val="1760"/>
    <w:qFormat/>
    <w:uiPriority w:val="0"/>
    <w:rPr>
      <w:rFonts w:ascii="宋体" w:hAnsi="宋体" w:cs="宋体"/>
      <w:color w:val="000000"/>
      <w:spacing w:val="0"/>
      <w:w w:val="100"/>
      <w:position w:val="0"/>
      <w:sz w:val="19"/>
      <w:szCs w:val="19"/>
      <w:shd w:val="clear" w:color="auto" w:fill="FFFFFF"/>
      <w:lang w:val="zh-CN"/>
    </w:rPr>
  </w:style>
  <w:style w:type="character" w:customStyle="1" w:styleId="1766">
    <w:name w:val="正文文本 (7) + 间距 4 pt"/>
    <w:basedOn w:val="1760"/>
    <w:qFormat/>
    <w:uiPriority w:val="0"/>
    <w:rPr>
      <w:rFonts w:ascii="宋体" w:hAnsi="宋体" w:cs="宋体"/>
      <w:color w:val="000000"/>
      <w:spacing w:val="80"/>
      <w:w w:val="100"/>
      <w:position w:val="0"/>
      <w:sz w:val="19"/>
      <w:szCs w:val="19"/>
      <w:shd w:val="clear" w:color="auto" w:fill="FFFFFF"/>
      <w:lang w:val="zh-TW"/>
    </w:rPr>
  </w:style>
  <w:style w:type="paragraph" w:customStyle="1" w:styleId="1767">
    <w:name w:val="正文文本 (8)"/>
    <w:basedOn w:val="1"/>
    <w:link w:val="1768"/>
    <w:qFormat/>
    <w:uiPriority w:val="0"/>
    <w:pPr>
      <w:shd w:val="clear" w:color="auto" w:fill="FFFFFF"/>
      <w:spacing w:line="0" w:lineRule="atLeast"/>
    </w:pPr>
    <w:rPr>
      <w:rFonts w:ascii="宋体" w:hAnsi="宋体" w:cs="宋体"/>
      <w:spacing w:val="20"/>
      <w:kern w:val="0"/>
      <w:sz w:val="19"/>
      <w:szCs w:val="19"/>
    </w:rPr>
  </w:style>
  <w:style w:type="character" w:customStyle="1" w:styleId="1768">
    <w:name w:val="正文文本 (8)_"/>
    <w:basedOn w:val="101"/>
    <w:link w:val="1767"/>
    <w:qFormat/>
    <w:uiPriority w:val="0"/>
    <w:rPr>
      <w:rFonts w:ascii="宋体" w:hAnsi="宋体" w:cs="宋体"/>
      <w:spacing w:val="20"/>
      <w:sz w:val="19"/>
      <w:szCs w:val="19"/>
      <w:shd w:val="clear" w:color="auto" w:fill="FFFFFF"/>
    </w:rPr>
  </w:style>
  <w:style w:type="character" w:customStyle="1" w:styleId="1769">
    <w:name w:val="正文文本 (8) + 间距 3 pt"/>
    <w:basedOn w:val="1768"/>
    <w:qFormat/>
    <w:uiPriority w:val="0"/>
    <w:rPr>
      <w:rFonts w:ascii="宋体" w:hAnsi="宋体" w:cs="宋体"/>
      <w:color w:val="000000"/>
      <w:spacing w:val="60"/>
      <w:w w:val="100"/>
      <w:position w:val="0"/>
      <w:sz w:val="19"/>
      <w:szCs w:val="19"/>
      <w:shd w:val="clear" w:color="auto" w:fill="FFFFFF"/>
      <w:lang w:val="zh-TW"/>
    </w:rPr>
  </w:style>
  <w:style w:type="paragraph" w:customStyle="1" w:styleId="1770">
    <w:name w:val="正文文本 (9)"/>
    <w:basedOn w:val="1"/>
    <w:qFormat/>
    <w:uiPriority w:val="0"/>
    <w:pPr>
      <w:shd w:val="clear" w:color="auto" w:fill="FFFFFF"/>
      <w:spacing w:line="0" w:lineRule="atLeast"/>
      <w:jc w:val="center"/>
    </w:pPr>
    <w:rPr>
      <w:rFonts w:ascii="宋体" w:hAnsi="宋体" w:cs="宋体"/>
      <w:i/>
      <w:iCs/>
      <w:kern w:val="0"/>
      <w:sz w:val="12"/>
      <w:szCs w:val="12"/>
      <w:lang w:val="zh-CN"/>
    </w:rPr>
  </w:style>
  <w:style w:type="paragraph" w:customStyle="1" w:styleId="1771">
    <w:name w:val="正文文本 (10)"/>
    <w:basedOn w:val="1"/>
    <w:qFormat/>
    <w:uiPriority w:val="0"/>
    <w:pPr>
      <w:shd w:val="clear" w:color="auto" w:fill="FFFFFF"/>
      <w:spacing w:line="0" w:lineRule="atLeast"/>
    </w:pPr>
    <w:rPr>
      <w:rFonts w:ascii="宋体" w:hAnsi="宋体" w:cs="宋体"/>
      <w:spacing w:val="50"/>
      <w:kern w:val="0"/>
      <w:sz w:val="14"/>
      <w:szCs w:val="14"/>
    </w:rPr>
  </w:style>
  <w:style w:type="paragraph" w:customStyle="1" w:styleId="1772">
    <w:name w:val="正文文本 (11)1"/>
    <w:basedOn w:val="1"/>
    <w:qFormat/>
    <w:uiPriority w:val="0"/>
    <w:pPr>
      <w:shd w:val="clear" w:color="auto" w:fill="FFFFFF"/>
      <w:spacing w:line="240" w:lineRule="exact"/>
      <w:jc w:val="distribute"/>
    </w:pPr>
    <w:rPr>
      <w:rFonts w:ascii="宋体" w:hAnsi="宋体" w:cs="宋体"/>
      <w:spacing w:val="30"/>
      <w:kern w:val="0"/>
      <w:sz w:val="13"/>
      <w:szCs w:val="13"/>
      <w:lang w:val="zh-CN"/>
    </w:rPr>
  </w:style>
  <w:style w:type="character" w:customStyle="1" w:styleId="1773">
    <w:name w:val="正文文本 (11)"/>
    <w:basedOn w:val="101"/>
    <w:qFormat/>
    <w:uiPriority w:val="0"/>
    <w:rPr>
      <w:rFonts w:ascii="宋体" w:hAnsi="宋体" w:eastAsia="宋体" w:cs="宋体"/>
      <w:spacing w:val="30"/>
      <w:sz w:val="13"/>
      <w:szCs w:val="13"/>
      <w:u w:val="none"/>
    </w:rPr>
  </w:style>
  <w:style w:type="character" w:customStyle="1" w:styleId="1774">
    <w:name w:val="正文文本 + 间距 3 pt"/>
    <w:basedOn w:val="768"/>
    <w:qFormat/>
    <w:uiPriority w:val="0"/>
    <w:rPr>
      <w:rFonts w:ascii="Arial Unicode MS" w:hAnsi="Arial Unicode MS" w:eastAsia="Arial Unicode MS" w:cs="Arial Unicode MS"/>
      <w:color w:val="000000"/>
      <w:spacing w:val="70"/>
      <w:w w:val="100"/>
      <w:position w:val="0"/>
      <w:sz w:val="27"/>
      <w:szCs w:val="27"/>
      <w:u w:val="none"/>
      <w:shd w:val="clear" w:color="auto" w:fill="FFFFFF"/>
      <w:lang w:val="zh-TW"/>
    </w:rPr>
  </w:style>
  <w:style w:type="character" w:customStyle="1" w:styleId="1775">
    <w:name w:val="正文文本 + 16 pt"/>
    <w:basedOn w:val="768"/>
    <w:qFormat/>
    <w:uiPriority w:val="0"/>
    <w:rPr>
      <w:rFonts w:ascii="Arial Unicode MS" w:hAnsi="Arial Unicode MS" w:eastAsia="Arial Unicode MS" w:cs="Arial Unicode MS"/>
      <w:color w:val="000000"/>
      <w:spacing w:val="40"/>
      <w:w w:val="100"/>
      <w:position w:val="0"/>
      <w:sz w:val="32"/>
      <w:szCs w:val="32"/>
      <w:u w:val="none"/>
      <w:shd w:val="clear" w:color="auto" w:fill="FFFFFF"/>
      <w:lang w:val="zh-TW"/>
    </w:rPr>
  </w:style>
  <w:style w:type="character" w:customStyle="1" w:styleId="1776">
    <w:name w:val="正文文本 (3) + Times New Roman"/>
    <w:basedOn w:val="1752"/>
    <w:qFormat/>
    <w:uiPriority w:val="0"/>
    <w:rPr>
      <w:rFonts w:ascii="Times New Roman" w:hAnsi="Times New Roman" w:eastAsia="Times New Roman" w:cs="Times New Roman"/>
      <w:b/>
      <w:bCs/>
      <w:color w:val="000000"/>
      <w:spacing w:val="0"/>
      <w:w w:val="100"/>
      <w:position w:val="0"/>
      <w:sz w:val="27"/>
      <w:szCs w:val="27"/>
      <w:shd w:val="clear" w:color="auto" w:fill="FFFFFF"/>
    </w:rPr>
  </w:style>
  <w:style w:type="character" w:customStyle="1" w:styleId="1777">
    <w:name w:val="正文文本 + 15.5 pt"/>
    <w:basedOn w:val="768"/>
    <w:qFormat/>
    <w:uiPriority w:val="0"/>
    <w:rPr>
      <w:rFonts w:ascii="Arial Unicode MS" w:hAnsi="Arial Unicode MS" w:eastAsia="Arial Unicode MS" w:cs="Arial Unicode MS"/>
      <w:i/>
      <w:iCs/>
      <w:color w:val="000000"/>
      <w:spacing w:val="0"/>
      <w:w w:val="100"/>
      <w:position w:val="0"/>
      <w:sz w:val="31"/>
      <w:szCs w:val="31"/>
      <w:u w:val="none"/>
      <w:shd w:val="clear" w:color="auto" w:fill="FFFFFF"/>
      <w:lang w:val="zh-CN"/>
    </w:rPr>
  </w:style>
  <w:style w:type="character" w:customStyle="1" w:styleId="1778">
    <w:name w:val="正文文本 + 10.5 pt"/>
    <w:basedOn w:val="768"/>
    <w:qFormat/>
    <w:uiPriority w:val="0"/>
    <w:rPr>
      <w:rFonts w:ascii="Arial Unicode MS" w:hAnsi="Arial Unicode MS" w:eastAsia="Arial Unicode MS" w:cs="Arial Unicode MS"/>
      <w:color w:val="000000"/>
      <w:spacing w:val="40"/>
      <w:w w:val="100"/>
      <w:position w:val="0"/>
      <w:sz w:val="21"/>
      <w:szCs w:val="21"/>
      <w:u w:val="none"/>
      <w:shd w:val="clear" w:color="auto" w:fill="FFFFFF"/>
      <w:lang w:val="zh-TW"/>
    </w:rPr>
  </w:style>
  <w:style w:type="character" w:customStyle="1" w:styleId="1779">
    <w:name w:val="正文文本 + 间距 2 pt"/>
    <w:basedOn w:val="768"/>
    <w:qFormat/>
    <w:uiPriority w:val="0"/>
    <w:rPr>
      <w:rFonts w:ascii="Arial Unicode MS" w:hAnsi="Arial Unicode MS" w:eastAsia="Arial Unicode MS" w:cs="Arial Unicode MS"/>
      <w:color w:val="000000"/>
      <w:spacing w:val="50"/>
      <w:w w:val="100"/>
      <w:position w:val="0"/>
      <w:sz w:val="24"/>
      <w:szCs w:val="24"/>
      <w:u w:val="none"/>
      <w:shd w:val="clear" w:color="auto" w:fill="FFFFFF"/>
      <w:lang w:val="zh-TW"/>
    </w:rPr>
  </w:style>
  <w:style w:type="character" w:customStyle="1" w:styleId="1780">
    <w:name w:val="正文文本 + 11 pt"/>
    <w:basedOn w:val="768"/>
    <w:qFormat/>
    <w:uiPriority w:val="0"/>
    <w:rPr>
      <w:rFonts w:ascii="Arial Unicode MS" w:hAnsi="Arial Unicode MS" w:eastAsia="Arial Unicode MS" w:cs="Arial Unicode MS"/>
      <w:color w:val="000000"/>
      <w:spacing w:val="20"/>
      <w:w w:val="100"/>
      <w:position w:val="0"/>
      <w:sz w:val="22"/>
      <w:szCs w:val="22"/>
      <w:u w:val="none"/>
      <w:shd w:val="clear" w:color="auto" w:fill="FFFFFF"/>
      <w:lang w:val="zh-TW"/>
    </w:rPr>
  </w:style>
  <w:style w:type="character" w:customStyle="1" w:styleId="1781">
    <w:name w:val="正文文本 + Arial Unicode MS"/>
    <w:basedOn w:val="768"/>
    <w:qFormat/>
    <w:uiPriority w:val="0"/>
    <w:rPr>
      <w:rFonts w:ascii="Arial Unicode MS" w:hAnsi="Arial Unicode MS" w:eastAsia="Arial Unicode MS" w:cs="Arial Unicode MS"/>
      <w:color w:val="000000"/>
      <w:spacing w:val="0"/>
      <w:w w:val="100"/>
      <w:position w:val="0"/>
      <w:sz w:val="21"/>
      <w:szCs w:val="21"/>
      <w:u w:val="none"/>
      <w:shd w:val="clear" w:color="auto" w:fill="FFFFFF"/>
      <w:lang w:val="en-US"/>
    </w:rPr>
  </w:style>
  <w:style w:type="character" w:customStyle="1" w:styleId="1782">
    <w:name w:val="正文文本 + 斜体"/>
    <w:basedOn w:val="768"/>
    <w:qFormat/>
    <w:uiPriority w:val="0"/>
    <w:rPr>
      <w:rFonts w:ascii="Arial Unicode MS" w:hAnsi="Arial Unicode MS" w:eastAsia="Arial Unicode MS" w:cs="Arial Unicode MS"/>
      <w:i/>
      <w:iCs/>
      <w:color w:val="000000"/>
      <w:spacing w:val="-20"/>
      <w:w w:val="100"/>
      <w:position w:val="0"/>
      <w:sz w:val="27"/>
      <w:szCs w:val="27"/>
      <w:u w:val="none"/>
      <w:shd w:val="clear" w:color="auto" w:fill="FFFFFF"/>
      <w:lang w:val="zh-TW"/>
    </w:rPr>
  </w:style>
  <w:style w:type="character" w:customStyle="1" w:styleId="1783">
    <w:name w:val="正文文本 + 间距 -1 pt"/>
    <w:basedOn w:val="768"/>
    <w:qFormat/>
    <w:uiPriority w:val="0"/>
    <w:rPr>
      <w:rFonts w:ascii="Arial Unicode MS" w:hAnsi="Arial Unicode MS" w:eastAsia="Arial Unicode MS" w:cs="Arial Unicode MS"/>
      <w:color w:val="000000"/>
      <w:spacing w:val="-20"/>
      <w:w w:val="100"/>
      <w:position w:val="0"/>
      <w:sz w:val="27"/>
      <w:szCs w:val="27"/>
      <w:u w:val="none"/>
      <w:shd w:val="clear" w:color="auto" w:fill="FFFFFF"/>
      <w:lang w:val="en-US"/>
    </w:rPr>
  </w:style>
  <w:style w:type="character" w:customStyle="1" w:styleId="1784">
    <w:name w:val="正文文本 (2) + 非斜体"/>
    <w:basedOn w:val="825"/>
    <w:qFormat/>
    <w:uiPriority w:val="0"/>
    <w:rPr>
      <w:rFonts w:ascii="MingLiU" w:eastAsia="MingLiU" w:cs="MingLiU"/>
      <w:color w:val="000000"/>
      <w:spacing w:val="-10"/>
      <w:w w:val="100"/>
      <w:kern w:val="0"/>
      <w:position w:val="0"/>
      <w:sz w:val="26"/>
      <w:szCs w:val="26"/>
      <w:lang w:val="zh-TW"/>
    </w:rPr>
  </w:style>
  <w:style w:type="character" w:customStyle="1" w:styleId="1785">
    <w:name w:val="正文文本 (2) + 15 pt"/>
    <w:basedOn w:val="825"/>
    <w:qFormat/>
    <w:uiPriority w:val="0"/>
    <w:rPr>
      <w:rFonts w:ascii="MingLiU" w:eastAsia="MingLiU" w:cs="MingLiU"/>
      <w:color w:val="000000"/>
      <w:spacing w:val="-10"/>
      <w:w w:val="100"/>
      <w:kern w:val="0"/>
      <w:position w:val="0"/>
      <w:sz w:val="30"/>
      <w:szCs w:val="30"/>
      <w:lang w:val="zh-TW"/>
    </w:rPr>
  </w:style>
  <w:style w:type="character" w:customStyle="1" w:styleId="1786">
    <w:name w:val="表格标题 (2) + SimSun"/>
    <w:basedOn w:val="1757"/>
    <w:qFormat/>
    <w:uiPriority w:val="0"/>
    <w:rPr>
      <w:rFonts w:ascii="宋体" w:hAnsi="宋体" w:eastAsia="宋体" w:cs="宋体"/>
      <w:color w:val="000000"/>
      <w:spacing w:val="0"/>
      <w:w w:val="100"/>
      <w:position w:val="0"/>
      <w:sz w:val="28"/>
      <w:szCs w:val="28"/>
      <w:shd w:val="clear" w:color="auto" w:fill="FFFFFF"/>
      <w:lang w:val="zh-CN"/>
    </w:rPr>
  </w:style>
  <w:style w:type="character" w:customStyle="1" w:styleId="1787">
    <w:name w:val="表格标题 (2) + Franklin Gothic Medium"/>
    <w:basedOn w:val="1757"/>
    <w:qFormat/>
    <w:uiPriority w:val="0"/>
    <w:rPr>
      <w:rFonts w:ascii="Franklin Gothic Medium" w:hAnsi="Franklin Gothic Medium" w:eastAsia="Franklin Gothic Medium" w:cs="Franklin Gothic Medium"/>
      <w:color w:val="000000"/>
      <w:spacing w:val="0"/>
      <w:w w:val="100"/>
      <w:position w:val="0"/>
      <w:sz w:val="30"/>
      <w:szCs w:val="30"/>
      <w:shd w:val="clear" w:color="auto" w:fill="FFFFFF"/>
      <w:lang w:val="en-US"/>
    </w:rPr>
  </w:style>
  <w:style w:type="character" w:customStyle="1" w:styleId="1788">
    <w:name w:val="正文文本 + 13 pt"/>
    <w:basedOn w:val="768"/>
    <w:qFormat/>
    <w:uiPriority w:val="0"/>
    <w:rPr>
      <w:rFonts w:ascii="Arial Unicode MS" w:hAnsi="Arial Unicode MS" w:eastAsia="Arial Unicode MS" w:cs="Arial Unicode MS"/>
      <w:color w:val="000000"/>
      <w:spacing w:val="40"/>
      <w:w w:val="100"/>
      <w:position w:val="0"/>
      <w:sz w:val="26"/>
      <w:szCs w:val="26"/>
      <w:u w:val="none"/>
      <w:shd w:val="clear" w:color="auto" w:fill="FFFFFF"/>
      <w:lang w:val="zh-TW"/>
    </w:rPr>
  </w:style>
  <w:style w:type="character" w:customStyle="1" w:styleId="1789">
    <w:name w:val="正文文本 + 13 pt1"/>
    <w:basedOn w:val="768"/>
    <w:qFormat/>
    <w:uiPriority w:val="0"/>
    <w:rPr>
      <w:rFonts w:ascii="Arial Unicode MS" w:hAnsi="Arial Unicode MS" w:eastAsia="Arial Unicode MS" w:cs="Arial Unicode MS"/>
      <w:color w:val="000000"/>
      <w:spacing w:val="40"/>
      <w:w w:val="100"/>
      <w:position w:val="0"/>
      <w:sz w:val="26"/>
      <w:szCs w:val="26"/>
      <w:u w:val="none"/>
      <w:shd w:val="clear" w:color="auto" w:fill="FFFFFF"/>
      <w:lang w:val="zh-TW"/>
    </w:rPr>
  </w:style>
  <w:style w:type="character" w:customStyle="1" w:styleId="1790">
    <w:name w:val="正文文本 + 12.5 pt"/>
    <w:basedOn w:val="768"/>
    <w:qFormat/>
    <w:uiPriority w:val="0"/>
    <w:rPr>
      <w:rFonts w:ascii="Arial Unicode MS" w:hAnsi="Arial Unicode MS" w:eastAsia="Arial Unicode MS" w:cs="Arial Unicode MS"/>
      <w:color w:val="000000"/>
      <w:spacing w:val="0"/>
      <w:w w:val="100"/>
      <w:position w:val="0"/>
      <w:sz w:val="25"/>
      <w:szCs w:val="25"/>
      <w:u w:val="none"/>
      <w:shd w:val="clear" w:color="auto" w:fill="FFFFFF"/>
      <w:lang w:val="en-US"/>
    </w:rPr>
  </w:style>
  <w:style w:type="character" w:customStyle="1" w:styleId="1791">
    <w:name w:val="正文文本 + 13 pt2"/>
    <w:basedOn w:val="768"/>
    <w:qFormat/>
    <w:uiPriority w:val="0"/>
    <w:rPr>
      <w:rFonts w:ascii="Arial Unicode MS" w:hAnsi="Arial Unicode MS" w:eastAsia="Arial Unicode MS" w:cs="Arial Unicode MS"/>
      <w:color w:val="000000"/>
      <w:spacing w:val="40"/>
      <w:w w:val="100"/>
      <w:position w:val="0"/>
      <w:sz w:val="26"/>
      <w:szCs w:val="26"/>
      <w:u w:val="none"/>
      <w:shd w:val="clear" w:color="auto" w:fill="FFFFFF"/>
      <w:lang w:val="en-US"/>
    </w:rPr>
  </w:style>
  <w:style w:type="character" w:customStyle="1" w:styleId="1792">
    <w:name w:val="正文文本 + 10 pt"/>
    <w:basedOn w:val="768"/>
    <w:qFormat/>
    <w:uiPriority w:val="0"/>
    <w:rPr>
      <w:rFonts w:ascii="Arial Unicode MS" w:hAnsi="Arial Unicode MS" w:eastAsia="Arial Unicode MS" w:cs="Arial Unicode MS"/>
      <w:color w:val="000000"/>
      <w:spacing w:val="0"/>
      <w:w w:val="100"/>
      <w:position w:val="0"/>
      <w:sz w:val="20"/>
      <w:szCs w:val="20"/>
      <w:u w:val="none"/>
      <w:shd w:val="clear" w:color="auto" w:fill="FFFFFF"/>
      <w:lang w:val="zh-CN"/>
    </w:rPr>
  </w:style>
  <w:style w:type="character" w:customStyle="1" w:styleId="1793">
    <w:name w:val="正文文本 + 15 pt"/>
    <w:basedOn w:val="768"/>
    <w:qFormat/>
    <w:uiPriority w:val="0"/>
    <w:rPr>
      <w:rFonts w:ascii="Arial Unicode MS" w:hAnsi="Arial Unicode MS" w:eastAsia="Arial Unicode MS" w:cs="Arial Unicode MS"/>
      <w:color w:val="000000"/>
      <w:spacing w:val="0"/>
      <w:w w:val="30"/>
      <w:position w:val="0"/>
      <w:sz w:val="30"/>
      <w:szCs w:val="30"/>
      <w:u w:val="none"/>
      <w:shd w:val="clear" w:color="auto" w:fill="FFFFFF"/>
      <w:lang w:val="zh-TW"/>
    </w:rPr>
  </w:style>
  <w:style w:type="character" w:customStyle="1" w:styleId="1794">
    <w:name w:val="正文文本 + Candara"/>
    <w:basedOn w:val="768"/>
    <w:qFormat/>
    <w:uiPriority w:val="0"/>
    <w:rPr>
      <w:rFonts w:ascii="Candara" w:hAnsi="Candara" w:eastAsia="Candara" w:cs="Candara"/>
      <w:color w:val="000000"/>
      <w:spacing w:val="0"/>
      <w:w w:val="100"/>
      <w:position w:val="0"/>
      <w:sz w:val="100"/>
      <w:szCs w:val="100"/>
      <w:u w:val="none"/>
      <w:shd w:val="clear" w:color="auto" w:fill="FFFFFF"/>
      <w:lang w:val="zh-CN"/>
    </w:rPr>
  </w:style>
  <w:style w:type="character" w:customStyle="1" w:styleId="1795">
    <w:name w:val="正文文本 + Sylfaen"/>
    <w:basedOn w:val="768"/>
    <w:qFormat/>
    <w:uiPriority w:val="0"/>
    <w:rPr>
      <w:rFonts w:ascii="Sylfaen" w:hAnsi="Sylfaen" w:eastAsia="Sylfaen" w:cs="Sylfaen"/>
      <w:i/>
      <w:iCs/>
      <w:color w:val="000000"/>
      <w:spacing w:val="0"/>
      <w:w w:val="100"/>
      <w:position w:val="0"/>
      <w:sz w:val="27"/>
      <w:szCs w:val="27"/>
      <w:u w:val="none"/>
      <w:shd w:val="clear" w:color="auto" w:fill="FFFFFF"/>
      <w:lang w:val="en-US"/>
    </w:rPr>
  </w:style>
  <w:style w:type="character" w:customStyle="1" w:styleId="1796">
    <w:name w:val="正文文本 + 13 pt3"/>
    <w:basedOn w:val="768"/>
    <w:qFormat/>
    <w:uiPriority w:val="0"/>
    <w:rPr>
      <w:rFonts w:ascii="Arial Unicode MS" w:hAnsi="Arial Unicode MS" w:eastAsia="Arial Unicode MS" w:cs="Arial Unicode MS"/>
      <w:color w:val="000000"/>
      <w:spacing w:val="40"/>
      <w:w w:val="100"/>
      <w:position w:val="0"/>
      <w:sz w:val="26"/>
      <w:szCs w:val="26"/>
      <w:u w:val="none"/>
      <w:shd w:val="clear" w:color="auto" w:fill="FFFFFF"/>
      <w:lang w:val="en-US"/>
    </w:rPr>
  </w:style>
  <w:style w:type="character" w:customStyle="1" w:styleId="1797">
    <w:name w:val="正文文本 + 7.5 pt"/>
    <w:basedOn w:val="768"/>
    <w:qFormat/>
    <w:uiPriority w:val="0"/>
    <w:rPr>
      <w:rFonts w:ascii="Arial Unicode MS" w:hAnsi="Arial Unicode MS" w:eastAsia="Arial Unicode MS" w:cs="Arial Unicode MS"/>
      <w:color w:val="000000"/>
      <w:spacing w:val="-30"/>
      <w:w w:val="150"/>
      <w:position w:val="0"/>
      <w:sz w:val="15"/>
      <w:szCs w:val="15"/>
      <w:u w:val="none"/>
      <w:shd w:val="clear" w:color="auto" w:fill="FFFFFF"/>
      <w:lang w:val="zh-TW"/>
    </w:rPr>
  </w:style>
  <w:style w:type="character" w:customStyle="1" w:styleId="1798">
    <w:name w:val="hover23"/>
    <w:basedOn w:val="101"/>
    <w:qFormat/>
    <w:uiPriority w:val="0"/>
  </w:style>
  <w:style w:type="character" w:customStyle="1" w:styleId="1799">
    <w:name w:val="hover24"/>
    <w:basedOn w:val="101"/>
    <w:qFormat/>
    <w:uiPriority w:val="0"/>
    <w:rPr>
      <w:color w:val="315EFB"/>
    </w:rPr>
  </w:style>
  <w:style w:type="character" w:customStyle="1" w:styleId="1800">
    <w:name w:val="c-icon28"/>
    <w:basedOn w:val="101"/>
    <w:qFormat/>
    <w:uiPriority w:val="0"/>
  </w:style>
  <w:style w:type="character" w:customStyle="1" w:styleId="1801">
    <w:name w:val="c-icon"/>
    <w:basedOn w:val="101"/>
    <w:qFormat/>
    <w:uiPriority w:val="0"/>
  </w:style>
  <w:style w:type="character" w:customStyle="1" w:styleId="1802">
    <w:name w:val="正文文本 (2) + 10 pt"/>
    <w:basedOn w:val="825"/>
    <w:qFormat/>
    <w:uiPriority w:val="99"/>
    <w:rPr>
      <w:rFonts w:ascii="MingLiU" w:eastAsia="MingLiU" w:cs="MingLiU"/>
      <w:kern w:val="0"/>
      <w:sz w:val="20"/>
      <w:szCs w:val="20"/>
      <w:u w:val="none"/>
    </w:rPr>
  </w:style>
  <w:style w:type="character" w:customStyle="1" w:styleId="1803">
    <w:name w:val="正文文本 (2) + Georgia9"/>
    <w:basedOn w:val="825"/>
    <w:qFormat/>
    <w:uiPriority w:val="99"/>
    <w:rPr>
      <w:rFonts w:ascii="Georgia" w:hAnsi="Georgia" w:eastAsia="MingLiU" w:cs="Georgia"/>
      <w:kern w:val="0"/>
      <w:sz w:val="20"/>
      <w:szCs w:val="20"/>
      <w:u w:val="none"/>
      <w:lang w:val="en-US" w:eastAsia="en-US"/>
    </w:rPr>
  </w:style>
  <w:style w:type="character" w:customStyle="1" w:styleId="1804">
    <w:name w:val="正文文本 (2) + 10 pt9"/>
    <w:basedOn w:val="825"/>
    <w:qFormat/>
    <w:uiPriority w:val="99"/>
    <w:rPr>
      <w:rFonts w:ascii="MingLiU" w:eastAsia="MingLiU" w:cs="MingLiU"/>
      <w:spacing w:val="20"/>
      <w:kern w:val="0"/>
      <w:sz w:val="20"/>
      <w:szCs w:val="20"/>
      <w:u w:val="none"/>
    </w:rPr>
  </w:style>
  <w:style w:type="character" w:customStyle="1" w:styleId="1805">
    <w:name w:val="正文文本 (2) + 10 pt7"/>
    <w:basedOn w:val="825"/>
    <w:qFormat/>
    <w:uiPriority w:val="99"/>
    <w:rPr>
      <w:rFonts w:ascii="MingLiU" w:eastAsia="MingLiU" w:cs="MingLiU"/>
      <w:spacing w:val="110"/>
      <w:kern w:val="0"/>
      <w:sz w:val="20"/>
      <w:szCs w:val="20"/>
      <w:u w:val="none"/>
    </w:rPr>
  </w:style>
  <w:style w:type="character" w:customStyle="1" w:styleId="1806">
    <w:name w:val="font61"/>
    <w:basedOn w:val="101"/>
    <w:qFormat/>
    <w:uiPriority w:val="0"/>
    <w:rPr>
      <w:rFonts w:hint="eastAsia" w:ascii="宋体" w:hAnsi="宋体" w:eastAsia="宋体" w:cs="宋体"/>
      <w:color w:val="000000"/>
      <w:sz w:val="23"/>
      <w:szCs w:val="23"/>
      <w:u w:val="none"/>
    </w:rPr>
  </w:style>
  <w:style w:type="character" w:customStyle="1" w:styleId="1807">
    <w:name w:val="font51"/>
    <w:basedOn w:val="101"/>
    <w:qFormat/>
    <w:uiPriority w:val="0"/>
    <w:rPr>
      <w:rFonts w:hint="eastAsia" w:ascii="宋体" w:hAnsi="宋体" w:eastAsia="宋体" w:cs="宋体"/>
      <w:color w:val="000000"/>
      <w:sz w:val="23"/>
      <w:szCs w:val="23"/>
      <w:u w:val="none"/>
    </w:rPr>
  </w:style>
  <w:style w:type="character" w:customStyle="1" w:styleId="1808">
    <w:name w:val="font31"/>
    <w:basedOn w:val="101"/>
    <w:qFormat/>
    <w:uiPriority w:val="0"/>
    <w:rPr>
      <w:rFonts w:hint="eastAsia" w:ascii="宋体" w:hAnsi="宋体" w:eastAsia="宋体" w:cs="宋体"/>
      <w:color w:val="000000"/>
      <w:sz w:val="23"/>
      <w:szCs w:val="23"/>
      <w:u w:val="none"/>
      <w:vertAlign w:val="subscript"/>
    </w:rPr>
  </w:style>
  <w:style w:type="paragraph" w:customStyle="1" w:styleId="1809">
    <w:name w:val="标题4"/>
    <w:basedOn w:val="1"/>
    <w:link w:val="1810"/>
    <w:qFormat/>
    <w:uiPriority w:val="0"/>
    <w:pPr>
      <w:spacing w:line="500" w:lineRule="exact"/>
      <w:outlineLvl w:val="3"/>
    </w:pPr>
    <w:rPr>
      <w:rFonts w:ascii="宋体" w:hAnsi="宋体" w:cs="宋体"/>
      <w:b/>
      <w:kern w:val="24"/>
      <w:sz w:val="24"/>
      <w:szCs w:val="24"/>
    </w:rPr>
  </w:style>
  <w:style w:type="character" w:customStyle="1" w:styleId="1810">
    <w:name w:val="标题4 字符"/>
    <w:link w:val="1809"/>
    <w:qFormat/>
    <w:uiPriority w:val="0"/>
    <w:rPr>
      <w:rFonts w:ascii="宋体" w:hAnsi="宋体" w:cs="宋体"/>
      <w:b/>
      <w:kern w:val="24"/>
      <w:sz w:val="24"/>
      <w:szCs w:val="24"/>
    </w:rPr>
  </w:style>
  <w:style w:type="character" w:customStyle="1" w:styleId="1811">
    <w:name w:val="正文文本 (2) + 10 pt5"/>
    <w:basedOn w:val="825"/>
    <w:qFormat/>
    <w:uiPriority w:val="99"/>
    <w:rPr>
      <w:rFonts w:ascii="MingLiU" w:eastAsia="MingLiU" w:cs="MingLiU"/>
      <w:spacing w:val="50"/>
      <w:kern w:val="0"/>
      <w:sz w:val="20"/>
      <w:szCs w:val="20"/>
      <w:u w:val="none"/>
      <w:shd w:val="clear" w:color="auto" w:fill="FFFFFF"/>
    </w:rPr>
  </w:style>
  <w:style w:type="character" w:customStyle="1" w:styleId="1812">
    <w:name w:val="正文文本 (2) + 10 pt6"/>
    <w:basedOn w:val="825"/>
    <w:qFormat/>
    <w:uiPriority w:val="99"/>
    <w:rPr>
      <w:rFonts w:ascii="MingLiU" w:eastAsia="MingLiU" w:cs="MingLiU"/>
      <w:spacing w:val="150"/>
      <w:kern w:val="0"/>
      <w:sz w:val="20"/>
      <w:szCs w:val="20"/>
      <w:u w:val="none"/>
      <w:shd w:val="clear" w:color="auto" w:fill="FFFFFF"/>
    </w:rPr>
  </w:style>
  <w:style w:type="character" w:customStyle="1" w:styleId="1813">
    <w:name w:val="标题 3 Char1"/>
    <w:basedOn w:val="101"/>
    <w:qFormat/>
    <w:uiPriority w:val="0"/>
    <w:rPr>
      <w:rFonts w:eastAsia="宋体"/>
      <w:b/>
      <w:bCs/>
      <w:kern w:val="2"/>
      <w:sz w:val="32"/>
      <w:szCs w:val="32"/>
      <w:lang w:val="en-US" w:eastAsia="zh-CN" w:bidi="ar-SA"/>
    </w:rPr>
  </w:style>
  <w:style w:type="paragraph" w:customStyle="1" w:styleId="1814">
    <w:name w:val="表4"/>
    <w:basedOn w:val="1"/>
    <w:qFormat/>
    <w:uiPriority w:val="0"/>
    <w:pPr>
      <w:tabs>
        <w:tab w:val="left" w:pos="2619"/>
      </w:tabs>
      <w:adjustRightInd w:val="0"/>
      <w:snapToGrid w:val="0"/>
      <w:spacing w:line="400" w:lineRule="exact"/>
      <w:ind w:left="420" w:leftChars="150" w:right="420" w:rightChars="150"/>
      <w:jc w:val="center"/>
    </w:pPr>
    <w:rPr>
      <w:rFonts w:ascii="宋体" w:hAnsi="宋体" w:cs="宋体"/>
      <w:snapToGrid w:val="0"/>
      <w:kern w:val="0"/>
      <w:sz w:val="28"/>
      <w:szCs w:val="24"/>
    </w:rPr>
  </w:style>
  <w:style w:type="paragraph" w:customStyle="1" w:styleId="1815">
    <w:name w:val="小4"/>
    <w:basedOn w:val="1"/>
    <w:next w:val="1"/>
    <w:qFormat/>
    <w:uiPriority w:val="0"/>
    <w:pPr>
      <w:autoSpaceDE w:val="0"/>
      <w:autoSpaceDN w:val="0"/>
      <w:adjustRightInd w:val="0"/>
      <w:snapToGrid w:val="0"/>
      <w:ind w:firstLine="425"/>
      <w:jc w:val="center"/>
    </w:pPr>
    <w:rPr>
      <w:rFonts w:ascii="宋体" w:hAnsi="宋体" w:cs="宋体"/>
      <w:kern w:val="0"/>
      <w:sz w:val="24"/>
      <w:szCs w:val="20"/>
    </w:rPr>
  </w:style>
  <w:style w:type="paragraph" w:customStyle="1" w:styleId="1816">
    <w:name w:val="图题注"/>
    <w:basedOn w:val="22"/>
    <w:qFormat/>
    <w:uiPriority w:val="0"/>
    <w:pPr>
      <w:widowControl/>
      <w:spacing w:line="240" w:lineRule="auto"/>
      <w:ind w:firstLine="0" w:firstLineChars="0"/>
      <w:jc w:val="center"/>
    </w:pPr>
    <w:rPr>
      <w:rFonts w:hAnsi="Arial" w:cs="宋体"/>
      <w:b w:val="0"/>
      <w:kern w:val="0"/>
      <w:sz w:val="21"/>
      <w:szCs w:val="21"/>
    </w:rPr>
  </w:style>
  <w:style w:type="paragraph" w:customStyle="1" w:styleId="1817">
    <w:name w:val="正文内容"/>
    <w:basedOn w:val="1"/>
    <w:link w:val="1818"/>
    <w:qFormat/>
    <w:uiPriority w:val="0"/>
    <w:pPr>
      <w:snapToGrid w:val="0"/>
      <w:ind w:firstLine="200" w:firstLineChars="200"/>
    </w:pPr>
    <w:rPr>
      <w:rFonts w:ascii="宋体" w:hAnsi="宋体" w:cs="宋体"/>
      <w:kern w:val="10"/>
      <w:sz w:val="24"/>
      <w:szCs w:val="24"/>
    </w:rPr>
  </w:style>
  <w:style w:type="character" w:customStyle="1" w:styleId="1818">
    <w:name w:val="正文内容 Char"/>
    <w:link w:val="1817"/>
    <w:qFormat/>
    <w:uiPriority w:val="0"/>
    <w:rPr>
      <w:rFonts w:ascii="宋体" w:hAnsi="宋体" w:cs="宋体"/>
      <w:kern w:val="10"/>
      <w:sz w:val="24"/>
      <w:szCs w:val="24"/>
    </w:rPr>
  </w:style>
  <w:style w:type="character" w:customStyle="1" w:styleId="1819">
    <w:name w:val="表格内容1 Char Char Char Char"/>
    <w:basedOn w:val="101"/>
    <w:link w:val="1820"/>
    <w:qFormat/>
    <w:uiPriority w:val="0"/>
    <w:rPr>
      <w:rFonts w:ascii="Arial" w:hAnsi="Arial" w:eastAsia="仿宋_GB2312"/>
      <w:kern w:val="24"/>
      <w:sz w:val="21"/>
      <w:szCs w:val="24"/>
    </w:rPr>
  </w:style>
  <w:style w:type="paragraph" w:customStyle="1" w:styleId="1820">
    <w:name w:val="表格内容1 Char Char Char"/>
    <w:basedOn w:val="1"/>
    <w:link w:val="1819"/>
    <w:qFormat/>
    <w:uiPriority w:val="0"/>
    <w:pPr>
      <w:spacing w:line="240" w:lineRule="atLeast"/>
      <w:jc w:val="center"/>
    </w:pPr>
    <w:rPr>
      <w:rFonts w:ascii="Arial" w:hAnsi="Arial" w:eastAsia="仿宋_GB2312"/>
      <w:kern w:val="24"/>
      <w:szCs w:val="24"/>
    </w:rPr>
  </w:style>
  <w:style w:type="character" w:customStyle="1" w:styleId="1821">
    <w:name w:val="正文文本 (2) + AngsanaUPC10"/>
    <w:basedOn w:val="825"/>
    <w:qFormat/>
    <w:uiPriority w:val="99"/>
    <w:rPr>
      <w:rFonts w:ascii="AngsanaUPC" w:hAnsi="AngsanaUPC" w:eastAsia="MingLiU" w:cs="AngsanaUPC"/>
      <w:kern w:val="0"/>
      <w:sz w:val="22"/>
      <w:szCs w:val="22"/>
      <w:u w:val="none"/>
      <w:shd w:val="clear" w:color="auto" w:fill="FFFFFF"/>
      <w:lang w:val="en-US" w:eastAsia="en-US"/>
    </w:rPr>
  </w:style>
  <w:style w:type="character" w:customStyle="1" w:styleId="1822">
    <w:name w:val="show-img-bd"/>
    <w:basedOn w:val="101"/>
    <w:qFormat/>
    <w:uiPriority w:val="0"/>
  </w:style>
  <w:style w:type="character" w:customStyle="1" w:styleId="1823">
    <w:name w:val="表格字 Char Char"/>
    <w:basedOn w:val="101"/>
    <w:link w:val="1824"/>
    <w:qFormat/>
    <w:uiPriority w:val="0"/>
    <w:rPr>
      <w:rFonts w:ascii="宋体"/>
      <w:sz w:val="24"/>
    </w:rPr>
  </w:style>
  <w:style w:type="paragraph" w:customStyle="1" w:styleId="1824">
    <w:name w:val="表格字"/>
    <w:basedOn w:val="39"/>
    <w:link w:val="1823"/>
    <w:qFormat/>
    <w:uiPriority w:val="0"/>
    <w:pPr>
      <w:adjustRightInd/>
      <w:snapToGrid w:val="0"/>
      <w:spacing w:line="360" w:lineRule="exact"/>
      <w:ind w:left="0" w:firstLine="0"/>
      <w:contextualSpacing/>
      <w:jc w:val="center"/>
      <w:textAlignment w:val="auto"/>
    </w:pPr>
    <w:rPr>
      <w:rFonts w:ascii="宋体"/>
    </w:rPr>
  </w:style>
  <w:style w:type="character" w:customStyle="1" w:styleId="1825">
    <w:name w:val="正文1 Char Char"/>
    <w:basedOn w:val="101"/>
    <w:qFormat/>
    <w:uiPriority w:val="0"/>
    <w:rPr>
      <w:rFonts w:eastAsia="宋体"/>
      <w:sz w:val="28"/>
      <w:szCs w:val="28"/>
    </w:rPr>
  </w:style>
  <w:style w:type="character" w:customStyle="1" w:styleId="1826">
    <w:name w:val="正文文本 (2) + 4 pt"/>
    <w:basedOn w:val="825"/>
    <w:qFormat/>
    <w:uiPriority w:val="99"/>
    <w:rPr>
      <w:rFonts w:ascii="MingLiU" w:eastAsia="MingLiU" w:cs="MingLiU"/>
      <w:w w:val="200"/>
      <w:kern w:val="0"/>
      <w:sz w:val="8"/>
      <w:szCs w:val="8"/>
      <w:u w:val="none"/>
      <w:shd w:val="clear" w:color="auto" w:fill="FFFFFF"/>
    </w:rPr>
  </w:style>
  <w:style w:type="character" w:customStyle="1" w:styleId="1827">
    <w:name w:val="正文文本 (14)5"/>
    <w:qFormat/>
    <w:uiPriority w:val="0"/>
    <w:rPr>
      <w:rFonts w:ascii="宋体" w:eastAsia="宋体" w:cs="宋体"/>
      <w:sz w:val="10"/>
      <w:szCs w:val="10"/>
      <w:shd w:val="clear" w:color="auto" w:fill="FFFFFF"/>
    </w:rPr>
  </w:style>
  <w:style w:type="character" w:customStyle="1" w:styleId="1828">
    <w:name w:val="样式 标题 3条标题头标题3H3h33rd level第二层条标题 3 Char小标题小节标题标题 3 C...4 Char"/>
    <w:link w:val="1829"/>
    <w:qFormat/>
    <w:uiPriority w:val="0"/>
    <w:rPr>
      <w:rFonts w:ascii="黑体" w:eastAsia="黑体"/>
      <w:bCs/>
      <w:color w:val="000000"/>
      <w:sz w:val="24"/>
      <w:szCs w:val="24"/>
    </w:rPr>
  </w:style>
  <w:style w:type="paragraph" w:customStyle="1" w:styleId="1829">
    <w:name w:val="样式 标题 3条标题头标题3H3h33rd level第二层条标题 3 Char小标题小节标题标题 3 C...4"/>
    <w:basedOn w:val="7"/>
    <w:link w:val="1828"/>
    <w:qFormat/>
    <w:uiPriority w:val="0"/>
    <w:pPr>
      <w:numPr>
        <w:ilvl w:val="0"/>
        <w:numId w:val="0"/>
      </w:numPr>
      <w:tabs>
        <w:tab w:val="clear" w:pos="630"/>
      </w:tabs>
      <w:spacing w:before="0" w:beforeLines="0" w:after="0" w:afterLines="0" w:line="720" w:lineRule="auto"/>
      <w:jc w:val="left"/>
    </w:pPr>
    <w:rPr>
      <w:rFonts w:ascii="黑体" w:eastAsia="黑体"/>
      <w:b w:val="0"/>
      <w:color w:val="000000"/>
      <w:kern w:val="0"/>
      <w:sz w:val="24"/>
      <w:szCs w:val="24"/>
    </w:rPr>
  </w:style>
  <w:style w:type="character" w:customStyle="1" w:styleId="1830">
    <w:name w:val="样式 标题 3条标题头标题3H3h33rd level第二层条标题 3 Char小标题小节标题标题 3 C...5 Char"/>
    <w:basedOn w:val="101"/>
    <w:link w:val="1831"/>
    <w:qFormat/>
    <w:uiPriority w:val="0"/>
    <w:rPr>
      <w:rFonts w:ascii="黑体" w:eastAsia="黑体"/>
      <w:color w:val="000000"/>
      <w:sz w:val="24"/>
      <w:szCs w:val="24"/>
    </w:rPr>
  </w:style>
  <w:style w:type="paragraph" w:customStyle="1" w:styleId="1831">
    <w:name w:val="样式 标题 3条标题头标题3H3h33rd level第二层条标题 3 Char小标题小节标题标题 3 C...5"/>
    <w:basedOn w:val="7"/>
    <w:link w:val="1830"/>
    <w:qFormat/>
    <w:uiPriority w:val="0"/>
    <w:pPr>
      <w:numPr>
        <w:ilvl w:val="0"/>
        <w:numId w:val="0"/>
      </w:numPr>
      <w:tabs>
        <w:tab w:val="clear" w:pos="630"/>
      </w:tabs>
      <w:spacing w:before="0" w:beforeLines="0" w:after="0" w:afterLines="0" w:line="720" w:lineRule="auto"/>
      <w:jc w:val="left"/>
    </w:pPr>
    <w:rPr>
      <w:rFonts w:ascii="黑体" w:eastAsia="黑体"/>
      <w:b w:val="0"/>
      <w:bCs w:val="0"/>
      <w:color w:val="000000"/>
      <w:kern w:val="0"/>
      <w:sz w:val="24"/>
      <w:szCs w:val="24"/>
    </w:rPr>
  </w:style>
  <w:style w:type="character" w:customStyle="1" w:styleId="1832">
    <w:name w:val="3级标题 Char"/>
    <w:link w:val="1833"/>
    <w:qFormat/>
    <w:locked/>
    <w:uiPriority w:val="0"/>
    <w:rPr>
      <w:rFonts w:ascii="黑体" w:hAnsi="宋体" w:eastAsia="黑体" w:cs="Arial"/>
      <w:bCs/>
      <w:color w:val="000000"/>
      <w:sz w:val="24"/>
    </w:rPr>
  </w:style>
  <w:style w:type="paragraph" w:customStyle="1" w:styleId="1833">
    <w:name w:val="3级标题"/>
    <w:basedOn w:val="7"/>
    <w:link w:val="1832"/>
    <w:qFormat/>
    <w:uiPriority w:val="0"/>
    <w:pPr>
      <w:numPr>
        <w:ilvl w:val="0"/>
        <w:numId w:val="0"/>
      </w:numPr>
      <w:tabs>
        <w:tab w:val="left" w:pos="1021"/>
        <w:tab w:val="clear" w:pos="630"/>
      </w:tabs>
      <w:spacing w:before="0" w:beforeLines="0" w:after="0" w:afterLines="0" w:line="500" w:lineRule="exact"/>
      <w:jc w:val="left"/>
    </w:pPr>
    <w:rPr>
      <w:rFonts w:ascii="黑体" w:hAnsi="宋体" w:eastAsia="黑体" w:cs="Arial"/>
      <w:b w:val="0"/>
      <w:color w:val="000000"/>
      <w:kern w:val="0"/>
      <w:sz w:val="24"/>
      <w:szCs w:val="20"/>
    </w:rPr>
  </w:style>
  <w:style w:type="character" w:customStyle="1" w:styleId="1834">
    <w:name w:val="表格备注 Char"/>
    <w:link w:val="1835"/>
    <w:qFormat/>
    <w:uiPriority w:val="0"/>
    <w:rPr>
      <w:rFonts w:eastAsia="仿宋_GB2312"/>
    </w:rPr>
  </w:style>
  <w:style w:type="paragraph" w:customStyle="1" w:styleId="1835">
    <w:name w:val="表格备注"/>
    <w:basedOn w:val="1"/>
    <w:link w:val="1834"/>
    <w:qFormat/>
    <w:uiPriority w:val="0"/>
    <w:pPr>
      <w:adjustRightInd w:val="0"/>
      <w:snapToGrid w:val="0"/>
      <w:ind w:firstLine="200" w:firstLineChars="200"/>
    </w:pPr>
    <w:rPr>
      <w:rFonts w:ascii="Times New Roman" w:hAnsi="Times New Roman" w:eastAsia="仿宋_GB2312"/>
      <w:kern w:val="0"/>
      <w:sz w:val="20"/>
      <w:szCs w:val="20"/>
    </w:rPr>
  </w:style>
  <w:style w:type="character" w:customStyle="1" w:styleId="1836">
    <w:name w:val="正文文本 (2) + 10 pt11"/>
    <w:basedOn w:val="825"/>
    <w:qFormat/>
    <w:uiPriority w:val="99"/>
    <w:rPr>
      <w:rFonts w:ascii="MingLiU" w:eastAsia="MingLiU" w:cs="MingLiU"/>
      <w:spacing w:val="10"/>
      <w:kern w:val="0"/>
      <w:sz w:val="20"/>
      <w:szCs w:val="20"/>
      <w:u w:val="none"/>
      <w:shd w:val="clear" w:color="auto" w:fill="FFFFFF"/>
    </w:rPr>
  </w:style>
  <w:style w:type="character" w:customStyle="1" w:styleId="1837">
    <w:name w:val="环评正文2 Char Char"/>
    <w:basedOn w:val="101"/>
    <w:link w:val="1838"/>
    <w:qFormat/>
    <w:uiPriority w:val="0"/>
    <w:rPr>
      <w:rFonts w:ascii="宋体" w:hAnsi="宋体" w:eastAsia="仿宋_GB2312"/>
      <w:color w:val="000000"/>
      <w:kern w:val="16"/>
      <w:sz w:val="24"/>
      <w:szCs w:val="24"/>
    </w:rPr>
  </w:style>
  <w:style w:type="paragraph" w:customStyle="1" w:styleId="1838">
    <w:name w:val="环评正文2"/>
    <w:basedOn w:val="1"/>
    <w:link w:val="1837"/>
    <w:qFormat/>
    <w:uiPriority w:val="0"/>
    <w:pPr>
      <w:spacing w:line="360" w:lineRule="auto"/>
      <w:ind w:firstLine="200" w:firstLineChars="200"/>
    </w:pPr>
    <w:rPr>
      <w:rFonts w:ascii="宋体" w:hAnsi="宋体" w:eastAsia="仿宋_GB2312"/>
      <w:color w:val="000000"/>
      <w:kern w:val="16"/>
      <w:sz w:val="24"/>
      <w:szCs w:val="24"/>
    </w:rPr>
  </w:style>
  <w:style w:type="paragraph" w:customStyle="1" w:styleId="1839">
    <w:name w:val="_Style 1078"/>
    <w:basedOn w:val="1"/>
    <w:next w:val="329"/>
    <w:qFormat/>
    <w:uiPriority w:val="99"/>
    <w:pPr>
      <w:ind w:firstLine="420" w:firstLineChars="200"/>
    </w:pPr>
    <w:rPr>
      <w:rFonts w:ascii="宋体" w:hAnsi="宋体" w:cs="宋体"/>
      <w:kern w:val="0"/>
    </w:rPr>
  </w:style>
  <w:style w:type="character" w:customStyle="1" w:styleId="1840">
    <w:name w:val="环评正文 Char Char"/>
    <w:basedOn w:val="101"/>
    <w:link w:val="1841"/>
    <w:qFormat/>
    <w:uiPriority w:val="0"/>
    <w:rPr>
      <w:rFonts w:ascii="仿宋_GB2312" w:eastAsia="仿宋_GB2312" w:cs="宋体"/>
      <w:snapToGrid w:val="0"/>
      <w:spacing w:val="1"/>
      <w:position w:val="-3"/>
      <w:sz w:val="24"/>
    </w:rPr>
  </w:style>
  <w:style w:type="paragraph" w:customStyle="1" w:styleId="1841">
    <w:name w:val="环评正文"/>
    <w:basedOn w:val="1"/>
    <w:next w:val="1"/>
    <w:link w:val="1840"/>
    <w:qFormat/>
    <w:uiPriority w:val="0"/>
    <w:pPr>
      <w:spacing w:line="360" w:lineRule="auto"/>
      <w:ind w:firstLine="484" w:firstLineChars="200"/>
    </w:pPr>
    <w:rPr>
      <w:rFonts w:ascii="仿宋_GB2312" w:hAnsi="Times New Roman" w:eastAsia="仿宋_GB2312" w:cs="宋体"/>
      <w:snapToGrid w:val="0"/>
      <w:spacing w:val="1"/>
      <w:kern w:val="0"/>
      <w:position w:val="-3"/>
      <w:sz w:val="24"/>
      <w:szCs w:val="20"/>
    </w:rPr>
  </w:style>
  <w:style w:type="character" w:customStyle="1" w:styleId="1842">
    <w:name w:val="正文文本 (9) + 间距 0 pt"/>
    <w:basedOn w:val="1843"/>
    <w:qFormat/>
    <w:uiPriority w:val="99"/>
    <w:rPr>
      <w:rFonts w:ascii="MingLiU" w:eastAsia="MingLiU" w:cs="MingLiU"/>
      <w:spacing w:val="10"/>
      <w:sz w:val="20"/>
      <w:szCs w:val="20"/>
      <w:u w:val="none"/>
      <w:shd w:val="clear" w:color="auto" w:fill="FFFFFF"/>
    </w:rPr>
  </w:style>
  <w:style w:type="character" w:customStyle="1" w:styleId="1843">
    <w:name w:val="正文文本 (9)_"/>
    <w:basedOn w:val="101"/>
    <w:link w:val="1844"/>
    <w:qFormat/>
    <w:uiPriority w:val="99"/>
    <w:rPr>
      <w:rFonts w:ascii="MingLiU" w:eastAsia="MingLiU" w:cs="MingLiU"/>
      <w:shd w:val="clear" w:color="auto" w:fill="FFFFFF"/>
    </w:rPr>
  </w:style>
  <w:style w:type="paragraph" w:customStyle="1" w:styleId="1844">
    <w:name w:val="正文文本 (9)1"/>
    <w:basedOn w:val="1"/>
    <w:link w:val="1843"/>
    <w:qFormat/>
    <w:uiPriority w:val="99"/>
    <w:pPr>
      <w:shd w:val="clear" w:color="auto" w:fill="FFFFFF"/>
      <w:spacing w:before="2040" w:after="660" w:line="240" w:lineRule="atLeast"/>
      <w:jc w:val="center"/>
    </w:pPr>
    <w:rPr>
      <w:rFonts w:ascii="MingLiU" w:hAnsi="Times New Roman" w:eastAsia="MingLiU" w:cs="MingLiU"/>
      <w:kern w:val="0"/>
      <w:sz w:val="20"/>
      <w:szCs w:val="20"/>
    </w:rPr>
  </w:style>
  <w:style w:type="character" w:customStyle="1" w:styleId="1845">
    <w:name w:val="正文文本 (9) + 间距 1 pt2"/>
    <w:basedOn w:val="1843"/>
    <w:qFormat/>
    <w:uiPriority w:val="99"/>
    <w:rPr>
      <w:rFonts w:ascii="MingLiU" w:eastAsia="MingLiU" w:cs="MingLiU"/>
      <w:spacing w:val="20"/>
      <w:shd w:val="clear" w:color="auto" w:fill="FFFFFF"/>
    </w:rPr>
  </w:style>
  <w:style w:type="character" w:customStyle="1" w:styleId="1846">
    <w:name w:val="航标 Char Char"/>
    <w:basedOn w:val="101"/>
    <w:link w:val="1847"/>
    <w:qFormat/>
    <w:uiPriority w:val="0"/>
    <w:rPr>
      <w:rFonts w:ascii="宋体" w:eastAsia="黑体"/>
      <w:bCs/>
      <w:sz w:val="24"/>
      <w:szCs w:val="24"/>
    </w:rPr>
  </w:style>
  <w:style w:type="paragraph" w:customStyle="1" w:styleId="1847">
    <w:name w:val="航标"/>
    <w:basedOn w:val="1"/>
    <w:next w:val="1"/>
    <w:link w:val="1846"/>
    <w:qFormat/>
    <w:uiPriority w:val="0"/>
    <w:pPr>
      <w:spacing w:line="360" w:lineRule="auto"/>
      <w:ind w:firstLine="482" w:firstLineChars="200"/>
    </w:pPr>
    <w:rPr>
      <w:rFonts w:ascii="宋体" w:hAnsi="Times New Roman" w:eastAsia="黑体"/>
      <w:bCs/>
      <w:kern w:val="0"/>
      <w:sz w:val="24"/>
      <w:szCs w:val="24"/>
    </w:rPr>
  </w:style>
  <w:style w:type="character" w:customStyle="1" w:styleId="1848">
    <w:name w:val="图名 Char"/>
    <w:basedOn w:val="101"/>
    <w:link w:val="1849"/>
    <w:qFormat/>
    <w:uiPriority w:val="0"/>
    <w:rPr>
      <w:rFonts w:ascii="宋体" w:hAnsi="宋体"/>
      <w:kern w:val="2"/>
      <w:sz w:val="24"/>
      <w:szCs w:val="24"/>
    </w:rPr>
  </w:style>
  <w:style w:type="paragraph" w:customStyle="1" w:styleId="1849">
    <w:name w:val="图名"/>
    <w:link w:val="1848"/>
    <w:qFormat/>
    <w:uiPriority w:val="0"/>
    <w:pPr>
      <w:widowControl w:val="0"/>
      <w:topLinePunct/>
      <w:jc w:val="center"/>
    </w:pPr>
    <w:rPr>
      <w:rFonts w:ascii="宋体" w:hAnsi="宋体" w:eastAsia="宋体" w:cs="Times New Roman"/>
      <w:kern w:val="2"/>
      <w:sz w:val="24"/>
      <w:szCs w:val="24"/>
      <w:lang w:val="en-US" w:eastAsia="zh-CN" w:bidi="ar-SA"/>
    </w:rPr>
  </w:style>
  <w:style w:type="character" w:customStyle="1" w:styleId="1850">
    <w:name w:val="图表内容 Char"/>
    <w:link w:val="1851"/>
    <w:qFormat/>
    <w:uiPriority w:val="0"/>
    <w:rPr>
      <w:rFonts w:eastAsia="仿宋_GB2312"/>
    </w:rPr>
  </w:style>
  <w:style w:type="paragraph" w:customStyle="1" w:styleId="1851">
    <w:name w:val="图表内容"/>
    <w:basedOn w:val="1"/>
    <w:link w:val="1850"/>
    <w:qFormat/>
    <w:uiPriority w:val="0"/>
    <w:pPr>
      <w:adjustRightInd w:val="0"/>
      <w:snapToGrid w:val="0"/>
      <w:jc w:val="center"/>
    </w:pPr>
    <w:rPr>
      <w:rFonts w:ascii="Times New Roman" w:hAnsi="Times New Roman" w:eastAsia="仿宋_GB2312"/>
      <w:kern w:val="0"/>
      <w:sz w:val="20"/>
      <w:szCs w:val="20"/>
    </w:rPr>
  </w:style>
  <w:style w:type="character" w:customStyle="1" w:styleId="1852">
    <w:name w:val="表格内容 Char"/>
    <w:qFormat/>
    <w:uiPriority w:val="0"/>
    <w:rPr>
      <w:rFonts w:ascii="Times New Roman" w:hAnsi="Times New Roman" w:eastAsia="仿宋_GB2312" w:cs="Times New Roman"/>
      <w:kern w:val="0"/>
      <w:sz w:val="20"/>
      <w:szCs w:val="20"/>
    </w:rPr>
  </w:style>
  <w:style w:type="character" w:customStyle="1" w:styleId="1853">
    <w:name w:val="公式 Char"/>
    <w:link w:val="1854"/>
    <w:qFormat/>
    <w:uiPriority w:val="0"/>
    <w:rPr>
      <w:rFonts w:eastAsia="仿宋_GB2312"/>
      <w:sz w:val="28"/>
      <w:szCs w:val="28"/>
    </w:rPr>
  </w:style>
  <w:style w:type="paragraph" w:customStyle="1" w:styleId="1854">
    <w:name w:val="公式"/>
    <w:basedOn w:val="1"/>
    <w:link w:val="1853"/>
    <w:qFormat/>
    <w:uiPriority w:val="0"/>
    <w:pPr>
      <w:tabs>
        <w:tab w:val="center" w:pos="3920"/>
        <w:tab w:val="right" w:pos="8400"/>
      </w:tabs>
      <w:adjustRightInd w:val="0"/>
      <w:snapToGrid w:val="0"/>
    </w:pPr>
    <w:rPr>
      <w:rFonts w:ascii="Times New Roman" w:hAnsi="Times New Roman" w:eastAsia="仿宋_GB2312"/>
      <w:kern w:val="0"/>
      <w:sz w:val="28"/>
      <w:szCs w:val="28"/>
    </w:rPr>
  </w:style>
  <w:style w:type="character" w:customStyle="1" w:styleId="1855">
    <w:name w:val="环评正文 Char"/>
    <w:basedOn w:val="101"/>
    <w:qFormat/>
    <w:uiPriority w:val="0"/>
    <w:rPr>
      <w:rFonts w:ascii="仿宋_GB2312" w:hAnsi="Times New Roman" w:eastAsia="仿宋_GB2312" w:cs="宋体"/>
      <w:sz w:val="28"/>
      <w:szCs w:val="20"/>
    </w:rPr>
  </w:style>
  <w:style w:type="character" w:customStyle="1" w:styleId="1856">
    <w:name w:val="正文文本 (2) + 10 pt16"/>
    <w:basedOn w:val="825"/>
    <w:qFormat/>
    <w:uiPriority w:val="99"/>
    <w:rPr>
      <w:rFonts w:ascii="MingLiU" w:eastAsia="MingLiU" w:cs="MingLiU"/>
      <w:spacing w:val="120"/>
      <w:kern w:val="0"/>
      <w:sz w:val="20"/>
      <w:szCs w:val="20"/>
      <w:u w:val="none"/>
      <w:shd w:val="clear" w:color="auto" w:fill="FFFFFF"/>
    </w:rPr>
  </w:style>
  <w:style w:type="character" w:customStyle="1" w:styleId="1857">
    <w:name w:val="公式说明 Char"/>
    <w:link w:val="1858"/>
    <w:qFormat/>
    <w:uiPriority w:val="0"/>
    <w:rPr>
      <w:rFonts w:eastAsia="仿宋_GB2312"/>
      <w:sz w:val="32"/>
    </w:rPr>
  </w:style>
  <w:style w:type="paragraph" w:customStyle="1" w:styleId="1858">
    <w:name w:val="公式说明"/>
    <w:basedOn w:val="1"/>
    <w:link w:val="1857"/>
    <w:qFormat/>
    <w:uiPriority w:val="0"/>
    <w:pPr>
      <w:tabs>
        <w:tab w:val="left" w:pos="1920"/>
      </w:tabs>
      <w:adjustRightInd w:val="0"/>
      <w:snapToGrid w:val="0"/>
      <w:spacing w:line="620" w:lineRule="exact"/>
      <w:ind w:firstLine="200" w:firstLineChars="200"/>
    </w:pPr>
    <w:rPr>
      <w:rFonts w:ascii="Times New Roman" w:hAnsi="Times New Roman" w:eastAsia="仿宋_GB2312"/>
      <w:kern w:val="0"/>
      <w:sz w:val="32"/>
      <w:szCs w:val="20"/>
    </w:rPr>
  </w:style>
  <w:style w:type="character" w:customStyle="1" w:styleId="1859">
    <w:name w:val="正文文本 (9) + Georgia"/>
    <w:basedOn w:val="1843"/>
    <w:qFormat/>
    <w:uiPriority w:val="99"/>
    <w:rPr>
      <w:rFonts w:ascii="Georgia" w:hAnsi="Georgia" w:eastAsia="MingLiU" w:cs="Georgia"/>
      <w:shd w:val="clear" w:color="auto" w:fill="FFFFFF"/>
      <w:lang w:val="en-US" w:eastAsia="en-US"/>
    </w:rPr>
  </w:style>
  <w:style w:type="paragraph" w:customStyle="1" w:styleId="1860">
    <w:name w:val="样式 标题 4款标题1.1.1.1 南陵标题 4标题 4 CharH4PIM 4h4First Subheadin...2"/>
    <w:basedOn w:val="3"/>
    <w:qFormat/>
    <w:uiPriority w:val="0"/>
    <w:pPr>
      <w:keepNext w:val="0"/>
      <w:keepLines w:val="0"/>
      <w:numPr>
        <w:ilvl w:val="0"/>
        <w:numId w:val="0"/>
      </w:numPr>
      <w:jc w:val="left"/>
    </w:pPr>
    <w:rPr>
      <w:rFonts w:ascii="黑体" w:eastAsia="黑体" w:cs="宋体"/>
      <w:b w:val="0"/>
      <w:bCs w:val="0"/>
      <w:color w:val="000000"/>
      <w:kern w:val="0"/>
      <w:szCs w:val="24"/>
    </w:rPr>
  </w:style>
  <w:style w:type="paragraph" w:customStyle="1" w:styleId="1861">
    <w:name w:val="样式 标题 2节标题标题2H2h2第一层条节二级 标题 21.1标题 21.1_Heading 2标2标...1"/>
    <w:basedOn w:val="6"/>
    <w:qFormat/>
    <w:uiPriority w:val="0"/>
    <w:pPr>
      <w:numPr>
        <w:ilvl w:val="0"/>
        <w:numId w:val="0"/>
      </w:numPr>
      <w:tabs>
        <w:tab w:val="clear" w:pos="525"/>
      </w:tabs>
      <w:spacing w:before="0" w:beforeLines="0" w:after="0" w:afterLines="0" w:line="720" w:lineRule="auto"/>
      <w:jc w:val="left"/>
    </w:pPr>
    <w:rPr>
      <w:rFonts w:ascii="黑体" w:hAnsi="Times New Roman" w:eastAsia="黑体" w:cs="宋体"/>
      <w:b w:val="0"/>
      <w:kern w:val="0"/>
      <w:sz w:val="28"/>
      <w:szCs w:val="28"/>
    </w:rPr>
  </w:style>
  <w:style w:type="paragraph" w:customStyle="1" w:styleId="1862">
    <w:name w:val="16"/>
    <w:basedOn w:val="1"/>
    <w:qFormat/>
    <w:uiPriority w:val="0"/>
    <w:pPr>
      <w:spacing w:before="100" w:beforeAutospacing="1" w:after="100" w:afterAutospacing="1"/>
    </w:pPr>
    <w:rPr>
      <w:rFonts w:ascii="宋体" w:hAnsi="宋体" w:cs="宋体"/>
      <w:kern w:val="0"/>
      <w:sz w:val="24"/>
      <w:szCs w:val="24"/>
    </w:rPr>
  </w:style>
  <w:style w:type="paragraph" w:customStyle="1" w:styleId="1863">
    <w:name w:val="Char Char Char3"/>
    <w:basedOn w:val="1"/>
    <w:qFormat/>
    <w:uiPriority w:val="0"/>
    <w:rPr>
      <w:rFonts w:ascii="Tahoma" w:hAnsi="Tahoma" w:eastAsia="黑体" w:cs="宋体"/>
      <w:kern w:val="0"/>
      <w:sz w:val="28"/>
      <w:szCs w:val="28"/>
    </w:rPr>
  </w:style>
  <w:style w:type="paragraph" w:customStyle="1" w:styleId="1864">
    <w:name w:val="TOC 标题2"/>
    <w:basedOn w:val="5"/>
    <w:next w:val="1"/>
    <w:qFormat/>
    <w:uiPriority w:val="39"/>
    <w:pPr>
      <w:numPr>
        <w:numId w:val="0"/>
      </w:numPr>
      <w:spacing w:before="480" w:after="0" w:line="276" w:lineRule="auto"/>
      <w:jc w:val="left"/>
      <w:outlineLvl w:val="9"/>
    </w:pPr>
    <w:rPr>
      <w:rFonts w:ascii="Cambria" w:hAnsi="Cambria" w:eastAsia="宋体" w:cs="宋体"/>
      <w:b/>
      <w:color w:val="365F91"/>
      <w:kern w:val="0"/>
      <w:sz w:val="28"/>
      <w:szCs w:val="28"/>
    </w:rPr>
  </w:style>
  <w:style w:type="paragraph" w:customStyle="1" w:styleId="1865">
    <w:name w:val="表格标题2"/>
    <w:basedOn w:val="1838"/>
    <w:next w:val="1838"/>
    <w:qFormat/>
    <w:uiPriority w:val="0"/>
    <w:pPr>
      <w:spacing w:line="240" w:lineRule="auto"/>
    </w:pPr>
    <w:rPr>
      <w:rFonts w:eastAsia="宋体"/>
      <w:b/>
      <w:bCs/>
    </w:rPr>
  </w:style>
  <w:style w:type="paragraph" w:customStyle="1" w:styleId="1866">
    <w:name w:val="文字表格"/>
    <w:basedOn w:val="189"/>
    <w:qFormat/>
    <w:uiPriority w:val="99"/>
    <w:pPr>
      <w:tabs>
        <w:tab w:val="clear" w:pos="3720"/>
      </w:tabs>
      <w:snapToGrid w:val="0"/>
      <w:spacing w:line="360" w:lineRule="atLeast"/>
      <w:ind w:firstLine="0" w:firstLineChars="0"/>
    </w:pPr>
    <w:rPr>
      <w:rFonts w:ascii="Times New Roman" w:hAnsi="Times New Roman" w:eastAsia="宋体" w:cs="宋体"/>
      <w:snapToGrid w:val="0"/>
      <w:color w:val="000000"/>
      <w:sz w:val="21"/>
      <w:szCs w:val="21"/>
      <w:lang w:val="zh-CN"/>
    </w:rPr>
  </w:style>
  <w:style w:type="paragraph" w:customStyle="1" w:styleId="1867">
    <w:name w:val="正文-使用"/>
    <w:basedOn w:val="1"/>
    <w:qFormat/>
    <w:uiPriority w:val="0"/>
    <w:pPr>
      <w:adjustRightInd w:val="0"/>
      <w:snapToGrid w:val="0"/>
      <w:spacing w:line="360" w:lineRule="auto"/>
      <w:ind w:firstLine="482"/>
    </w:pPr>
    <w:rPr>
      <w:rFonts w:ascii="宋体" w:hAnsi="宋体" w:cs="宋体"/>
      <w:kern w:val="0"/>
      <w:sz w:val="24"/>
      <w:szCs w:val="20"/>
    </w:rPr>
  </w:style>
  <w:style w:type="paragraph" w:customStyle="1" w:styleId="1868">
    <w:name w:val="样式 样式 样式 标题 4款标题1.1.1.1 南陵标题 4标题 4 CharH4PIM 4h4First Subheadin...."/>
    <w:basedOn w:val="1"/>
    <w:qFormat/>
    <w:uiPriority w:val="0"/>
    <w:pPr>
      <w:spacing w:line="360" w:lineRule="auto"/>
      <w:outlineLvl w:val="3"/>
    </w:pPr>
    <w:rPr>
      <w:rFonts w:ascii="黑体" w:hAnsi="宋体" w:eastAsia="黑体" w:cs="宋体"/>
      <w:kern w:val="0"/>
      <w:sz w:val="24"/>
      <w:szCs w:val="24"/>
    </w:rPr>
  </w:style>
  <w:style w:type="paragraph" w:customStyle="1" w:styleId="1869">
    <w:name w:val="表格字2"/>
    <w:basedOn w:val="1"/>
    <w:qFormat/>
    <w:uiPriority w:val="0"/>
    <w:rPr>
      <w:rFonts w:ascii="宋体" w:hAnsi="宋体" w:cs="宋体"/>
      <w:color w:val="000000"/>
      <w:kern w:val="16"/>
      <w:szCs w:val="21"/>
    </w:rPr>
  </w:style>
  <w:style w:type="paragraph" w:customStyle="1" w:styleId="1870">
    <w:name w:val="论文正文"/>
    <w:basedOn w:val="1"/>
    <w:qFormat/>
    <w:uiPriority w:val="0"/>
    <w:pPr>
      <w:ind w:firstLine="567"/>
    </w:pPr>
    <w:rPr>
      <w:rFonts w:ascii="宋体" w:hAnsi="宋体" w:cs="宋体"/>
      <w:kern w:val="0"/>
      <w:sz w:val="28"/>
      <w:szCs w:val="20"/>
    </w:rPr>
  </w:style>
  <w:style w:type="character" w:customStyle="1" w:styleId="1871">
    <w:name w:val="正文缩进 Char1"/>
    <w:basedOn w:val="101"/>
    <w:qFormat/>
    <w:uiPriority w:val="0"/>
    <w:rPr>
      <w:rFonts w:ascii="Times New Roman" w:hAnsi="Times New Roman" w:eastAsia="宋体" w:cs="Times New Roman"/>
      <w:szCs w:val="24"/>
    </w:rPr>
  </w:style>
  <w:style w:type="paragraph" w:customStyle="1" w:styleId="1872">
    <w:name w:val="表第一列"/>
    <w:basedOn w:val="89"/>
    <w:qFormat/>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s="宋体"/>
      <w:color w:val="000000"/>
      <w:spacing w:val="-4"/>
      <w:kern w:val="0"/>
      <w:szCs w:val="20"/>
    </w:rPr>
  </w:style>
  <w:style w:type="paragraph" w:customStyle="1" w:styleId="1873">
    <w:name w:val="Main"/>
    <w:basedOn w:val="1"/>
    <w:qFormat/>
    <w:uiPriority w:val="0"/>
    <w:pPr>
      <w:spacing w:line="480" w:lineRule="atLeast"/>
      <w:ind w:left="400" w:leftChars="400" w:right="400" w:firstLine="200"/>
    </w:pPr>
    <w:rPr>
      <w:rFonts w:hint="eastAsia" w:ascii="Tahoma" w:hAnsi="Tahoma" w:cs="宋体"/>
      <w:kern w:val="0"/>
      <w:szCs w:val="21"/>
    </w:rPr>
  </w:style>
  <w:style w:type="paragraph" w:customStyle="1" w:styleId="1874">
    <w:name w:val="yxp_表格内文字"/>
    <w:basedOn w:val="1"/>
    <w:qFormat/>
    <w:uiPriority w:val="0"/>
    <w:rPr>
      <w:rFonts w:ascii="宋体" w:hAnsi="宋体" w:cs="宋体"/>
      <w:kern w:val="0"/>
      <w:sz w:val="28"/>
      <w:szCs w:val="24"/>
    </w:rPr>
  </w:style>
  <w:style w:type="paragraph" w:customStyle="1" w:styleId="1875">
    <w:name w:val="正文表格"/>
    <w:basedOn w:val="1"/>
    <w:qFormat/>
    <w:uiPriority w:val="0"/>
    <w:pPr>
      <w:keepNext/>
      <w:keepLines/>
      <w:overflowPunct w:val="0"/>
      <w:adjustRightInd w:val="0"/>
      <w:spacing w:before="80"/>
      <w:jc w:val="center"/>
      <w:textAlignment w:val="bottom"/>
    </w:pPr>
    <w:rPr>
      <w:rFonts w:ascii="宋体" w:hAnsi="宋体" w:cs="宋体"/>
      <w:kern w:val="0"/>
      <w:sz w:val="28"/>
      <w:szCs w:val="20"/>
    </w:rPr>
  </w:style>
  <w:style w:type="character" w:customStyle="1" w:styleId="1876">
    <w:name w:val="background-color:#ffffff"/>
    <w:basedOn w:val="101"/>
    <w:qFormat/>
    <w:uiPriority w:val="0"/>
  </w:style>
  <w:style w:type="character" w:customStyle="1" w:styleId="1877">
    <w:name w:val="font-family:times"/>
    <w:basedOn w:val="101"/>
    <w:qFormat/>
    <w:uiPriority w:val="0"/>
  </w:style>
  <w:style w:type="character" w:customStyle="1" w:styleId="1878">
    <w:name w:val="font-family:宋体"/>
    <w:basedOn w:val="101"/>
    <w:qFormat/>
    <w:uiPriority w:val="0"/>
  </w:style>
  <w:style w:type="character" w:customStyle="1" w:styleId="1879">
    <w:name w:val="font-family:仿宋_gb2312"/>
    <w:basedOn w:val="101"/>
    <w:qFormat/>
    <w:uiPriority w:val="0"/>
  </w:style>
  <w:style w:type="paragraph" w:customStyle="1" w:styleId="1880">
    <w:name w:val="普通(网站)1"/>
    <w:basedOn w:val="1"/>
    <w:qFormat/>
    <w:uiPriority w:val="0"/>
    <w:pPr>
      <w:spacing w:before="100" w:beforeAutospacing="1" w:after="100" w:afterAutospacing="1"/>
    </w:pPr>
    <w:rPr>
      <w:rFonts w:hint="eastAsia" w:ascii="宋体" w:hAnsi="宋体" w:cs="宋体"/>
      <w:kern w:val="0"/>
      <w:sz w:val="24"/>
      <w:szCs w:val="20"/>
    </w:rPr>
  </w:style>
  <w:style w:type="paragraph" w:customStyle="1" w:styleId="1881">
    <w:name w:val="aa表头"/>
    <w:basedOn w:val="1"/>
    <w:link w:val="1882"/>
    <w:qFormat/>
    <w:uiPriority w:val="0"/>
    <w:pPr>
      <w:widowControl w:val="0"/>
      <w:spacing w:line="520" w:lineRule="exact"/>
      <w:jc w:val="center"/>
    </w:pPr>
    <w:rPr>
      <w:rFonts w:ascii="Times New Roman" w:hAnsi="Times New Roman" w:eastAsia="黑体"/>
      <w:sz w:val="24"/>
      <w:szCs w:val="24"/>
    </w:rPr>
  </w:style>
  <w:style w:type="character" w:customStyle="1" w:styleId="1882">
    <w:name w:val="aa表头 字符"/>
    <w:link w:val="1881"/>
    <w:qFormat/>
    <w:uiPriority w:val="0"/>
    <w:rPr>
      <w:rFonts w:eastAsia="黑体"/>
      <w:kern w:val="2"/>
      <w:sz w:val="24"/>
      <w:szCs w:val="24"/>
    </w:rPr>
  </w:style>
  <w:style w:type="character" w:customStyle="1" w:styleId="1883">
    <w:name w:val="zw1"/>
    <w:qFormat/>
    <w:uiPriority w:val="0"/>
    <w:rPr>
      <w:rFonts w:hint="eastAsia" w:ascii="宋体" w:hAnsi="宋体" w:eastAsia="宋体"/>
      <w:sz w:val="22"/>
      <w:szCs w:val="22"/>
    </w:rPr>
  </w:style>
  <w:style w:type="paragraph" w:customStyle="1" w:styleId="1884">
    <w:name w:val="_Style 1132"/>
    <w:basedOn w:val="1"/>
    <w:next w:val="329"/>
    <w:qFormat/>
    <w:uiPriority w:val="0"/>
    <w:pPr>
      <w:widowControl w:val="0"/>
      <w:spacing w:line="360" w:lineRule="auto"/>
      <w:ind w:firstLine="420" w:firstLineChars="200"/>
      <w:jc w:val="both"/>
    </w:pPr>
    <w:rPr>
      <w:rFonts w:ascii="Times New Roman" w:hAnsi="宋体"/>
      <w:sz w:val="24"/>
      <w:szCs w:val="24"/>
    </w:rPr>
  </w:style>
  <w:style w:type="character" w:customStyle="1" w:styleId="1885">
    <w:name w:val="cur1"/>
    <w:basedOn w:val="101"/>
    <w:qFormat/>
    <w:uiPriority w:val="0"/>
    <w:rPr>
      <w:color w:val="FFFFFF"/>
      <w:shd w:val="clear" w:color="auto" w:fill="2F6B98"/>
    </w:rPr>
  </w:style>
  <w:style w:type="character" w:customStyle="1" w:styleId="1886">
    <w:name w:val="znspantitle"/>
    <w:basedOn w:val="101"/>
    <w:qFormat/>
    <w:uiPriority w:val="0"/>
    <w:rPr>
      <w:b/>
      <w:color w:val="333333"/>
    </w:rPr>
  </w:style>
  <w:style w:type="character" w:customStyle="1" w:styleId="1887">
    <w:name w:val="lishishuju"/>
    <w:basedOn w:val="101"/>
    <w:qFormat/>
    <w:uiPriority w:val="0"/>
    <w:rPr>
      <w:b/>
      <w:color w:val="000052"/>
      <w:sz w:val="24"/>
      <w:szCs w:val="24"/>
      <w:bdr w:val="single" w:color="E3E3E3" w:sz="6" w:space="0"/>
    </w:rPr>
  </w:style>
  <w:style w:type="character" w:customStyle="1" w:styleId="1888">
    <w:name w:val="lable"/>
    <w:basedOn w:val="101"/>
    <w:qFormat/>
    <w:uiPriority w:val="0"/>
    <w:rPr>
      <w:sz w:val="24"/>
      <w:szCs w:val="24"/>
    </w:rPr>
  </w:style>
  <w:style w:type="character" w:customStyle="1" w:styleId="1889">
    <w:name w:val="radio-btn"/>
    <w:basedOn w:val="101"/>
    <w:qFormat/>
    <w:uiPriority w:val="0"/>
    <w:rPr>
      <w:sz w:val="21"/>
      <w:szCs w:val="21"/>
    </w:rPr>
  </w:style>
  <w:style w:type="character" w:customStyle="1" w:styleId="1890">
    <w:name w:val="radio-btn1"/>
    <w:basedOn w:val="101"/>
    <w:qFormat/>
    <w:uiPriority w:val="0"/>
    <w:rPr>
      <w:sz w:val="24"/>
      <w:szCs w:val="24"/>
    </w:rPr>
  </w:style>
  <w:style w:type="character" w:customStyle="1" w:styleId="1891">
    <w:name w:val="radio-btn2"/>
    <w:basedOn w:val="101"/>
    <w:qFormat/>
    <w:uiPriority w:val="0"/>
    <w:rPr>
      <w:sz w:val="24"/>
      <w:szCs w:val="24"/>
    </w:rPr>
  </w:style>
  <w:style w:type="character" w:customStyle="1" w:styleId="1892">
    <w:name w:val="keyword-span-wrap"/>
    <w:basedOn w:val="101"/>
    <w:qFormat/>
    <w:uiPriority w:val="0"/>
    <w:rPr>
      <w:color w:val="19A97B"/>
    </w:rPr>
  </w:style>
  <w:style w:type="paragraph" w:customStyle="1" w:styleId="1893">
    <w:name w:val="1.1.1.1"/>
    <w:basedOn w:val="1"/>
    <w:qFormat/>
    <w:uiPriority w:val="0"/>
    <w:rPr>
      <w:rFonts w:ascii="Arial" w:hAnsi="Arial" w:cs="宋体"/>
      <w:kern w:val="0"/>
      <w:sz w:val="28"/>
      <w:szCs w:val="20"/>
    </w:rPr>
  </w:style>
  <w:style w:type="paragraph" w:customStyle="1" w:styleId="1894">
    <w:name w:val="样式 样式 样式 四号 左侧:  1.53 厘米 + 首行缩进:  2 字符 + 居中 左侧:  2 字符 首行缩进:  2..."/>
    <w:basedOn w:val="1895"/>
    <w:qFormat/>
    <w:uiPriority w:val="0"/>
    <w:pPr>
      <w:spacing w:line="440" w:lineRule="exact"/>
      <w:ind w:left="0" w:leftChars="0" w:firstLine="361" w:firstLineChars="200"/>
    </w:pPr>
    <w:rPr>
      <w:rFonts w:ascii="Times New Roman" w:hAnsi="Times New Roman"/>
      <w:w w:val="100"/>
      <w:sz w:val="24"/>
      <w:szCs w:val="24"/>
    </w:rPr>
  </w:style>
  <w:style w:type="paragraph" w:customStyle="1" w:styleId="1895">
    <w:name w:val="样式 样式 四号 左侧:  1.53 厘米 + 首行缩进:  2 字符"/>
    <w:basedOn w:val="1896"/>
    <w:qFormat/>
    <w:uiPriority w:val="0"/>
    <w:pPr>
      <w:ind w:left="200" w:leftChars="200"/>
    </w:pPr>
    <w:rPr>
      <w:szCs w:val="20"/>
    </w:rPr>
  </w:style>
  <w:style w:type="paragraph" w:customStyle="1" w:styleId="1896">
    <w:name w:val="样式 四号 左侧:  1.53 厘米"/>
    <w:basedOn w:val="1"/>
    <w:qFormat/>
    <w:uiPriority w:val="0"/>
    <w:pPr>
      <w:adjustRightInd w:val="0"/>
    </w:pPr>
    <w:rPr>
      <w:rFonts w:ascii="宋体" w:hAnsi="宋体" w:cs="宋体"/>
      <w:w w:val="90"/>
      <w:kern w:val="0"/>
      <w:sz w:val="28"/>
      <w:szCs w:val="28"/>
    </w:rPr>
  </w:style>
  <w:style w:type="paragraph" w:customStyle="1" w:styleId="1897">
    <w:name w:val="0表头"/>
    <w:qFormat/>
    <w:uiPriority w:val="0"/>
    <w:pPr>
      <w:widowControl w:val="0"/>
      <w:autoSpaceDE w:val="0"/>
      <w:autoSpaceDN w:val="0"/>
      <w:adjustRightInd w:val="0"/>
      <w:spacing w:line="440" w:lineRule="exact"/>
      <w:ind w:firstLine="200" w:firstLineChars="200"/>
    </w:pPr>
    <w:rPr>
      <w:rFonts w:ascii="Times New Roman" w:hAnsi="Times New Roman" w:eastAsia="宋体" w:cs="宋体"/>
      <w:b/>
      <w:color w:val="000000"/>
      <w:sz w:val="24"/>
      <w:szCs w:val="24"/>
      <w:lang w:val="en-US" w:eastAsia="zh-CN" w:bidi="ar-SA"/>
    </w:rPr>
  </w:style>
  <w:style w:type="character" w:customStyle="1" w:styleId="1898">
    <w:name w:val="font71"/>
    <w:qFormat/>
    <w:uiPriority w:val="0"/>
    <w:rPr>
      <w:rFonts w:hint="eastAsia" w:ascii="宋体" w:hAnsi="宋体" w:eastAsia="宋体" w:cs="宋体"/>
      <w:color w:val="000000"/>
      <w:sz w:val="21"/>
      <w:szCs w:val="21"/>
      <w:u w:val="none"/>
    </w:rPr>
  </w:style>
  <w:style w:type="paragraph" w:customStyle="1" w:styleId="1899">
    <w:name w:val="表标题的"/>
    <w:basedOn w:val="1"/>
    <w:qFormat/>
    <w:uiPriority w:val="0"/>
    <w:pPr>
      <w:spacing w:line="480" w:lineRule="exact"/>
      <w:jc w:val="center"/>
    </w:pPr>
    <w:rPr>
      <w:rFonts w:ascii="宋体" w:hAnsi="宋体" w:cs="宋体"/>
      <w:b/>
      <w:bCs/>
      <w:kern w:val="0"/>
      <w:sz w:val="24"/>
      <w:szCs w:val="24"/>
    </w:rPr>
  </w:style>
  <w:style w:type="paragraph" w:customStyle="1" w:styleId="1900">
    <w:name w:val="环保表头"/>
    <w:basedOn w:val="1"/>
    <w:qFormat/>
    <w:uiPriority w:val="0"/>
    <w:pPr>
      <w:adjustRightInd w:val="0"/>
      <w:snapToGrid w:val="0"/>
      <w:jc w:val="center"/>
    </w:pPr>
    <w:rPr>
      <w:rFonts w:cs="宋体"/>
      <w:color w:val="000000"/>
      <w:kern w:val="0"/>
      <w:sz w:val="24"/>
      <w:szCs w:val="21"/>
    </w:rPr>
  </w:style>
  <w:style w:type="paragraph" w:customStyle="1" w:styleId="1901">
    <w:name w:val="热电厂正文"/>
    <w:basedOn w:val="1"/>
    <w:qFormat/>
    <w:uiPriority w:val="0"/>
    <w:pPr>
      <w:spacing w:line="480" w:lineRule="exact"/>
      <w:ind w:firstLine="200" w:firstLineChars="200"/>
    </w:pPr>
    <w:rPr>
      <w:rFonts w:ascii="宋体" w:hAnsi="宋体" w:cs="宋体"/>
      <w:kern w:val="0"/>
      <w:sz w:val="24"/>
      <w:szCs w:val="24"/>
    </w:rPr>
  </w:style>
  <w:style w:type="paragraph" w:customStyle="1" w:styleId="1902">
    <w:name w:val="a表头zzzzzzzzzzzzzz"/>
    <w:basedOn w:val="1"/>
    <w:next w:val="1"/>
    <w:qFormat/>
    <w:uiPriority w:val="0"/>
    <w:pPr>
      <w:spacing w:before="62" w:after="62" w:line="520" w:lineRule="exact"/>
      <w:ind w:firstLine="200" w:firstLineChars="200"/>
      <w:jc w:val="center"/>
    </w:pPr>
    <w:rPr>
      <w:rFonts w:ascii="Times New Roman" w:hAnsi="Times New Roman" w:cs="宋体"/>
      <w:b/>
      <w:kern w:val="0"/>
      <w:sz w:val="24"/>
      <w:szCs w:val="20"/>
    </w:rPr>
  </w:style>
  <w:style w:type="paragraph" w:customStyle="1" w:styleId="1903">
    <w:name w:val="ae正文zzzzzzzz"/>
    <w:basedOn w:val="1"/>
    <w:qFormat/>
    <w:uiPriority w:val="0"/>
    <w:pPr>
      <w:spacing w:line="520" w:lineRule="exact"/>
      <w:ind w:firstLine="200" w:firstLineChars="200"/>
    </w:pPr>
    <w:rPr>
      <w:rFonts w:ascii="Times New Roman" w:hAnsi="Times New Roman" w:cs="宋体"/>
      <w:kern w:val="0"/>
      <w:sz w:val="24"/>
      <w:szCs w:val="20"/>
      <w:lang w:val="zh-CN"/>
    </w:rPr>
  </w:style>
  <w:style w:type="paragraph" w:customStyle="1" w:styleId="1904">
    <w:name w:val="中等深浅网格 21"/>
    <w:basedOn w:val="1"/>
    <w:next w:val="1"/>
    <w:qFormat/>
    <w:uiPriority w:val="1"/>
    <w:pPr>
      <w:widowControl w:val="0"/>
      <w:jc w:val="center"/>
    </w:pPr>
    <w:rPr>
      <w:rFonts w:ascii="Times New Roman" w:hAnsi="Times New Roman"/>
      <w:szCs w:val="21"/>
    </w:rPr>
  </w:style>
  <w:style w:type="paragraph" w:customStyle="1" w:styleId="1905">
    <w:name w:val="第1"/>
    <w:basedOn w:val="1"/>
    <w:qFormat/>
    <w:uiPriority w:val="0"/>
    <w:pPr>
      <w:widowControl w:val="0"/>
      <w:spacing w:line="360" w:lineRule="auto"/>
      <w:ind w:firstLine="720" w:firstLineChars="200"/>
      <w:jc w:val="both"/>
    </w:pPr>
    <w:rPr>
      <w:rFonts w:ascii="Times New Roman" w:hAnsi="Times New Roman"/>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wmf"/><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image" Target="media/image18.wmf"/><Relationship Id="rId28" Type="http://schemas.openxmlformats.org/officeDocument/2006/relationships/image" Target="media/image17.wmf"/><Relationship Id="rId27" Type="http://schemas.openxmlformats.org/officeDocument/2006/relationships/image" Target="media/image16.wmf"/><Relationship Id="rId26" Type="http://schemas.openxmlformats.org/officeDocument/2006/relationships/oleObject" Target="embeddings/oleObject2.bin"/><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extobjs>
    <extobj name="ECB019B1-382A-4266-B25C-5B523AA43C14-1">
      <extobjdata type="ECB019B1-382A-4266-B25C-5B523AA43C14" data="ewoJIkZpbGVJZCIgOiAiMjA5MDY1MDIzMjM3IiwKCSJHcm91cElkIiA6ICI0Njg2NDI0NjUiLAoJIkltYWdlIiA6ICJpVkJPUncwS0dnb0FBQUFOU1VoRVVnQUFBdmNBQUFHdkNBWUFBQURmU3ZxOEFBQUFDWEJJV1hNQUFBc1RBQUFMRXdFQW1wd1lBQUFnQUVsRVFWUjRuT3pkZDFoVVI5c0c4SHNYUkFGRnNBQ0tnQVUwc1NTeUNJS1kyS01nc1hmRkhxTFlOY2I0Um1Nc1NkUm9ZZ2tDdGlpV2lBVTFFaldLTFNheEJRVXNDUkVWcENsRkVhVER6dmNIMmZPeDFBVlJMUGZ2dXJqY00yZk96Q3dpUG52T3pETUF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"/>
    </extobj>
    <extobj name="ECB019B1-382A-4266-B25C-5B523AA43C14-2">
      <extobjdata type="ECB019B1-382A-4266-B25C-5B523AA43C14" data="ewoJIkZpbGVJZCIgOiAiMjA3OTEwMDExMjAyIiwKCSJHcm91cElkIiA6ICI0Njg2NDI0NjUiLAoJIkltYWdlIiA6ICJpVkJPUncwS0dnb0FBQUFOU1VoRVVnQUFBclFBQUFHZ0NBWUFBQUJia2ZUS0FBQUFDWEJJV1hNQUFBc1RBQUFMRXdFQW1wd1lBQUFnQUVsRVFWUjRuT3pkZVhnVDFmb0g4TzhrWGFCQWdiSVVaQkZra2IwMFlWOEVRVUhCSFVRUVhGQkVLWUpjUlpiK1FLeGNGZ1V1Q0xJamk2SklvVndXbGExc3Q3SklhUXVXQWlLVnJhMmwwRks2TjJsbWZuL1VqRTJ6ZEUyVFNiK2Y1K0VobVRremVaT2VtYnc1Yzg0Wm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2d5L1Q4c2VzV1Fpd0RWNndBQUFBQkpSVTVFcmtKZ2dnPT0iLAoJIlRoZW1lIiA6ICIiLAoJIlR5cGUiIDogImZsb3ciLAoJIlZlcnNpb24iIDogIjI5Igp9Cg=="/>
    </extobj>
    <extobj name="ECB019B1-382A-4266-B25C-5B523AA43C14-3">
      <extobjdata type="ECB019B1-382A-4266-B25C-5B523AA43C14" data="ewoJIkZpbGVJZCIgOiAiMjA3OTQxODcwNTkzIiwKCSJHcm91cElkIiA6ICI0Njg2NDI0NjUiLAoJIkltYWdlIiA6ICJpVkJPUncwS0dnb0FBQUFOU1VoRVVnQUFBNnNBQUFJNENBWUFBQUNNWjMvY0FBQUFDWEJJV1hNQUFBc1RBQUFMRXdFQW1wd1lBQUFnQUVsRVFWUjRuT3pkZVZoVTFmOEg4UGVkWWQ5VUJGRnh6WVUwRlJoU3czMVB2MUdhcUpuWnQ3UXNLelVwelMwVnlUUnpSVlBMRU0zY0ZTMDE5OXkrTHFVeUlFcUtvZ0tTN0lzTSt6TDM5d2ZPL1RFd3dJREFvTDVmeitQemNNODk1OXh6cHd2TjU1NE5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i9mLzI0SUFFQUFBQVFORC8xKzBJVkFBQUFBQUFBQUFBQUFBQUFBQUFBQUFBQUFBQUFBQW1BdGtVb2FPbVExNjNBQUFBQUVsRlRrU3VRbUNDIiwKCSJUaGVtZSIgOiAiIiwKCSJUeXBlIiA6ICJmbG93IiwKCSJWZXJzaW9uIiA6ICI3OS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53B422-E4CF-46D1-BF8B-26A96FBFC3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63</Pages>
  <Words>39766</Words>
  <Characters>44926</Characters>
  <Lines>332</Lines>
  <Paragraphs>93</Paragraphs>
  <TotalTime>1</TotalTime>
  <ScaleCrop>false</ScaleCrop>
  <LinksUpToDate>false</LinksUpToDate>
  <CharactersWithSpaces>45125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2023-01-07T13:35:00Z</dcterms:created>
  <dc:creator>马学礼</dc:creator>
  <cp:lastModifiedBy>lenovo</cp:lastModifiedBy>
  <cp:lastPrinted>2019-06-14T09:21:00Z</cp:lastPrinted>
  <dcterms:modified xsi:type="dcterms:W3CDTF">2023-03-06T06:34:49Z</dcterms:modified>
  <dc:title>工程检索号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4378585D25D340ADA10ED838AD5DC9F1</vt:lpwstr>
  </property>
</Properties>
</file>