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rPr>
          <w:rFonts w:eastAsia="仿宋_GB2312"/>
          <w:sz w:val="36"/>
          <w:szCs w:val="36"/>
        </w:rPr>
      </w:pPr>
    </w:p>
    <w:p>
      <w:pPr>
        <w:ind w:firstLine="720"/>
        <w:rPr>
          <w:rFonts w:eastAsia="仿宋_GB2312"/>
          <w:sz w:val="36"/>
          <w:szCs w:val="36"/>
        </w:rPr>
      </w:pPr>
    </w:p>
    <w:p>
      <w:pPr>
        <w:ind w:firstLine="720"/>
        <w:rPr>
          <w:rFonts w:eastAsia="仿宋_GB2312"/>
          <w:sz w:val="36"/>
          <w:szCs w:val="36"/>
        </w:rPr>
      </w:pPr>
    </w:p>
    <w:p>
      <w:pPr>
        <w:ind w:firstLine="720"/>
        <w:rPr>
          <w:rFonts w:eastAsia="仿宋_GB2312"/>
          <w:sz w:val="36"/>
          <w:szCs w:val="36"/>
        </w:rPr>
      </w:pPr>
    </w:p>
    <w:p>
      <w:pPr>
        <w:adjustRightInd w:val="0"/>
        <w:snapToGrid w:val="0"/>
        <w:jc w:val="center"/>
        <w:outlineLvl w:val="0"/>
        <w:rPr>
          <w:rFonts w:eastAsia="方正小标宋_GBK"/>
          <w:bCs/>
          <w:sz w:val="72"/>
          <w:szCs w:val="72"/>
        </w:rPr>
      </w:pPr>
      <w:bookmarkStart w:id="0" w:name="_Toc20252"/>
      <w:r>
        <w:rPr>
          <w:rFonts w:eastAsia="方正小标宋_GBK"/>
          <w:bCs/>
          <w:sz w:val="72"/>
          <w:szCs w:val="72"/>
        </w:rPr>
        <w:t>建设项目环境影响报告表</w:t>
      </w:r>
      <w:bookmarkEnd w:id="0"/>
    </w:p>
    <w:p>
      <w:pPr>
        <w:adjustRightInd w:val="0"/>
        <w:snapToGrid w:val="0"/>
        <w:spacing w:before="192" w:beforeLines="80"/>
        <w:ind w:firstLine="960"/>
        <w:jc w:val="center"/>
        <w:rPr>
          <w:rFonts w:eastAsia="楷体_GB2312"/>
          <w:bCs/>
          <w:sz w:val="48"/>
          <w:szCs w:val="48"/>
        </w:rPr>
      </w:pPr>
      <w:r>
        <w:rPr>
          <w:rFonts w:eastAsia="楷体_GB2312"/>
          <w:bCs/>
          <w:sz w:val="48"/>
          <w:szCs w:val="48"/>
        </w:rPr>
        <w:t>（污染影响类）</w:t>
      </w:r>
    </w:p>
    <w:p>
      <w:pPr>
        <w:ind w:firstLine="1040"/>
        <w:jc w:val="center"/>
        <w:rPr>
          <w:rFonts w:eastAsia="仿宋"/>
          <w:sz w:val="52"/>
          <w:szCs w:val="52"/>
        </w:rPr>
      </w:pPr>
    </w:p>
    <w:p>
      <w:pPr>
        <w:ind w:firstLine="880"/>
        <w:rPr>
          <w:rFonts w:eastAsia="仿宋"/>
          <w:sz w:val="44"/>
          <w:szCs w:val="44"/>
        </w:rPr>
      </w:pPr>
    </w:p>
    <w:p>
      <w:pPr>
        <w:ind w:firstLine="880"/>
        <w:rPr>
          <w:rFonts w:eastAsia="仿宋"/>
          <w:sz w:val="44"/>
          <w:szCs w:val="44"/>
        </w:rPr>
      </w:pPr>
    </w:p>
    <w:p>
      <w:pPr>
        <w:ind w:firstLine="880"/>
        <w:rPr>
          <w:rFonts w:eastAsia="仿宋"/>
          <w:sz w:val="44"/>
          <w:szCs w:val="44"/>
        </w:rPr>
      </w:pPr>
    </w:p>
    <w:p>
      <w:pPr>
        <w:ind w:firstLine="880"/>
        <w:rPr>
          <w:rFonts w:eastAsia="仿宋"/>
          <w:sz w:val="44"/>
          <w:szCs w:val="44"/>
        </w:rPr>
      </w:pPr>
    </w:p>
    <w:p>
      <w:pPr>
        <w:adjustRightInd w:val="0"/>
        <w:snapToGrid w:val="0"/>
        <w:spacing w:line="288" w:lineRule="auto"/>
        <w:ind w:left="2518" w:leftChars="342" w:hanging="1800" w:hangingChars="500"/>
        <w:jc w:val="left"/>
        <w:rPr>
          <w:rFonts w:eastAsia="仿宋_GB2312"/>
          <w:sz w:val="36"/>
          <w:szCs w:val="36"/>
          <w:u w:val="single"/>
        </w:rPr>
      </w:pPr>
      <w:r>
        <w:rPr>
          <w:rFonts w:eastAsia="仿宋_GB2312"/>
          <w:sz w:val="36"/>
          <w:szCs w:val="36"/>
        </w:rPr>
        <w:t>项目名称：</w:t>
      </w:r>
      <w:r>
        <w:rPr>
          <w:rFonts w:hint="eastAsia" w:eastAsia="仿宋_GB2312"/>
          <w:bCs/>
          <w:sz w:val="36"/>
          <w:szCs w:val="36"/>
          <w:u w:val="single"/>
        </w:rPr>
        <w:t>年产15000吨玄武岩纤维及制品项目</w:t>
      </w:r>
    </w:p>
    <w:p>
      <w:pPr>
        <w:adjustRightInd w:val="0"/>
        <w:snapToGrid w:val="0"/>
        <w:spacing w:line="288" w:lineRule="auto"/>
        <w:ind w:firstLine="720"/>
        <w:jc w:val="left"/>
        <w:rPr>
          <w:rFonts w:eastAsia="仿宋_GB2312"/>
          <w:sz w:val="36"/>
          <w:szCs w:val="36"/>
          <w:u w:val="single"/>
        </w:rPr>
      </w:pPr>
      <w:r>
        <w:rPr>
          <w:rFonts w:eastAsia="仿宋_GB2312"/>
          <w:sz w:val="36"/>
          <w:szCs w:val="36"/>
        </w:rPr>
        <w:t>建设单位（盖章）：</w:t>
      </w:r>
      <w:r>
        <w:rPr>
          <w:rFonts w:hint="eastAsia" w:eastAsia="仿宋_GB2312"/>
          <w:bCs/>
          <w:sz w:val="36"/>
          <w:szCs w:val="36"/>
          <w:u w:val="single"/>
        </w:rPr>
        <w:t>陕西朔玄新材料有限公司</w:t>
      </w:r>
      <w:r>
        <w:rPr>
          <w:rFonts w:hint="eastAsia" w:eastAsia="仿宋_GB2312"/>
          <w:sz w:val="36"/>
          <w:szCs w:val="36"/>
          <w:u w:val="single"/>
        </w:rPr>
        <w:t xml:space="preserve"> </w:t>
      </w:r>
    </w:p>
    <w:p>
      <w:pPr>
        <w:adjustRightInd w:val="0"/>
        <w:snapToGrid w:val="0"/>
        <w:spacing w:line="288" w:lineRule="auto"/>
        <w:ind w:firstLine="720"/>
        <w:jc w:val="left"/>
        <w:rPr>
          <w:rFonts w:eastAsia="仿宋_GB2312"/>
          <w:sz w:val="36"/>
          <w:szCs w:val="36"/>
          <w:u w:val="single"/>
        </w:rPr>
      </w:pPr>
      <w:r>
        <w:rPr>
          <w:rFonts w:eastAsia="仿宋_GB2312"/>
          <w:sz w:val="36"/>
          <w:szCs w:val="36"/>
        </w:rPr>
        <w:t>编制日期：</w:t>
      </w:r>
      <w:r>
        <w:rPr>
          <w:rFonts w:eastAsia="仿宋_GB2312"/>
          <w:sz w:val="36"/>
          <w:szCs w:val="36"/>
          <w:u w:val="single"/>
        </w:rPr>
        <w:t xml:space="preserve">       二〇二</w:t>
      </w:r>
      <w:r>
        <w:rPr>
          <w:rFonts w:hint="eastAsia" w:eastAsia="仿宋_GB2312"/>
          <w:sz w:val="36"/>
          <w:szCs w:val="36"/>
          <w:u w:val="single"/>
        </w:rPr>
        <w:t>三</w:t>
      </w:r>
      <w:r>
        <w:rPr>
          <w:rFonts w:eastAsia="仿宋_GB2312"/>
          <w:sz w:val="36"/>
          <w:szCs w:val="36"/>
          <w:u w:val="single"/>
        </w:rPr>
        <w:t>年</w:t>
      </w:r>
      <w:r>
        <w:rPr>
          <w:rFonts w:hint="eastAsia" w:eastAsia="仿宋_GB2312"/>
          <w:sz w:val="36"/>
          <w:szCs w:val="36"/>
          <w:u w:val="single"/>
        </w:rPr>
        <w:t>五</w:t>
      </w:r>
      <w:r>
        <w:rPr>
          <w:rFonts w:eastAsia="仿宋_GB2312"/>
          <w:sz w:val="36"/>
          <w:szCs w:val="36"/>
          <w:u w:val="single"/>
        </w:rPr>
        <w:t>月</w:t>
      </w:r>
      <w:r>
        <w:rPr>
          <w:rFonts w:hint="eastAsia" w:eastAsia="仿宋_GB2312"/>
          <w:sz w:val="36"/>
          <w:szCs w:val="36"/>
          <w:u w:val="single"/>
        </w:rPr>
        <w:t xml:space="preserve"> </w:t>
      </w:r>
      <w:r>
        <w:rPr>
          <w:rFonts w:eastAsia="仿宋_GB2312"/>
          <w:sz w:val="36"/>
          <w:szCs w:val="36"/>
          <w:u w:val="single"/>
        </w:rPr>
        <w:t xml:space="preserve">     </w:t>
      </w:r>
      <w:r>
        <w:rPr>
          <w:rFonts w:hint="eastAsia" w:eastAsia="仿宋_GB2312"/>
          <w:sz w:val="36"/>
          <w:szCs w:val="36"/>
          <w:u w:val="single"/>
        </w:rPr>
        <w:t xml:space="preserve"> </w:t>
      </w:r>
      <w:r>
        <w:rPr>
          <w:rFonts w:eastAsia="仿宋_GB2312"/>
          <w:sz w:val="36"/>
          <w:szCs w:val="36"/>
          <w:u w:val="single"/>
        </w:rPr>
        <w:t xml:space="preserve"> </w:t>
      </w:r>
    </w:p>
    <w:p>
      <w:pPr>
        <w:adjustRightInd w:val="0"/>
        <w:snapToGrid w:val="0"/>
        <w:spacing w:line="288" w:lineRule="auto"/>
        <w:ind w:firstLine="720"/>
        <w:rPr>
          <w:rFonts w:eastAsia="仿宋_GB2312"/>
          <w:sz w:val="36"/>
          <w:szCs w:val="36"/>
          <w:u w:val="single"/>
        </w:rPr>
      </w:pPr>
      <w:bookmarkStart w:id="1" w:name="_Hlk57884087"/>
    </w:p>
    <w:p>
      <w:pPr>
        <w:adjustRightInd w:val="0"/>
        <w:snapToGrid w:val="0"/>
        <w:spacing w:line="288" w:lineRule="auto"/>
        <w:ind w:firstLine="720"/>
        <w:rPr>
          <w:rFonts w:eastAsia="仿宋_GB2312"/>
          <w:sz w:val="36"/>
          <w:szCs w:val="36"/>
        </w:rPr>
      </w:pPr>
    </w:p>
    <w:p>
      <w:pPr>
        <w:adjustRightInd w:val="0"/>
        <w:snapToGrid w:val="0"/>
        <w:spacing w:line="288" w:lineRule="auto"/>
        <w:ind w:firstLine="720"/>
        <w:rPr>
          <w:rFonts w:eastAsia="仿宋_GB2312"/>
          <w:sz w:val="36"/>
          <w:szCs w:val="36"/>
        </w:rPr>
      </w:pPr>
    </w:p>
    <w:p>
      <w:pPr>
        <w:adjustRightInd w:val="0"/>
        <w:snapToGrid w:val="0"/>
        <w:spacing w:line="288" w:lineRule="auto"/>
        <w:ind w:firstLine="720"/>
        <w:rPr>
          <w:rFonts w:eastAsia="仿宋_GB2312"/>
          <w:sz w:val="36"/>
          <w:szCs w:val="36"/>
        </w:rPr>
      </w:pPr>
    </w:p>
    <w:p>
      <w:pPr>
        <w:adjustRightInd w:val="0"/>
        <w:snapToGrid w:val="0"/>
        <w:spacing w:line="288" w:lineRule="auto"/>
        <w:ind w:firstLine="720"/>
        <w:rPr>
          <w:rFonts w:eastAsia="仿宋_GB2312"/>
          <w:sz w:val="36"/>
          <w:szCs w:val="36"/>
        </w:rPr>
      </w:pPr>
    </w:p>
    <w:bookmarkEnd w:id="1"/>
    <w:p>
      <w:pPr>
        <w:adjustRightInd w:val="0"/>
        <w:snapToGrid w:val="0"/>
        <w:spacing w:line="288" w:lineRule="auto"/>
        <w:ind w:firstLine="720"/>
        <w:jc w:val="center"/>
        <w:rPr>
          <w:rFonts w:eastAsia="楷体_GB2312"/>
          <w:sz w:val="36"/>
          <w:szCs w:val="36"/>
        </w:rPr>
      </w:pPr>
      <w:r>
        <w:rPr>
          <w:rFonts w:eastAsia="楷体_GB2312"/>
          <w:sz w:val="36"/>
          <w:szCs w:val="36"/>
        </w:rPr>
        <w:t>中华人民共和国生态环境部制</w:t>
      </w:r>
    </w:p>
    <w:p>
      <w:pPr>
        <w:adjustRightInd w:val="0"/>
        <w:snapToGrid w:val="0"/>
        <w:spacing w:line="288" w:lineRule="auto"/>
        <w:ind w:firstLine="720"/>
        <w:rPr>
          <w:rFonts w:eastAsia="仿宋_GB2312"/>
          <w:sz w:val="36"/>
          <w:szCs w:val="36"/>
        </w:rPr>
        <w:sectPr>
          <w:footerReference r:id="rId3" w:type="default"/>
          <w:footerReference r:id="rId4" w:type="even"/>
          <w:pgSz w:w="11906" w:h="16838"/>
          <w:pgMar w:top="1701" w:right="1531" w:bottom="1701" w:left="1531" w:header="851" w:footer="1123" w:gutter="0"/>
          <w:pgNumType w:start="3"/>
          <w:cols w:space="720" w:num="1"/>
          <w:docGrid w:linePitch="312" w:charSpace="0"/>
        </w:sectPr>
      </w:pPr>
    </w:p>
    <w:p>
      <w:pPr>
        <w:ind w:firstLine="560"/>
        <w:jc w:val="center"/>
        <w:rPr>
          <w:b/>
          <w:bCs/>
          <w:sz w:val="28"/>
          <w:szCs w:val="36"/>
        </w:rPr>
      </w:pPr>
      <w:r>
        <w:rPr>
          <w:rFonts w:ascii="宋体" w:hAnsi="宋体"/>
          <w:b/>
          <w:bCs/>
          <w:sz w:val="28"/>
          <w:szCs w:val="36"/>
        </w:rPr>
        <w:t>目</w:t>
      </w:r>
      <w:r>
        <w:rPr>
          <w:rFonts w:hint="eastAsia" w:ascii="宋体" w:hAnsi="宋体"/>
          <w:b/>
          <w:bCs/>
          <w:sz w:val="28"/>
          <w:szCs w:val="36"/>
        </w:rPr>
        <w:t xml:space="preserve"> </w:t>
      </w:r>
      <w:r>
        <w:rPr>
          <w:rFonts w:ascii="宋体" w:hAnsi="宋体"/>
          <w:b/>
          <w:bCs/>
          <w:sz w:val="28"/>
          <w:szCs w:val="36"/>
        </w:rPr>
        <w:t>录</w:t>
      </w:r>
    </w:p>
    <w:p>
      <w:pPr>
        <w:pStyle w:val="97"/>
        <w:tabs>
          <w:tab w:val="right" w:leader="dot" w:pos="8844"/>
        </w:tabs>
        <w:spacing w:line="360" w:lineRule="auto"/>
      </w:pPr>
    </w:p>
    <w:p>
      <w:pPr>
        <w:pStyle w:val="22"/>
        <w:tabs>
          <w:tab w:val="right" w:leader="dot" w:pos="8844"/>
        </w:tabs>
        <w:spacing w:line="360" w:lineRule="auto"/>
        <w:rPr>
          <w:sz w:val="24"/>
        </w:rPr>
      </w:pPr>
      <w:r>
        <w:rPr>
          <w:sz w:val="24"/>
        </w:rPr>
        <w:fldChar w:fldCharType="begin"/>
      </w:r>
      <w:r>
        <w:rPr>
          <w:sz w:val="24"/>
        </w:rPr>
        <w:instrText xml:space="preserve">TOC \o "1-1" \h \u </w:instrText>
      </w:r>
      <w:r>
        <w:rPr>
          <w:sz w:val="24"/>
        </w:rPr>
        <w:fldChar w:fldCharType="separate"/>
      </w:r>
      <w:r>
        <w:fldChar w:fldCharType="begin"/>
      </w:r>
      <w:r>
        <w:instrText xml:space="preserve"> HYPERLINK \l "_Toc12701" </w:instrText>
      </w:r>
      <w:r>
        <w:fldChar w:fldCharType="separate"/>
      </w:r>
      <w:r>
        <w:rPr>
          <w:sz w:val="24"/>
        </w:rPr>
        <w:t>一、建设项目基本情况</w:t>
      </w:r>
      <w:r>
        <w:rPr>
          <w:sz w:val="24"/>
        </w:rPr>
        <w:tab/>
      </w:r>
      <w:r>
        <w:rPr>
          <w:sz w:val="24"/>
        </w:rPr>
        <w:fldChar w:fldCharType="begin"/>
      </w:r>
      <w:r>
        <w:rPr>
          <w:sz w:val="24"/>
        </w:rPr>
        <w:instrText xml:space="preserve"> PAGEREF _Toc12701 \h </w:instrText>
      </w:r>
      <w:r>
        <w:rPr>
          <w:sz w:val="24"/>
        </w:rPr>
        <w:fldChar w:fldCharType="separate"/>
      </w:r>
      <w:r>
        <w:rPr>
          <w:sz w:val="24"/>
        </w:rPr>
        <w:t>1</w:t>
      </w:r>
      <w:r>
        <w:rPr>
          <w:sz w:val="24"/>
        </w:rPr>
        <w:fldChar w:fldCharType="end"/>
      </w:r>
      <w:r>
        <w:rPr>
          <w:sz w:val="24"/>
        </w:rPr>
        <w:fldChar w:fldCharType="end"/>
      </w:r>
    </w:p>
    <w:p>
      <w:pPr>
        <w:pStyle w:val="22"/>
        <w:tabs>
          <w:tab w:val="right" w:leader="dot" w:pos="8844"/>
        </w:tabs>
        <w:spacing w:line="360" w:lineRule="auto"/>
        <w:rPr>
          <w:sz w:val="24"/>
        </w:rPr>
      </w:pPr>
      <w:r>
        <w:fldChar w:fldCharType="begin"/>
      </w:r>
      <w:r>
        <w:instrText xml:space="preserve"> HYPERLINK \l "_Toc28834" </w:instrText>
      </w:r>
      <w:r>
        <w:fldChar w:fldCharType="separate"/>
      </w:r>
      <w:r>
        <w:rPr>
          <w:bCs/>
          <w:snapToGrid w:val="0"/>
          <w:sz w:val="24"/>
        </w:rPr>
        <w:t>二、建设项目工程分析</w:t>
      </w:r>
      <w:r>
        <w:rPr>
          <w:sz w:val="24"/>
        </w:rPr>
        <w:tab/>
      </w:r>
      <w:r>
        <w:rPr>
          <w:sz w:val="24"/>
        </w:rPr>
        <w:fldChar w:fldCharType="begin"/>
      </w:r>
      <w:r>
        <w:rPr>
          <w:sz w:val="24"/>
        </w:rPr>
        <w:instrText xml:space="preserve"> PAGEREF _Toc28834 \h </w:instrText>
      </w:r>
      <w:r>
        <w:rPr>
          <w:sz w:val="24"/>
        </w:rPr>
        <w:fldChar w:fldCharType="separate"/>
      </w:r>
      <w:r>
        <w:rPr>
          <w:sz w:val="24"/>
        </w:rPr>
        <w:t>12</w:t>
      </w:r>
      <w:r>
        <w:rPr>
          <w:sz w:val="24"/>
        </w:rPr>
        <w:fldChar w:fldCharType="end"/>
      </w:r>
      <w:r>
        <w:rPr>
          <w:sz w:val="24"/>
        </w:rPr>
        <w:fldChar w:fldCharType="end"/>
      </w:r>
    </w:p>
    <w:p>
      <w:pPr>
        <w:pStyle w:val="22"/>
        <w:tabs>
          <w:tab w:val="right" w:leader="dot" w:pos="8844"/>
        </w:tabs>
        <w:spacing w:line="360" w:lineRule="auto"/>
        <w:rPr>
          <w:sz w:val="24"/>
        </w:rPr>
      </w:pPr>
      <w:r>
        <w:fldChar w:fldCharType="begin"/>
      </w:r>
      <w:r>
        <w:instrText xml:space="preserve"> HYPERLINK \l "_Toc944" </w:instrText>
      </w:r>
      <w:r>
        <w:fldChar w:fldCharType="separate"/>
      </w:r>
      <w:r>
        <w:rPr>
          <w:bCs/>
          <w:snapToGrid w:val="0"/>
          <w:sz w:val="24"/>
        </w:rPr>
        <w:t>三、区域环境质量现状、环境保护目标及评价标准</w:t>
      </w:r>
      <w:r>
        <w:rPr>
          <w:sz w:val="24"/>
        </w:rPr>
        <w:tab/>
      </w:r>
      <w:r>
        <w:rPr>
          <w:sz w:val="24"/>
        </w:rPr>
        <w:fldChar w:fldCharType="begin"/>
      </w:r>
      <w:r>
        <w:rPr>
          <w:sz w:val="24"/>
        </w:rPr>
        <w:instrText xml:space="preserve"> PAGEREF _Toc944 \h </w:instrText>
      </w:r>
      <w:r>
        <w:rPr>
          <w:sz w:val="24"/>
        </w:rPr>
        <w:fldChar w:fldCharType="separate"/>
      </w:r>
      <w:r>
        <w:rPr>
          <w:sz w:val="24"/>
        </w:rPr>
        <w:t>27</w:t>
      </w:r>
      <w:r>
        <w:rPr>
          <w:sz w:val="24"/>
        </w:rPr>
        <w:fldChar w:fldCharType="end"/>
      </w:r>
      <w:r>
        <w:rPr>
          <w:sz w:val="24"/>
        </w:rPr>
        <w:fldChar w:fldCharType="end"/>
      </w:r>
    </w:p>
    <w:p>
      <w:pPr>
        <w:pStyle w:val="22"/>
        <w:tabs>
          <w:tab w:val="right" w:leader="dot" w:pos="8844"/>
        </w:tabs>
        <w:spacing w:line="360" w:lineRule="auto"/>
        <w:rPr>
          <w:sz w:val="24"/>
        </w:rPr>
      </w:pPr>
      <w:r>
        <w:fldChar w:fldCharType="begin"/>
      </w:r>
      <w:r>
        <w:instrText xml:space="preserve"> HYPERLINK \l "_Toc31680" </w:instrText>
      </w:r>
      <w:r>
        <w:fldChar w:fldCharType="separate"/>
      </w:r>
      <w:r>
        <w:rPr>
          <w:bCs/>
          <w:snapToGrid w:val="0"/>
          <w:sz w:val="24"/>
        </w:rPr>
        <w:t>四、主要环境影响和保护措施</w:t>
      </w:r>
      <w:r>
        <w:rPr>
          <w:sz w:val="24"/>
        </w:rPr>
        <w:tab/>
      </w:r>
      <w:r>
        <w:rPr>
          <w:sz w:val="24"/>
        </w:rPr>
        <w:fldChar w:fldCharType="begin"/>
      </w:r>
      <w:r>
        <w:rPr>
          <w:sz w:val="24"/>
        </w:rPr>
        <w:instrText xml:space="preserve"> PAGEREF _Toc31680 \h </w:instrText>
      </w:r>
      <w:r>
        <w:rPr>
          <w:sz w:val="24"/>
        </w:rPr>
        <w:fldChar w:fldCharType="separate"/>
      </w:r>
      <w:r>
        <w:rPr>
          <w:sz w:val="24"/>
        </w:rPr>
        <w:t>31</w:t>
      </w:r>
      <w:r>
        <w:rPr>
          <w:sz w:val="24"/>
        </w:rPr>
        <w:fldChar w:fldCharType="end"/>
      </w:r>
      <w:r>
        <w:rPr>
          <w:sz w:val="24"/>
        </w:rPr>
        <w:fldChar w:fldCharType="end"/>
      </w:r>
    </w:p>
    <w:p>
      <w:pPr>
        <w:pStyle w:val="22"/>
        <w:tabs>
          <w:tab w:val="right" w:leader="dot" w:pos="8844"/>
        </w:tabs>
        <w:spacing w:line="360" w:lineRule="auto"/>
        <w:rPr>
          <w:sz w:val="24"/>
        </w:rPr>
      </w:pPr>
      <w:r>
        <w:fldChar w:fldCharType="begin"/>
      </w:r>
      <w:r>
        <w:instrText xml:space="preserve"> HYPERLINK \l "_Toc7797" </w:instrText>
      </w:r>
      <w:r>
        <w:fldChar w:fldCharType="separate"/>
      </w:r>
      <w:r>
        <w:rPr>
          <w:bCs/>
          <w:snapToGrid w:val="0"/>
          <w:sz w:val="24"/>
        </w:rPr>
        <w:t>五、环境保护措施监督检查清单</w:t>
      </w:r>
      <w:r>
        <w:rPr>
          <w:sz w:val="24"/>
        </w:rPr>
        <w:tab/>
      </w:r>
      <w:r>
        <w:rPr>
          <w:sz w:val="24"/>
        </w:rPr>
        <w:fldChar w:fldCharType="begin"/>
      </w:r>
      <w:r>
        <w:rPr>
          <w:sz w:val="24"/>
        </w:rPr>
        <w:instrText xml:space="preserve"> PAGEREF _Toc7797 \h </w:instrText>
      </w:r>
      <w:r>
        <w:rPr>
          <w:sz w:val="24"/>
        </w:rPr>
        <w:fldChar w:fldCharType="separate"/>
      </w:r>
      <w:r>
        <w:rPr>
          <w:sz w:val="24"/>
        </w:rPr>
        <w:t>50</w:t>
      </w:r>
      <w:r>
        <w:rPr>
          <w:sz w:val="24"/>
        </w:rPr>
        <w:fldChar w:fldCharType="end"/>
      </w:r>
      <w:r>
        <w:rPr>
          <w:sz w:val="24"/>
        </w:rPr>
        <w:fldChar w:fldCharType="end"/>
      </w:r>
    </w:p>
    <w:p>
      <w:pPr>
        <w:pStyle w:val="22"/>
        <w:tabs>
          <w:tab w:val="right" w:leader="dot" w:pos="8844"/>
        </w:tabs>
        <w:spacing w:line="360" w:lineRule="auto"/>
        <w:rPr>
          <w:sz w:val="24"/>
        </w:rPr>
      </w:pPr>
      <w:r>
        <w:fldChar w:fldCharType="begin"/>
      </w:r>
      <w:r>
        <w:instrText xml:space="preserve"> HYPERLINK \l "_Toc2901" </w:instrText>
      </w:r>
      <w:r>
        <w:fldChar w:fldCharType="separate"/>
      </w:r>
      <w:r>
        <w:rPr>
          <w:bCs/>
          <w:snapToGrid w:val="0"/>
          <w:sz w:val="24"/>
        </w:rPr>
        <w:t>六、结论</w:t>
      </w:r>
      <w:r>
        <w:rPr>
          <w:sz w:val="24"/>
        </w:rPr>
        <w:tab/>
      </w:r>
      <w:r>
        <w:rPr>
          <w:sz w:val="24"/>
        </w:rPr>
        <w:fldChar w:fldCharType="begin"/>
      </w:r>
      <w:r>
        <w:rPr>
          <w:sz w:val="24"/>
        </w:rPr>
        <w:instrText xml:space="preserve"> PAGEREF _Toc2901 \h </w:instrText>
      </w:r>
      <w:r>
        <w:rPr>
          <w:sz w:val="24"/>
        </w:rPr>
        <w:fldChar w:fldCharType="separate"/>
      </w:r>
      <w:r>
        <w:rPr>
          <w:sz w:val="24"/>
        </w:rPr>
        <w:t>52</w:t>
      </w:r>
      <w:r>
        <w:rPr>
          <w:sz w:val="24"/>
        </w:rPr>
        <w:fldChar w:fldCharType="end"/>
      </w:r>
      <w:r>
        <w:rPr>
          <w:sz w:val="24"/>
        </w:rPr>
        <w:fldChar w:fldCharType="end"/>
      </w:r>
    </w:p>
    <w:p>
      <w:pPr>
        <w:pStyle w:val="22"/>
        <w:tabs>
          <w:tab w:val="right" w:leader="dot" w:pos="8844"/>
        </w:tabs>
        <w:spacing w:line="360" w:lineRule="auto"/>
        <w:rPr>
          <w:sz w:val="24"/>
        </w:rPr>
      </w:pPr>
      <w:r>
        <w:fldChar w:fldCharType="begin"/>
      </w:r>
      <w:r>
        <w:instrText xml:space="preserve"> HYPERLINK \l "_Toc21648" </w:instrText>
      </w:r>
      <w:r>
        <w:fldChar w:fldCharType="separate"/>
      </w:r>
      <w:r>
        <w:rPr>
          <w:snapToGrid w:val="0"/>
          <w:sz w:val="24"/>
        </w:rPr>
        <w:t>附表</w:t>
      </w:r>
      <w:r>
        <w:rPr>
          <w:sz w:val="24"/>
        </w:rPr>
        <w:tab/>
      </w:r>
      <w:r>
        <w:rPr>
          <w:sz w:val="24"/>
        </w:rPr>
        <w:fldChar w:fldCharType="begin"/>
      </w:r>
      <w:r>
        <w:rPr>
          <w:sz w:val="24"/>
        </w:rPr>
        <w:instrText xml:space="preserve"> PAGEREF _Toc21648 \h </w:instrText>
      </w:r>
      <w:r>
        <w:rPr>
          <w:sz w:val="24"/>
        </w:rPr>
        <w:fldChar w:fldCharType="separate"/>
      </w:r>
      <w:r>
        <w:rPr>
          <w:sz w:val="24"/>
        </w:rPr>
        <w:t>53</w:t>
      </w:r>
      <w:r>
        <w:rPr>
          <w:sz w:val="24"/>
        </w:rPr>
        <w:fldChar w:fldCharType="end"/>
      </w:r>
      <w:r>
        <w:rPr>
          <w:sz w:val="24"/>
        </w:rPr>
        <w:fldChar w:fldCharType="end"/>
      </w:r>
    </w:p>
    <w:p>
      <w:pPr>
        <w:adjustRightInd w:val="0"/>
        <w:snapToGrid w:val="0"/>
        <w:spacing w:line="360" w:lineRule="auto"/>
        <w:ind w:firstLine="480" w:firstLineChars="200"/>
        <w:rPr>
          <w:rFonts w:ascii="宋体" w:hAnsi="宋体"/>
          <w:b/>
          <w:bCs/>
          <w:sz w:val="24"/>
        </w:rPr>
      </w:pPr>
      <w:r>
        <w:rPr>
          <w:sz w:val="24"/>
        </w:rPr>
        <w:fldChar w:fldCharType="end"/>
      </w:r>
      <w:r>
        <w:rPr>
          <w:rFonts w:hint="eastAsia" w:ascii="宋体" w:hAnsi="宋体"/>
          <w:b/>
          <w:bCs/>
          <w:sz w:val="24"/>
        </w:rPr>
        <w:t>附图：</w:t>
      </w:r>
    </w:p>
    <w:p>
      <w:pPr>
        <w:adjustRightInd w:val="0"/>
        <w:snapToGrid w:val="0"/>
        <w:spacing w:line="360" w:lineRule="auto"/>
        <w:ind w:firstLine="480" w:firstLineChars="200"/>
        <w:rPr>
          <w:rFonts w:ascii="宋体" w:hAnsi="宋体"/>
          <w:sz w:val="24"/>
        </w:rPr>
      </w:pPr>
      <w:r>
        <w:rPr>
          <w:rFonts w:hint="eastAsia" w:ascii="宋体" w:hAnsi="宋体"/>
          <w:sz w:val="24"/>
        </w:rPr>
        <w:t>附图1 项目地理位置图；</w:t>
      </w:r>
    </w:p>
    <w:p>
      <w:pPr>
        <w:adjustRightInd w:val="0"/>
        <w:snapToGrid w:val="0"/>
        <w:spacing w:line="360" w:lineRule="auto"/>
        <w:ind w:firstLine="480" w:firstLineChars="200"/>
        <w:rPr>
          <w:rFonts w:ascii="宋体" w:hAnsi="宋体"/>
          <w:sz w:val="24"/>
        </w:rPr>
      </w:pPr>
      <w:r>
        <w:rPr>
          <w:rFonts w:hint="eastAsia" w:ascii="宋体" w:hAnsi="宋体"/>
          <w:sz w:val="24"/>
        </w:rPr>
        <w:t>附图2 项目四邻关系图；</w:t>
      </w:r>
    </w:p>
    <w:p>
      <w:pPr>
        <w:adjustRightInd w:val="0"/>
        <w:snapToGrid w:val="0"/>
        <w:spacing w:line="360" w:lineRule="auto"/>
        <w:ind w:firstLine="480" w:firstLineChars="200"/>
        <w:rPr>
          <w:rFonts w:ascii="宋体" w:hAnsi="宋体"/>
          <w:sz w:val="24"/>
        </w:rPr>
      </w:pPr>
      <w:r>
        <w:rPr>
          <w:rFonts w:hint="eastAsia" w:ascii="宋体" w:hAnsi="宋体"/>
          <w:sz w:val="24"/>
        </w:rPr>
        <w:t>附图3 项目平面布置示意图；</w:t>
      </w:r>
    </w:p>
    <w:p>
      <w:pPr>
        <w:adjustRightInd w:val="0"/>
        <w:snapToGrid w:val="0"/>
        <w:spacing w:line="360" w:lineRule="auto"/>
        <w:ind w:firstLine="480" w:firstLineChars="200"/>
        <w:rPr>
          <w:rFonts w:ascii="宋体" w:hAnsi="宋体"/>
          <w:sz w:val="24"/>
        </w:rPr>
      </w:pPr>
      <w:r>
        <w:rPr>
          <w:rFonts w:hint="eastAsia" w:ascii="宋体" w:hAnsi="宋体"/>
          <w:sz w:val="24"/>
        </w:rPr>
        <w:t>附图4</w:t>
      </w:r>
      <w:r>
        <w:rPr>
          <w:rFonts w:ascii="宋体" w:hAnsi="宋体"/>
          <w:sz w:val="24"/>
        </w:rPr>
        <w:t xml:space="preserve"> </w:t>
      </w:r>
      <w:r>
        <w:rPr>
          <w:rFonts w:hint="eastAsia" w:ascii="宋体" w:hAnsi="宋体"/>
          <w:sz w:val="24"/>
        </w:rPr>
        <w:t>项目监测点位图；</w:t>
      </w:r>
    </w:p>
    <w:p>
      <w:pPr>
        <w:adjustRightInd w:val="0"/>
        <w:snapToGrid w:val="0"/>
        <w:spacing w:line="360" w:lineRule="auto"/>
        <w:ind w:firstLine="480" w:firstLineChars="200"/>
        <w:rPr>
          <w:rFonts w:ascii="宋体" w:hAnsi="宋体"/>
          <w:sz w:val="24"/>
        </w:rPr>
      </w:pPr>
      <w:r>
        <w:rPr>
          <w:rFonts w:hint="eastAsia" w:ascii="宋体" w:hAnsi="宋体"/>
          <w:sz w:val="24"/>
        </w:rPr>
        <w:t>附图5 项目在靖边经开区的位置示意图。</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2" w:firstLineChars="200"/>
        <w:rPr>
          <w:rFonts w:ascii="宋体" w:hAnsi="宋体"/>
          <w:b/>
          <w:bCs/>
          <w:sz w:val="24"/>
        </w:rPr>
      </w:pPr>
      <w:r>
        <w:rPr>
          <w:rFonts w:hint="eastAsia" w:ascii="宋体" w:hAnsi="宋体"/>
          <w:b/>
          <w:bCs/>
          <w:sz w:val="24"/>
        </w:rPr>
        <w:t>附件：</w:t>
      </w:r>
    </w:p>
    <w:p>
      <w:pPr>
        <w:adjustRightInd w:val="0"/>
        <w:snapToGrid w:val="0"/>
        <w:spacing w:line="360" w:lineRule="auto"/>
        <w:ind w:firstLine="480" w:firstLineChars="200"/>
        <w:rPr>
          <w:rFonts w:ascii="宋体" w:hAnsi="宋体"/>
          <w:sz w:val="24"/>
        </w:rPr>
      </w:pPr>
      <w:r>
        <w:rPr>
          <w:rFonts w:hint="eastAsia" w:ascii="宋体" w:hAnsi="宋体"/>
          <w:sz w:val="24"/>
        </w:rPr>
        <w:t>附件1 委托书；</w:t>
      </w:r>
    </w:p>
    <w:p>
      <w:pPr>
        <w:adjustRightInd w:val="0"/>
        <w:snapToGrid w:val="0"/>
        <w:spacing w:line="360" w:lineRule="auto"/>
        <w:ind w:firstLine="480" w:firstLineChars="200"/>
        <w:rPr>
          <w:rFonts w:ascii="宋体" w:hAnsi="宋体"/>
          <w:sz w:val="24"/>
        </w:rPr>
      </w:pPr>
      <w:r>
        <w:rPr>
          <w:rFonts w:hint="eastAsia" w:ascii="宋体" w:hAnsi="宋体"/>
          <w:sz w:val="24"/>
        </w:rPr>
        <w:t>附件2 备案确认书；</w:t>
      </w:r>
    </w:p>
    <w:p>
      <w:pPr>
        <w:adjustRightInd w:val="0"/>
        <w:snapToGrid w:val="0"/>
        <w:spacing w:line="360" w:lineRule="auto"/>
        <w:ind w:firstLine="480" w:firstLineChars="200"/>
        <w:rPr>
          <w:rFonts w:ascii="宋体" w:hAnsi="宋体"/>
          <w:sz w:val="24"/>
        </w:rPr>
      </w:pPr>
      <w:r>
        <w:rPr>
          <w:rFonts w:hint="eastAsia" w:ascii="宋体" w:hAnsi="宋体"/>
          <w:sz w:val="24"/>
        </w:rPr>
        <w:t>附件3 靖边县经济技术开发区总体规划的批复；</w:t>
      </w:r>
    </w:p>
    <w:p>
      <w:pPr>
        <w:adjustRightInd w:val="0"/>
        <w:snapToGrid w:val="0"/>
        <w:spacing w:line="360" w:lineRule="auto"/>
        <w:ind w:firstLine="480" w:firstLineChars="200"/>
        <w:rPr>
          <w:rFonts w:ascii="宋体" w:hAnsi="宋体"/>
          <w:sz w:val="24"/>
        </w:rPr>
      </w:pPr>
      <w:r>
        <w:rPr>
          <w:rFonts w:hint="eastAsia" w:ascii="宋体" w:hAnsi="宋体"/>
          <w:sz w:val="24"/>
        </w:rPr>
        <w:t>附件4 入园批复；</w:t>
      </w:r>
    </w:p>
    <w:p>
      <w:pPr>
        <w:adjustRightInd w:val="0"/>
        <w:snapToGrid w:val="0"/>
        <w:spacing w:line="360" w:lineRule="auto"/>
        <w:ind w:firstLine="480" w:firstLineChars="200"/>
        <w:rPr>
          <w:rFonts w:ascii="宋体" w:hAnsi="宋体"/>
          <w:sz w:val="24"/>
        </w:rPr>
      </w:pPr>
      <w:r>
        <w:rPr>
          <w:rFonts w:hint="eastAsia" w:ascii="宋体" w:hAnsi="宋体"/>
          <w:sz w:val="24"/>
        </w:rPr>
        <w:t>附件5 用地情况证明；</w:t>
      </w:r>
    </w:p>
    <w:p>
      <w:pPr>
        <w:adjustRightInd w:val="0"/>
        <w:snapToGrid w:val="0"/>
        <w:spacing w:line="360" w:lineRule="auto"/>
        <w:ind w:firstLine="480" w:firstLineChars="200"/>
        <w:rPr>
          <w:rFonts w:ascii="宋体" w:hAnsi="宋体"/>
          <w:sz w:val="24"/>
        </w:rPr>
      </w:pPr>
      <w:r>
        <w:rPr>
          <w:rFonts w:hint="eastAsia" w:ascii="宋体" w:hAnsi="宋体"/>
          <w:sz w:val="24"/>
        </w:rPr>
        <w:t>附件6 营业执照；</w:t>
      </w:r>
    </w:p>
    <w:p>
      <w:pPr>
        <w:adjustRightInd w:val="0"/>
        <w:snapToGrid w:val="0"/>
        <w:spacing w:line="360" w:lineRule="auto"/>
        <w:ind w:firstLine="480" w:firstLineChars="200"/>
        <w:rPr>
          <w:rFonts w:ascii="宋体" w:hAnsi="宋体"/>
          <w:sz w:val="24"/>
        </w:rPr>
      </w:pPr>
      <w:r>
        <w:rPr>
          <w:rFonts w:hint="eastAsia" w:ascii="宋体" w:hAnsi="宋体"/>
          <w:sz w:val="24"/>
        </w:rPr>
        <w:t>附件7多规合一检测报告；</w:t>
      </w:r>
    </w:p>
    <w:p>
      <w:pPr>
        <w:adjustRightInd w:val="0"/>
        <w:snapToGrid w:val="0"/>
        <w:spacing w:line="360" w:lineRule="auto"/>
        <w:ind w:firstLine="480" w:firstLineChars="200"/>
        <w:rPr>
          <w:rFonts w:ascii="宋体" w:hAnsi="宋体"/>
          <w:sz w:val="24"/>
        </w:rPr>
      </w:pPr>
      <w:r>
        <w:rPr>
          <w:rFonts w:hint="eastAsia" w:ascii="宋体" w:hAnsi="宋体"/>
          <w:sz w:val="24"/>
        </w:rPr>
        <w:t>附件8陕西省“三线一单”生态环境管控单元对照分析报告；</w:t>
      </w:r>
    </w:p>
    <w:p>
      <w:pPr>
        <w:adjustRightInd w:val="0"/>
        <w:snapToGrid w:val="0"/>
        <w:spacing w:line="360" w:lineRule="auto"/>
        <w:ind w:firstLine="480" w:firstLineChars="200"/>
        <w:rPr>
          <w:rFonts w:ascii="宋体" w:hAnsi="宋体"/>
          <w:sz w:val="24"/>
        </w:rPr>
        <w:sectPr>
          <w:pgSz w:w="11906" w:h="16838"/>
          <w:pgMar w:top="1701" w:right="1531" w:bottom="1701" w:left="1531" w:header="851" w:footer="1123" w:gutter="0"/>
          <w:pgNumType w:start="3"/>
          <w:cols w:space="720" w:num="1"/>
          <w:docGrid w:linePitch="312" w:charSpace="0"/>
        </w:sectPr>
      </w:pPr>
      <w:r>
        <w:rPr>
          <w:rFonts w:hint="eastAsia" w:ascii="宋体" w:hAnsi="宋体"/>
          <w:sz w:val="24"/>
        </w:rPr>
        <w:t>附件9环境质量现状监测报告。</w:t>
      </w:r>
    </w:p>
    <w:p>
      <w:pPr>
        <w:pStyle w:val="26"/>
        <w:spacing w:before="0" w:beforeAutospacing="0" w:after="0" w:afterAutospacing="0"/>
        <w:ind w:firstLine="600"/>
        <w:jc w:val="center"/>
        <w:outlineLvl w:val="0"/>
        <w:rPr>
          <w:rStyle w:val="98"/>
        </w:rPr>
      </w:pPr>
      <w:bookmarkStart w:id="2" w:name="_Toc12701"/>
      <w:r>
        <w:rPr>
          <w:rStyle w:val="98"/>
        </w:rPr>
        <w:t>一、建设项目基本情况</w:t>
      </w:r>
      <w:bookmarkEnd w:id="2"/>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76"/>
        <w:gridCol w:w="2541"/>
        <w:gridCol w:w="105"/>
        <w:gridCol w:w="1843"/>
        <w:gridCol w:w="29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76" w:type="dxa"/>
            <w:tcMar>
              <w:top w:w="16" w:type="dxa"/>
              <w:left w:w="16" w:type="dxa"/>
              <w:right w:w="16" w:type="dxa"/>
            </w:tcMar>
            <w:vAlign w:val="center"/>
          </w:tcPr>
          <w:p>
            <w:pPr>
              <w:adjustRightInd w:val="0"/>
              <w:snapToGrid w:val="0"/>
              <w:jc w:val="center"/>
              <w:rPr>
                <w:szCs w:val="21"/>
              </w:rPr>
            </w:pPr>
            <w:r>
              <w:rPr>
                <w:szCs w:val="21"/>
              </w:rPr>
              <w:t>建设项目名称</w:t>
            </w:r>
          </w:p>
        </w:tc>
        <w:tc>
          <w:tcPr>
            <w:tcW w:w="7394" w:type="dxa"/>
            <w:gridSpan w:val="4"/>
            <w:vAlign w:val="center"/>
          </w:tcPr>
          <w:p>
            <w:pPr>
              <w:adjustRightInd w:val="0"/>
              <w:snapToGrid w:val="0"/>
              <w:jc w:val="center"/>
              <w:rPr>
                <w:szCs w:val="21"/>
              </w:rPr>
            </w:pPr>
            <w:r>
              <w:rPr>
                <w:rFonts w:hint="eastAsia"/>
                <w:bCs/>
                <w:szCs w:val="21"/>
              </w:rPr>
              <w:t>年产15000吨玄武岩纤维及制品项目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1476" w:type="dxa"/>
            <w:tcMar>
              <w:top w:w="16" w:type="dxa"/>
              <w:left w:w="16" w:type="dxa"/>
              <w:right w:w="16" w:type="dxa"/>
            </w:tcMar>
            <w:vAlign w:val="center"/>
          </w:tcPr>
          <w:p>
            <w:pPr>
              <w:adjustRightInd w:val="0"/>
              <w:snapToGrid w:val="0"/>
              <w:jc w:val="center"/>
              <w:rPr>
                <w:szCs w:val="21"/>
              </w:rPr>
            </w:pPr>
            <w:r>
              <w:rPr>
                <w:szCs w:val="21"/>
              </w:rPr>
              <w:t>项目代码</w:t>
            </w:r>
          </w:p>
        </w:tc>
        <w:tc>
          <w:tcPr>
            <w:tcW w:w="7394" w:type="dxa"/>
            <w:gridSpan w:val="4"/>
            <w:vAlign w:val="center"/>
          </w:tcPr>
          <w:p>
            <w:pPr>
              <w:adjustRightInd w:val="0"/>
              <w:snapToGrid w:val="0"/>
              <w:jc w:val="center"/>
              <w:rPr>
                <w:szCs w:val="21"/>
              </w:rPr>
            </w:pPr>
            <w:r>
              <w:rPr>
                <w:rFonts w:hint="eastAsia"/>
                <w:szCs w:val="21"/>
              </w:rPr>
              <w:t>2209-610824-04-01-642317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476" w:type="dxa"/>
            <w:tcMar>
              <w:top w:w="16" w:type="dxa"/>
              <w:left w:w="16" w:type="dxa"/>
              <w:right w:w="16" w:type="dxa"/>
            </w:tcMar>
            <w:vAlign w:val="center"/>
          </w:tcPr>
          <w:p>
            <w:pPr>
              <w:adjustRightInd w:val="0"/>
              <w:snapToGrid w:val="0"/>
              <w:jc w:val="center"/>
              <w:rPr>
                <w:szCs w:val="21"/>
              </w:rPr>
            </w:pPr>
            <w:r>
              <w:rPr>
                <w:szCs w:val="21"/>
              </w:rPr>
              <w:t>建设单位联系人</w:t>
            </w:r>
          </w:p>
        </w:tc>
        <w:tc>
          <w:tcPr>
            <w:tcW w:w="2541" w:type="dxa"/>
            <w:vAlign w:val="center"/>
          </w:tcPr>
          <w:p>
            <w:pPr>
              <w:adjustRightInd w:val="0"/>
              <w:snapToGrid w:val="0"/>
              <w:jc w:val="center"/>
              <w:rPr>
                <w:szCs w:val="21"/>
              </w:rPr>
            </w:pPr>
            <w:r>
              <w:rPr>
                <w:rFonts w:hint="eastAsia" w:ascii="宋体" w:hAnsi="宋体"/>
              </w:rPr>
              <w:t>张</w:t>
            </w:r>
            <w:r>
              <w:rPr>
                <w:rFonts w:hint="eastAsia" w:ascii="宋体" w:hAnsi="宋体"/>
                <w:lang w:val="en-US" w:eastAsia="zh-CN"/>
              </w:rPr>
              <w:t>*</w:t>
            </w:r>
            <w:r>
              <w:rPr>
                <w:rFonts w:hint="eastAsia" w:ascii="宋体" w:hAnsi="宋体"/>
              </w:rPr>
              <w:t>军</w:t>
            </w:r>
          </w:p>
        </w:tc>
        <w:tc>
          <w:tcPr>
            <w:tcW w:w="1948" w:type="dxa"/>
            <w:gridSpan w:val="2"/>
            <w:vAlign w:val="center"/>
          </w:tcPr>
          <w:p>
            <w:pPr>
              <w:adjustRightInd w:val="0"/>
              <w:snapToGrid w:val="0"/>
              <w:jc w:val="center"/>
              <w:rPr>
                <w:szCs w:val="21"/>
              </w:rPr>
            </w:pPr>
            <w:r>
              <w:rPr>
                <w:szCs w:val="21"/>
              </w:rPr>
              <w:t>联系方式</w:t>
            </w:r>
          </w:p>
        </w:tc>
        <w:tc>
          <w:tcPr>
            <w:tcW w:w="2905" w:type="dxa"/>
            <w:vAlign w:val="center"/>
          </w:tcPr>
          <w:p>
            <w:pPr>
              <w:jc w:val="center"/>
              <w:rPr>
                <w:szCs w:val="21"/>
              </w:rPr>
            </w:pPr>
            <w:r>
              <w:rPr>
                <w:rFonts w:hint="eastAsia" w:ascii="宋体" w:hAnsi="宋体"/>
              </w:rPr>
              <w:t>176</w:t>
            </w:r>
            <w:r>
              <w:rPr>
                <w:rFonts w:hint="eastAsia" w:ascii="宋体" w:hAnsi="宋体"/>
                <w:lang w:val="en-US" w:eastAsia="zh-CN"/>
              </w:rPr>
              <w:t>****</w:t>
            </w:r>
            <w:bookmarkStart w:id="52" w:name="_GoBack"/>
            <w:bookmarkEnd w:id="52"/>
            <w:r>
              <w:rPr>
                <w:rFonts w:hint="eastAsia" w:ascii="宋体" w:hAnsi="宋体"/>
              </w:rPr>
              <w:t>9508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1476" w:type="dxa"/>
            <w:tcMar>
              <w:top w:w="16" w:type="dxa"/>
              <w:left w:w="16" w:type="dxa"/>
              <w:right w:w="16" w:type="dxa"/>
            </w:tcMar>
            <w:vAlign w:val="center"/>
          </w:tcPr>
          <w:p>
            <w:pPr>
              <w:adjustRightInd w:val="0"/>
              <w:snapToGrid w:val="0"/>
              <w:jc w:val="center"/>
              <w:rPr>
                <w:szCs w:val="21"/>
              </w:rPr>
            </w:pPr>
            <w:r>
              <w:rPr>
                <w:szCs w:val="21"/>
              </w:rPr>
              <w:t>建设地点</w:t>
            </w:r>
          </w:p>
        </w:tc>
        <w:tc>
          <w:tcPr>
            <w:tcW w:w="7394" w:type="dxa"/>
            <w:gridSpan w:val="4"/>
            <w:vAlign w:val="center"/>
          </w:tcPr>
          <w:p>
            <w:pPr>
              <w:adjustRightInd w:val="0"/>
              <w:snapToGrid w:val="0"/>
              <w:jc w:val="center"/>
              <w:rPr>
                <w:szCs w:val="21"/>
              </w:rPr>
            </w:pPr>
            <w:r>
              <w:rPr>
                <w:rFonts w:hint="eastAsia"/>
                <w:szCs w:val="21"/>
              </w:rPr>
              <w:t>陕西省榆林市靖边县经济技术开发区创业创新园科技四路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76" w:type="dxa"/>
            <w:tcMar>
              <w:top w:w="16" w:type="dxa"/>
              <w:left w:w="16" w:type="dxa"/>
              <w:right w:w="16" w:type="dxa"/>
            </w:tcMar>
            <w:vAlign w:val="center"/>
          </w:tcPr>
          <w:p>
            <w:pPr>
              <w:adjustRightInd w:val="0"/>
              <w:snapToGrid w:val="0"/>
              <w:jc w:val="center"/>
              <w:rPr>
                <w:szCs w:val="21"/>
              </w:rPr>
            </w:pPr>
            <w:r>
              <w:rPr>
                <w:szCs w:val="21"/>
              </w:rPr>
              <w:t>地理坐标</w:t>
            </w:r>
          </w:p>
        </w:tc>
        <w:tc>
          <w:tcPr>
            <w:tcW w:w="7394" w:type="dxa"/>
            <w:gridSpan w:val="4"/>
            <w:vAlign w:val="center"/>
          </w:tcPr>
          <w:p>
            <w:pPr>
              <w:jc w:val="center"/>
              <w:rPr>
                <w:szCs w:val="21"/>
              </w:rPr>
            </w:pPr>
            <w:r>
              <w:rPr>
                <w:rFonts w:hint="eastAsia" w:ascii="宋体" w:hAnsi="宋体" w:cs="宋体"/>
                <w:szCs w:val="21"/>
              </w:rPr>
              <w:t>（</w:t>
            </w:r>
            <w:r>
              <w:rPr>
                <w:szCs w:val="21"/>
              </w:rPr>
              <w:t>东经</w:t>
            </w:r>
            <w:r>
              <w:rPr>
                <w:szCs w:val="21"/>
                <w:u w:val="single"/>
              </w:rPr>
              <w:t xml:space="preserve"> </w:t>
            </w:r>
            <w:r>
              <w:rPr>
                <w:rFonts w:hint="eastAsia"/>
                <w:szCs w:val="21"/>
                <w:u w:val="single"/>
              </w:rPr>
              <w:t>108</w:t>
            </w:r>
            <w:r>
              <w:rPr>
                <w:szCs w:val="21"/>
              </w:rPr>
              <w:t>度</w:t>
            </w:r>
            <w:r>
              <w:rPr>
                <w:rFonts w:hint="eastAsia"/>
                <w:szCs w:val="21"/>
                <w:u w:val="single"/>
              </w:rPr>
              <w:t>59</w:t>
            </w:r>
            <w:r>
              <w:rPr>
                <w:szCs w:val="21"/>
              </w:rPr>
              <w:t>分</w:t>
            </w:r>
            <w:r>
              <w:rPr>
                <w:rFonts w:hint="eastAsia"/>
                <w:szCs w:val="21"/>
                <w:u w:val="single"/>
              </w:rPr>
              <w:t>40.71</w:t>
            </w:r>
            <w:r>
              <w:rPr>
                <w:szCs w:val="21"/>
              </w:rPr>
              <w:t>秒，北纬</w:t>
            </w:r>
            <w:r>
              <w:rPr>
                <w:rFonts w:hint="eastAsia"/>
                <w:szCs w:val="21"/>
                <w:u w:val="single"/>
              </w:rPr>
              <w:t>37</w:t>
            </w:r>
            <w:r>
              <w:rPr>
                <w:szCs w:val="21"/>
              </w:rPr>
              <w:t>度</w:t>
            </w:r>
            <w:r>
              <w:rPr>
                <w:rFonts w:hint="eastAsia"/>
                <w:szCs w:val="21"/>
                <w:u w:val="single"/>
              </w:rPr>
              <w:t>37</w:t>
            </w:r>
            <w:r>
              <w:rPr>
                <w:szCs w:val="21"/>
              </w:rPr>
              <w:t>分</w:t>
            </w:r>
            <w:r>
              <w:rPr>
                <w:rFonts w:hint="eastAsia"/>
                <w:szCs w:val="21"/>
                <w:u w:val="single"/>
              </w:rPr>
              <w:t>4.36</w:t>
            </w:r>
            <w:r>
              <w:rPr>
                <w:szCs w:val="21"/>
              </w:rPr>
              <w:t>秒</w:t>
            </w:r>
            <w:r>
              <w:rPr>
                <w:rFonts w:hint="eastAsia" w:ascii="宋体" w:hAnsi="宋体" w:cs="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476" w:type="dxa"/>
            <w:tcMar>
              <w:top w:w="16" w:type="dxa"/>
              <w:left w:w="16" w:type="dxa"/>
              <w:right w:w="16" w:type="dxa"/>
            </w:tcMar>
            <w:vAlign w:val="center"/>
          </w:tcPr>
          <w:p>
            <w:pPr>
              <w:adjustRightInd w:val="0"/>
              <w:snapToGrid w:val="0"/>
              <w:jc w:val="center"/>
              <w:rPr>
                <w:szCs w:val="21"/>
              </w:rPr>
            </w:pPr>
            <w:r>
              <w:rPr>
                <w:szCs w:val="21"/>
              </w:rPr>
              <w:t>国民经济行业类别</w:t>
            </w:r>
          </w:p>
        </w:tc>
        <w:tc>
          <w:tcPr>
            <w:tcW w:w="2646" w:type="dxa"/>
            <w:gridSpan w:val="2"/>
            <w:vAlign w:val="center"/>
          </w:tcPr>
          <w:p>
            <w:pPr>
              <w:adjustRightInd w:val="0"/>
              <w:snapToGrid w:val="0"/>
              <w:jc w:val="center"/>
              <w:rPr>
                <w:szCs w:val="21"/>
              </w:rPr>
            </w:pPr>
            <w:r>
              <w:rPr>
                <w:rFonts w:hint="eastAsia"/>
                <w:szCs w:val="21"/>
              </w:rPr>
              <w:t>C30</w:t>
            </w:r>
            <w:r>
              <w:rPr>
                <w:szCs w:val="21"/>
              </w:rPr>
              <w:t>61</w:t>
            </w:r>
            <w:r>
              <w:rPr>
                <w:rFonts w:hint="eastAsia"/>
                <w:szCs w:val="21"/>
              </w:rPr>
              <w:t>玻璃纤维及制品制造</w:t>
            </w:r>
          </w:p>
        </w:tc>
        <w:tc>
          <w:tcPr>
            <w:tcW w:w="1843" w:type="dxa"/>
            <w:vAlign w:val="center"/>
          </w:tcPr>
          <w:p>
            <w:pPr>
              <w:adjustRightInd w:val="0"/>
              <w:snapToGrid w:val="0"/>
              <w:jc w:val="center"/>
              <w:rPr>
                <w:szCs w:val="21"/>
              </w:rPr>
            </w:pPr>
            <w:bookmarkStart w:id="3" w:name="_Hlk49843745"/>
            <w:r>
              <w:rPr>
                <w:szCs w:val="21"/>
              </w:rPr>
              <w:t>建设项目</w:t>
            </w:r>
          </w:p>
          <w:p>
            <w:pPr>
              <w:adjustRightInd w:val="0"/>
              <w:snapToGrid w:val="0"/>
              <w:jc w:val="center"/>
              <w:rPr>
                <w:szCs w:val="21"/>
              </w:rPr>
            </w:pPr>
            <w:r>
              <w:rPr>
                <w:szCs w:val="21"/>
              </w:rPr>
              <w:t>行业类别</w:t>
            </w:r>
            <w:bookmarkEnd w:id="3"/>
          </w:p>
        </w:tc>
        <w:tc>
          <w:tcPr>
            <w:tcW w:w="2905" w:type="dxa"/>
            <w:vAlign w:val="center"/>
          </w:tcPr>
          <w:p>
            <w:pPr>
              <w:adjustRightInd w:val="0"/>
              <w:snapToGrid w:val="0"/>
            </w:pPr>
            <w:r>
              <w:rPr>
                <w:rFonts w:hint="eastAsia"/>
              </w:rPr>
              <w:t>二十七、非金属矿物制品</w:t>
            </w:r>
          </w:p>
          <w:p>
            <w:pPr>
              <w:adjustRightInd w:val="0"/>
              <w:snapToGrid w:val="0"/>
            </w:pPr>
            <w:r>
              <w:rPr>
                <w:rFonts w:hint="eastAsia"/>
              </w:rPr>
              <w:t>业30——5</w:t>
            </w:r>
            <w:r>
              <w:t>8.</w:t>
            </w:r>
            <w:r>
              <w:rPr>
                <w:rFonts w:hint="eastAsia"/>
              </w:rPr>
              <w:t>玻璃纤维和玻璃纤维增强塑料制品制造</w:t>
            </w:r>
            <w:r>
              <w:t>306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476" w:type="dxa"/>
            <w:tcMar>
              <w:top w:w="16" w:type="dxa"/>
              <w:left w:w="16" w:type="dxa"/>
              <w:right w:w="16" w:type="dxa"/>
            </w:tcMar>
            <w:vAlign w:val="center"/>
          </w:tcPr>
          <w:p>
            <w:pPr>
              <w:adjustRightInd w:val="0"/>
              <w:snapToGrid w:val="0"/>
              <w:jc w:val="center"/>
              <w:rPr>
                <w:szCs w:val="21"/>
              </w:rPr>
            </w:pPr>
            <w:r>
              <w:rPr>
                <w:szCs w:val="21"/>
              </w:rPr>
              <w:t>建设性质</w:t>
            </w:r>
          </w:p>
        </w:tc>
        <w:tc>
          <w:tcPr>
            <w:tcW w:w="2646" w:type="dxa"/>
            <w:gridSpan w:val="2"/>
            <w:vAlign w:val="center"/>
          </w:tcPr>
          <w:p>
            <w:pPr>
              <w:jc w:val="left"/>
              <w:rPr>
                <w:szCs w:val="21"/>
              </w:rPr>
            </w:pPr>
            <w:r>
              <w:rPr>
                <w:szCs w:val="21"/>
              </w:rPr>
              <w:sym w:font="Wingdings" w:char="00FE"/>
            </w:r>
            <w:r>
              <w:rPr>
                <w:szCs w:val="21"/>
              </w:rPr>
              <w:t>新建（迁建）</w:t>
            </w:r>
          </w:p>
          <w:p>
            <w:pPr>
              <w:jc w:val="left"/>
              <w:rPr>
                <w:szCs w:val="21"/>
              </w:rPr>
            </w:pPr>
            <w:r>
              <w:rPr>
                <w:szCs w:val="21"/>
              </w:rPr>
              <w:sym w:font="Wingdings 2" w:char="00A3"/>
            </w:r>
            <w:r>
              <w:rPr>
                <w:szCs w:val="21"/>
              </w:rPr>
              <w:t>改建</w:t>
            </w:r>
          </w:p>
          <w:p>
            <w:pPr>
              <w:jc w:val="left"/>
              <w:rPr>
                <w:szCs w:val="21"/>
              </w:rPr>
            </w:pPr>
            <w:r>
              <w:rPr>
                <w:szCs w:val="21"/>
              </w:rPr>
              <w:sym w:font="Wingdings 2" w:char="00A3"/>
            </w:r>
            <w:r>
              <w:rPr>
                <w:szCs w:val="21"/>
              </w:rPr>
              <w:t>扩建</w:t>
            </w:r>
          </w:p>
          <w:p>
            <w:pPr>
              <w:jc w:val="left"/>
              <w:rPr>
                <w:szCs w:val="21"/>
              </w:rPr>
            </w:pPr>
            <w:r>
              <w:rPr>
                <w:szCs w:val="21"/>
              </w:rPr>
              <w:sym w:font="Wingdings 2" w:char="00A3"/>
            </w:r>
            <w:r>
              <w:rPr>
                <w:szCs w:val="21"/>
              </w:rPr>
              <w:t>技术</w:t>
            </w:r>
            <w:r>
              <w:rPr>
                <w:rFonts w:hint="eastAsia"/>
                <w:szCs w:val="21"/>
              </w:rPr>
              <w:t>扩建</w:t>
            </w:r>
          </w:p>
        </w:tc>
        <w:tc>
          <w:tcPr>
            <w:tcW w:w="1843" w:type="dxa"/>
            <w:vAlign w:val="center"/>
          </w:tcPr>
          <w:p>
            <w:pPr>
              <w:adjustRightInd w:val="0"/>
              <w:snapToGrid w:val="0"/>
              <w:jc w:val="center"/>
              <w:rPr>
                <w:szCs w:val="21"/>
              </w:rPr>
            </w:pPr>
            <w:r>
              <w:rPr>
                <w:szCs w:val="21"/>
              </w:rPr>
              <w:t>建设项目</w:t>
            </w:r>
          </w:p>
          <w:p>
            <w:pPr>
              <w:adjustRightInd w:val="0"/>
              <w:snapToGrid w:val="0"/>
              <w:jc w:val="center"/>
              <w:rPr>
                <w:szCs w:val="21"/>
              </w:rPr>
            </w:pPr>
            <w:r>
              <w:rPr>
                <w:szCs w:val="21"/>
              </w:rPr>
              <w:t>申报情形</w:t>
            </w:r>
          </w:p>
        </w:tc>
        <w:tc>
          <w:tcPr>
            <w:tcW w:w="2905" w:type="dxa"/>
            <w:vAlign w:val="center"/>
          </w:tcPr>
          <w:p>
            <w:pPr>
              <w:jc w:val="left"/>
              <w:rPr>
                <w:szCs w:val="21"/>
              </w:rPr>
            </w:pPr>
            <w:r>
              <w:rPr>
                <w:szCs w:val="21"/>
              </w:rPr>
              <w:sym w:font="Wingdings" w:char="00FE"/>
            </w:r>
            <w:r>
              <w:rPr>
                <w:szCs w:val="21"/>
              </w:rPr>
              <w:t>首次申报项目</w:t>
            </w:r>
          </w:p>
          <w:p>
            <w:pPr>
              <w:jc w:val="left"/>
              <w:rPr>
                <w:szCs w:val="21"/>
              </w:rPr>
            </w:pPr>
            <w:r>
              <w:rPr>
                <w:szCs w:val="21"/>
              </w:rPr>
              <w:sym w:font="Wingdings 2" w:char="00A3"/>
            </w:r>
            <w:r>
              <w:rPr>
                <w:szCs w:val="21"/>
              </w:rPr>
              <w:t>不予批准后再次申报项目</w:t>
            </w:r>
          </w:p>
          <w:p>
            <w:pPr>
              <w:jc w:val="left"/>
              <w:rPr>
                <w:szCs w:val="21"/>
              </w:rPr>
            </w:pPr>
            <w:r>
              <w:rPr>
                <w:szCs w:val="21"/>
              </w:rPr>
              <w:sym w:font="Wingdings 2" w:char="00A3"/>
            </w:r>
            <w:r>
              <w:rPr>
                <w:szCs w:val="21"/>
              </w:rPr>
              <w:t>超五年重新审核项目</w:t>
            </w:r>
          </w:p>
          <w:p>
            <w:pPr>
              <w:jc w:val="left"/>
              <w:rPr>
                <w:szCs w:val="21"/>
              </w:rPr>
            </w:pPr>
            <w:r>
              <w:rPr>
                <w:szCs w:val="21"/>
              </w:rPr>
              <w:sym w:font="Wingdings 2" w:char="00A3"/>
            </w:r>
            <w:r>
              <w:rPr>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476" w:type="dxa"/>
            <w:tcMar>
              <w:top w:w="16" w:type="dxa"/>
              <w:left w:w="16" w:type="dxa"/>
              <w:right w:w="16" w:type="dxa"/>
            </w:tcMar>
            <w:vAlign w:val="center"/>
          </w:tcPr>
          <w:p>
            <w:pPr>
              <w:adjustRightInd w:val="0"/>
              <w:snapToGrid w:val="0"/>
              <w:jc w:val="center"/>
              <w:rPr>
                <w:szCs w:val="21"/>
              </w:rPr>
            </w:pPr>
            <w:r>
              <w:rPr>
                <w:szCs w:val="21"/>
              </w:rPr>
              <w:t>项目审批（核准/备案）部门（选填）</w:t>
            </w:r>
          </w:p>
        </w:tc>
        <w:tc>
          <w:tcPr>
            <w:tcW w:w="2646" w:type="dxa"/>
            <w:gridSpan w:val="2"/>
            <w:vAlign w:val="center"/>
          </w:tcPr>
          <w:p>
            <w:pPr>
              <w:adjustRightInd w:val="0"/>
              <w:snapToGrid w:val="0"/>
              <w:jc w:val="center"/>
              <w:rPr>
                <w:szCs w:val="21"/>
              </w:rPr>
            </w:pPr>
            <w:r>
              <w:rPr>
                <w:rFonts w:hint="eastAsia"/>
                <w:szCs w:val="21"/>
              </w:rPr>
              <w:t>靖边县行政审批服务局</w:t>
            </w:r>
          </w:p>
        </w:tc>
        <w:tc>
          <w:tcPr>
            <w:tcW w:w="1843" w:type="dxa"/>
            <w:vAlign w:val="center"/>
          </w:tcPr>
          <w:p>
            <w:pPr>
              <w:adjustRightInd w:val="0"/>
              <w:snapToGrid w:val="0"/>
              <w:jc w:val="center"/>
              <w:rPr>
                <w:szCs w:val="21"/>
              </w:rPr>
            </w:pPr>
            <w:r>
              <w:rPr>
                <w:szCs w:val="21"/>
              </w:rPr>
              <w:t>项目审批（核准/</w:t>
            </w:r>
          </w:p>
          <w:p>
            <w:pPr>
              <w:adjustRightInd w:val="0"/>
              <w:snapToGrid w:val="0"/>
              <w:jc w:val="center"/>
              <w:rPr>
                <w:szCs w:val="21"/>
              </w:rPr>
            </w:pPr>
            <w:r>
              <w:rPr>
                <w:szCs w:val="21"/>
              </w:rPr>
              <w:t>备案）文号（选填）</w:t>
            </w:r>
          </w:p>
        </w:tc>
        <w:tc>
          <w:tcPr>
            <w:tcW w:w="2905" w:type="dxa"/>
            <w:vAlign w:val="center"/>
          </w:tcPr>
          <w:p>
            <w:pPr>
              <w:adjustRightInd w:val="0"/>
              <w:snapToGrid w:val="0"/>
              <w:jc w:val="center"/>
              <w:rPr>
                <w:szCs w:val="21"/>
              </w:rPr>
            </w:pPr>
            <w:r>
              <w:rPr>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76" w:type="dxa"/>
            <w:tcMar>
              <w:top w:w="16" w:type="dxa"/>
              <w:left w:w="16" w:type="dxa"/>
              <w:right w:w="16" w:type="dxa"/>
            </w:tcMar>
            <w:vAlign w:val="center"/>
          </w:tcPr>
          <w:p>
            <w:pPr>
              <w:adjustRightInd w:val="0"/>
              <w:snapToGrid w:val="0"/>
              <w:jc w:val="center"/>
              <w:rPr>
                <w:szCs w:val="21"/>
              </w:rPr>
            </w:pPr>
            <w:r>
              <w:rPr>
                <w:szCs w:val="21"/>
              </w:rPr>
              <w:t>总投资（万元）</w:t>
            </w:r>
          </w:p>
        </w:tc>
        <w:tc>
          <w:tcPr>
            <w:tcW w:w="2646" w:type="dxa"/>
            <w:gridSpan w:val="2"/>
            <w:vAlign w:val="center"/>
          </w:tcPr>
          <w:p>
            <w:pPr>
              <w:adjustRightInd w:val="0"/>
              <w:snapToGrid w:val="0"/>
              <w:jc w:val="center"/>
              <w:rPr>
                <w:szCs w:val="21"/>
              </w:rPr>
            </w:pPr>
            <w:r>
              <w:rPr>
                <w:rFonts w:hint="eastAsia"/>
                <w:szCs w:val="21"/>
              </w:rPr>
              <w:t>68000</w:t>
            </w:r>
          </w:p>
        </w:tc>
        <w:tc>
          <w:tcPr>
            <w:tcW w:w="1843" w:type="dxa"/>
            <w:tcMar>
              <w:top w:w="16" w:type="dxa"/>
              <w:left w:w="16" w:type="dxa"/>
              <w:right w:w="16" w:type="dxa"/>
            </w:tcMar>
            <w:vAlign w:val="center"/>
          </w:tcPr>
          <w:p>
            <w:pPr>
              <w:adjustRightInd w:val="0"/>
              <w:snapToGrid w:val="0"/>
              <w:jc w:val="center"/>
              <w:rPr>
                <w:szCs w:val="21"/>
              </w:rPr>
            </w:pPr>
            <w:r>
              <w:rPr>
                <w:szCs w:val="21"/>
              </w:rPr>
              <w:t>环保投资（万元）</w:t>
            </w:r>
          </w:p>
        </w:tc>
        <w:tc>
          <w:tcPr>
            <w:tcW w:w="2905" w:type="dxa"/>
            <w:vAlign w:val="center"/>
          </w:tcPr>
          <w:p>
            <w:pPr>
              <w:adjustRightInd w:val="0"/>
              <w:snapToGrid w:val="0"/>
              <w:jc w:val="center"/>
              <w:rPr>
                <w:szCs w:val="21"/>
              </w:rPr>
            </w:pPr>
            <w:r>
              <w:rPr>
                <w:rFonts w:hint="eastAsia"/>
                <w:szCs w:val="21"/>
              </w:rPr>
              <w:t>214.6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76" w:type="dxa"/>
            <w:tcMar>
              <w:top w:w="16" w:type="dxa"/>
              <w:left w:w="16" w:type="dxa"/>
              <w:right w:w="16" w:type="dxa"/>
            </w:tcMar>
            <w:vAlign w:val="center"/>
          </w:tcPr>
          <w:p>
            <w:pPr>
              <w:adjustRightInd w:val="0"/>
              <w:snapToGrid w:val="0"/>
              <w:jc w:val="center"/>
              <w:rPr>
                <w:szCs w:val="21"/>
              </w:rPr>
            </w:pPr>
            <w:r>
              <w:rPr>
                <w:szCs w:val="21"/>
              </w:rPr>
              <w:t>环保投资占比（%）</w:t>
            </w:r>
          </w:p>
        </w:tc>
        <w:tc>
          <w:tcPr>
            <w:tcW w:w="2646" w:type="dxa"/>
            <w:gridSpan w:val="2"/>
            <w:vAlign w:val="center"/>
          </w:tcPr>
          <w:p>
            <w:pPr>
              <w:adjustRightInd w:val="0"/>
              <w:snapToGrid w:val="0"/>
              <w:jc w:val="center"/>
              <w:rPr>
                <w:szCs w:val="21"/>
              </w:rPr>
            </w:pPr>
            <w:r>
              <w:rPr>
                <w:rFonts w:hint="eastAsia"/>
                <w:szCs w:val="21"/>
              </w:rPr>
              <w:t>0.32</w:t>
            </w:r>
          </w:p>
        </w:tc>
        <w:tc>
          <w:tcPr>
            <w:tcW w:w="1843" w:type="dxa"/>
            <w:tcMar>
              <w:top w:w="16" w:type="dxa"/>
              <w:left w:w="16" w:type="dxa"/>
              <w:right w:w="16" w:type="dxa"/>
            </w:tcMar>
            <w:vAlign w:val="center"/>
          </w:tcPr>
          <w:p>
            <w:pPr>
              <w:adjustRightInd w:val="0"/>
              <w:snapToGrid w:val="0"/>
              <w:jc w:val="center"/>
              <w:rPr>
                <w:szCs w:val="21"/>
              </w:rPr>
            </w:pPr>
            <w:r>
              <w:rPr>
                <w:szCs w:val="21"/>
              </w:rPr>
              <w:t>施工工期（月）</w:t>
            </w:r>
          </w:p>
        </w:tc>
        <w:tc>
          <w:tcPr>
            <w:tcW w:w="2905" w:type="dxa"/>
            <w:vAlign w:val="center"/>
          </w:tcPr>
          <w:p>
            <w:pPr>
              <w:adjustRightInd w:val="0"/>
              <w:snapToGrid w:val="0"/>
              <w:jc w:val="center"/>
              <w:rPr>
                <w:szCs w:val="21"/>
              </w:rPr>
            </w:pPr>
            <w:r>
              <w:rPr>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76" w:type="dxa"/>
            <w:tcMar>
              <w:top w:w="16" w:type="dxa"/>
              <w:left w:w="16" w:type="dxa"/>
              <w:right w:w="16" w:type="dxa"/>
            </w:tcMar>
            <w:vAlign w:val="center"/>
          </w:tcPr>
          <w:p>
            <w:pPr>
              <w:adjustRightInd w:val="0"/>
              <w:snapToGrid w:val="0"/>
              <w:jc w:val="center"/>
              <w:rPr>
                <w:szCs w:val="21"/>
              </w:rPr>
            </w:pPr>
            <w:r>
              <w:rPr>
                <w:szCs w:val="21"/>
              </w:rPr>
              <w:t>是否开工建设</w:t>
            </w:r>
          </w:p>
        </w:tc>
        <w:tc>
          <w:tcPr>
            <w:tcW w:w="2646" w:type="dxa"/>
            <w:gridSpan w:val="2"/>
            <w:vAlign w:val="center"/>
          </w:tcPr>
          <w:p>
            <w:pPr>
              <w:adjustRightInd w:val="0"/>
              <w:snapToGrid w:val="0"/>
              <w:jc w:val="center"/>
              <w:rPr>
                <w:szCs w:val="21"/>
              </w:rPr>
            </w:pPr>
            <w:r>
              <w:rPr>
                <w:szCs w:val="21"/>
              </w:rPr>
              <w:t>□ 否</w:t>
            </w:r>
          </w:p>
          <w:p>
            <w:pPr>
              <w:adjustRightInd w:val="0"/>
              <w:snapToGrid w:val="0"/>
              <w:jc w:val="center"/>
              <w:rPr>
                <w:szCs w:val="21"/>
              </w:rPr>
            </w:pPr>
            <w:r>
              <w:rPr>
                <w:szCs w:val="21"/>
              </w:rPr>
              <w:sym w:font="Wingdings" w:char="00FE"/>
            </w:r>
            <w:r>
              <w:rPr>
                <w:szCs w:val="21"/>
              </w:rPr>
              <w:t xml:space="preserve"> 是：</w:t>
            </w:r>
            <w:r>
              <w:rPr>
                <w:szCs w:val="21"/>
                <w:u w:val="single"/>
              </w:rPr>
              <w:t>目前正在进行部分厂房主体结构施工</w:t>
            </w:r>
          </w:p>
        </w:tc>
        <w:tc>
          <w:tcPr>
            <w:tcW w:w="1843" w:type="dxa"/>
            <w:tcMar>
              <w:top w:w="16" w:type="dxa"/>
              <w:left w:w="16" w:type="dxa"/>
              <w:right w:w="16" w:type="dxa"/>
            </w:tcMar>
            <w:vAlign w:val="center"/>
          </w:tcPr>
          <w:p>
            <w:pPr>
              <w:adjustRightInd w:val="0"/>
              <w:snapToGrid w:val="0"/>
              <w:jc w:val="center"/>
              <w:rPr>
                <w:spacing w:val="-6"/>
                <w:szCs w:val="21"/>
              </w:rPr>
            </w:pPr>
            <w:r>
              <w:rPr>
                <w:spacing w:val="-6"/>
                <w:szCs w:val="21"/>
              </w:rPr>
              <w:t>用地（用海）</w:t>
            </w:r>
          </w:p>
          <w:p>
            <w:pPr>
              <w:adjustRightInd w:val="0"/>
              <w:snapToGrid w:val="0"/>
              <w:jc w:val="center"/>
              <w:rPr>
                <w:szCs w:val="21"/>
              </w:rPr>
            </w:pPr>
            <w:r>
              <w:rPr>
                <w:spacing w:val="-6"/>
                <w:szCs w:val="21"/>
              </w:rPr>
              <w:t>面积（m</w:t>
            </w:r>
            <w:r>
              <w:rPr>
                <w:spacing w:val="-6"/>
                <w:szCs w:val="21"/>
                <w:vertAlign w:val="superscript"/>
              </w:rPr>
              <w:t>2</w:t>
            </w:r>
            <w:r>
              <w:rPr>
                <w:spacing w:val="-6"/>
                <w:szCs w:val="21"/>
              </w:rPr>
              <w:t>）</w:t>
            </w:r>
          </w:p>
        </w:tc>
        <w:tc>
          <w:tcPr>
            <w:tcW w:w="2905" w:type="dxa"/>
            <w:vAlign w:val="center"/>
          </w:tcPr>
          <w:p>
            <w:pPr>
              <w:adjustRightInd w:val="0"/>
              <w:snapToGrid w:val="0"/>
              <w:jc w:val="center"/>
              <w:rPr>
                <w:szCs w:val="21"/>
              </w:rPr>
            </w:pPr>
            <w:r>
              <w:rPr>
                <w:szCs w:val="21"/>
              </w:rPr>
              <w:t>67334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476" w:type="dxa"/>
            <w:vAlign w:val="center"/>
          </w:tcPr>
          <w:p>
            <w:pPr>
              <w:autoSpaceDE w:val="0"/>
              <w:autoSpaceDN w:val="0"/>
              <w:adjustRightInd w:val="0"/>
              <w:snapToGrid w:val="0"/>
              <w:jc w:val="center"/>
              <w:rPr>
                <w:kern w:val="0"/>
                <w:szCs w:val="21"/>
              </w:rPr>
            </w:pPr>
            <w:r>
              <w:rPr>
                <w:kern w:val="0"/>
                <w:szCs w:val="21"/>
              </w:rPr>
              <w:t>专项评价设置情况</w:t>
            </w:r>
          </w:p>
        </w:tc>
        <w:tc>
          <w:tcPr>
            <w:tcW w:w="7394" w:type="dxa"/>
            <w:gridSpan w:val="4"/>
            <w:vAlign w:val="center"/>
          </w:tcPr>
          <w:p>
            <w:pPr>
              <w:adjustRightInd w:val="0"/>
              <w:snapToGrid w:val="0"/>
              <w:spacing w:line="360" w:lineRule="auto"/>
              <w:ind w:firstLine="480" w:firstLineChars="200"/>
              <w:rPr>
                <w:rFonts w:ascii="宋体" w:hAnsi="宋体"/>
                <w:sz w:val="24"/>
              </w:rPr>
            </w:pPr>
            <w:r>
              <w:rPr>
                <w:rFonts w:hint="eastAsia" w:ascii="宋体" w:hAnsi="宋体"/>
                <w:sz w:val="24"/>
              </w:rPr>
              <w:t>根据</w:t>
            </w:r>
            <w:r>
              <w:rPr>
                <w:rFonts w:ascii="宋体" w:hAnsi="宋体"/>
                <w:sz w:val="24"/>
              </w:rPr>
              <w:t>《建设项目环境影响报告表编制技术指南（污染影响类）》（试行），本项目不需开展专项评价工作，见表1-1。</w:t>
            </w:r>
          </w:p>
          <w:p>
            <w:pPr>
              <w:pStyle w:val="5"/>
              <w:ind w:firstLine="0"/>
              <w:rPr>
                <w:rFonts w:ascii="Times New Roman" w:hAnsi="Times New Roman" w:eastAsia="宋体"/>
                <w:b/>
                <w:bCs/>
                <w:color w:val="auto"/>
                <w:szCs w:val="21"/>
              </w:rPr>
            </w:pPr>
            <w:bookmarkStart w:id="4" w:name="_Toc29275"/>
            <w:r>
              <w:rPr>
                <w:rFonts w:ascii="Times New Roman" w:hAnsi="Times New Roman" w:eastAsia="宋体"/>
                <w:b/>
                <w:bCs/>
                <w:color w:val="auto"/>
                <w:szCs w:val="21"/>
              </w:rPr>
              <w:t>表1</w:t>
            </w:r>
            <w:r>
              <w:rPr>
                <w:rFonts w:hint="eastAsia" w:ascii="Times New Roman" w:hAnsi="Times New Roman" w:eastAsia="宋体"/>
                <w:b/>
                <w:bCs/>
                <w:color w:val="auto"/>
                <w:szCs w:val="21"/>
              </w:rPr>
              <w:t>-1</w:t>
            </w:r>
            <w:r>
              <w:rPr>
                <w:rFonts w:ascii="Times New Roman" w:hAnsi="Times New Roman" w:eastAsia="宋体"/>
                <w:b/>
                <w:bCs/>
                <w:color w:val="auto"/>
                <w:szCs w:val="21"/>
              </w:rPr>
              <w:t xml:space="preserve">  项目专项评价情况</w:t>
            </w:r>
            <w:bookmarkEnd w:id="4"/>
          </w:p>
          <w:tbl>
            <w:tblPr>
              <w:tblStyle w:val="3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74"/>
              <w:gridCol w:w="3866"/>
              <w:gridCol w:w="118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9" w:type="pct"/>
                  <w:vAlign w:val="center"/>
                </w:tcPr>
                <w:p>
                  <w:pPr>
                    <w:autoSpaceDE w:val="0"/>
                    <w:autoSpaceDN w:val="0"/>
                    <w:adjustRightInd w:val="0"/>
                    <w:snapToGrid w:val="0"/>
                    <w:jc w:val="center"/>
                    <w:rPr>
                      <w:rFonts w:ascii="宋体" w:hAnsi="宋体"/>
                      <w:szCs w:val="21"/>
                    </w:rPr>
                  </w:pPr>
                  <w:r>
                    <w:rPr>
                      <w:rFonts w:ascii="宋体" w:hAnsi="宋体"/>
                      <w:szCs w:val="21"/>
                    </w:rPr>
                    <w:t>专项评价的类别</w:t>
                  </w:r>
                </w:p>
              </w:tc>
              <w:tc>
                <w:tcPr>
                  <w:tcW w:w="2697" w:type="pct"/>
                  <w:vAlign w:val="center"/>
                </w:tcPr>
                <w:p>
                  <w:pPr>
                    <w:autoSpaceDE w:val="0"/>
                    <w:autoSpaceDN w:val="0"/>
                    <w:adjustRightInd w:val="0"/>
                    <w:snapToGrid w:val="0"/>
                    <w:jc w:val="center"/>
                    <w:rPr>
                      <w:rFonts w:ascii="宋体" w:hAnsi="宋体"/>
                      <w:szCs w:val="21"/>
                    </w:rPr>
                  </w:pPr>
                  <w:r>
                    <w:rPr>
                      <w:rFonts w:ascii="宋体" w:hAnsi="宋体"/>
                      <w:szCs w:val="21"/>
                    </w:rPr>
                    <w:t>设置原则</w:t>
                  </w:r>
                </w:p>
              </w:tc>
              <w:tc>
                <w:tcPr>
                  <w:tcW w:w="828" w:type="pct"/>
                  <w:vAlign w:val="center"/>
                </w:tcPr>
                <w:p>
                  <w:pPr>
                    <w:autoSpaceDE w:val="0"/>
                    <w:autoSpaceDN w:val="0"/>
                    <w:adjustRightInd w:val="0"/>
                    <w:snapToGrid w:val="0"/>
                    <w:jc w:val="center"/>
                    <w:rPr>
                      <w:rFonts w:ascii="宋体" w:hAnsi="宋体"/>
                      <w:szCs w:val="21"/>
                    </w:rPr>
                  </w:pPr>
                  <w:r>
                    <w:rPr>
                      <w:rFonts w:ascii="宋体" w:hAnsi="宋体"/>
                      <w:szCs w:val="21"/>
                    </w:rPr>
                    <w:t>本项目情况</w:t>
                  </w:r>
                </w:p>
              </w:tc>
              <w:tc>
                <w:tcPr>
                  <w:tcW w:w="654" w:type="pct"/>
                  <w:vAlign w:val="center"/>
                </w:tcPr>
                <w:p>
                  <w:pPr>
                    <w:autoSpaceDE w:val="0"/>
                    <w:autoSpaceDN w:val="0"/>
                    <w:adjustRightInd w:val="0"/>
                    <w:snapToGrid w:val="0"/>
                    <w:jc w:val="center"/>
                    <w:rPr>
                      <w:rFonts w:ascii="宋体" w:hAnsi="宋体"/>
                      <w:szCs w:val="21"/>
                    </w:rPr>
                  </w:pPr>
                  <w:r>
                    <w:rPr>
                      <w:rFonts w:ascii="宋体" w:hAnsi="宋体"/>
                      <w:szCs w:val="21"/>
                    </w:rPr>
                    <w:t>专项情况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7" w:hRule="atLeast"/>
                <w:jc w:val="center"/>
              </w:trPr>
              <w:tc>
                <w:tcPr>
                  <w:tcW w:w="819" w:type="pct"/>
                  <w:vAlign w:val="center"/>
                </w:tcPr>
                <w:p>
                  <w:pPr>
                    <w:autoSpaceDE w:val="0"/>
                    <w:autoSpaceDN w:val="0"/>
                    <w:adjustRightInd w:val="0"/>
                    <w:snapToGrid w:val="0"/>
                    <w:jc w:val="center"/>
                    <w:rPr>
                      <w:rFonts w:ascii="宋体" w:hAnsi="宋体"/>
                      <w:szCs w:val="21"/>
                    </w:rPr>
                  </w:pPr>
                  <w:r>
                    <w:rPr>
                      <w:rFonts w:ascii="宋体" w:hAnsi="宋体"/>
                      <w:szCs w:val="21"/>
                    </w:rPr>
                    <w:t>大气</w:t>
                  </w:r>
                </w:p>
              </w:tc>
              <w:tc>
                <w:tcPr>
                  <w:tcW w:w="2697" w:type="pct"/>
                  <w:vAlign w:val="center"/>
                </w:tcPr>
                <w:p>
                  <w:pPr>
                    <w:autoSpaceDE w:val="0"/>
                    <w:autoSpaceDN w:val="0"/>
                    <w:adjustRightInd w:val="0"/>
                    <w:snapToGrid w:val="0"/>
                    <w:jc w:val="left"/>
                    <w:rPr>
                      <w:rFonts w:ascii="宋体" w:hAnsi="宋体"/>
                      <w:szCs w:val="21"/>
                    </w:rPr>
                  </w:pPr>
                  <w:r>
                    <w:rPr>
                      <w:rFonts w:ascii="宋体" w:hAnsi="宋体"/>
                      <w:szCs w:val="21"/>
                    </w:rPr>
                    <w:t>排放废气含有毒有害污染物、二噁英、苯并[a]芘、氰化物、氯气且厂界外500米范围内有环境空气保护目标的建设项目</w:t>
                  </w:r>
                </w:p>
              </w:tc>
              <w:tc>
                <w:tcPr>
                  <w:tcW w:w="828" w:type="pct"/>
                  <w:vAlign w:val="center"/>
                </w:tcPr>
                <w:p>
                  <w:pPr>
                    <w:autoSpaceDE w:val="0"/>
                    <w:autoSpaceDN w:val="0"/>
                    <w:adjustRightInd w:val="0"/>
                    <w:snapToGrid w:val="0"/>
                    <w:jc w:val="center"/>
                    <w:rPr>
                      <w:rFonts w:ascii="宋体" w:hAnsi="宋体"/>
                      <w:szCs w:val="21"/>
                    </w:rPr>
                  </w:pPr>
                  <w:r>
                    <w:rPr>
                      <w:rFonts w:ascii="宋体" w:hAnsi="宋体"/>
                      <w:szCs w:val="21"/>
                    </w:rPr>
                    <w:t>不涉及</w:t>
                  </w:r>
                </w:p>
              </w:tc>
              <w:tc>
                <w:tcPr>
                  <w:tcW w:w="654" w:type="pct"/>
                  <w:vAlign w:val="center"/>
                </w:tcPr>
                <w:p>
                  <w:pPr>
                    <w:autoSpaceDE w:val="0"/>
                    <w:autoSpaceDN w:val="0"/>
                    <w:adjustRightInd w:val="0"/>
                    <w:snapToGrid w:val="0"/>
                    <w:jc w:val="center"/>
                    <w:rPr>
                      <w:rFonts w:ascii="宋体" w:hAnsi="宋体"/>
                      <w:szCs w:val="21"/>
                    </w:rPr>
                  </w:pPr>
                  <w:r>
                    <w:rPr>
                      <w:rFonts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9" w:type="pct"/>
                  <w:vAlign w:val="center"/>
                </w:tcPr>
                <w:p>
                  <w:pPr>
                    <w:autoSpaceDE w:val="0"/>
                    <w:autoSpaceDN w:val="0"/>
                    <w:adjustRightInd w:val="0"/>
                    <w:snapToGrid w:val="0"/>
                    <w:jc w:val="center"/>
                    <w:rPr>
                      <w:rFonts w:ascii="宋体" w:hAnsi="宋体"/>
                      <w:szCs w:val="21"/>
                    </w:rPr>
                  </w:pPr>
                  <w:r>
                    <w:rPr>
                      <w:rFonts w:ascii="宋体" w:hAnsi="宋体"/>
                      <w:szCs w:val="21"/>
                    </w:rPr>
                    <w:t>地表水</w:t>
                  </w:r>
                </w:p>
              </w:tc>
              <w:tc>
                <w:tcPr>
                  <w:tcW w:w="2697" w:type="pct"/>
                  <w:vAlign w:val="center"/>
                </w:tcPr>
                <w:p>
                  <w:pPr>
                    <w:autoSpaceDE w:val="0"/>
                    <w:autoSpaceDN w:val="0"/>
                    <w:adjustRightInd w:val="0"/>
                    <w:snapToGrid w:val="0"/>
                    <w:jc w:val="left"/>
                    <w:rPr>
                      <w:rFonts w:ascii="宋体" w:hAnsi="宋体"/>
                      <w:szCs w:val="21"/>
                    </w:rPr>
                  </w:pPr>
                  <w:r>
                    <w:rPr>
                      <w:rFonts w:ascii="宋体" w:hAnsi="宋体"/>
                      <w:szCs w:val="21"/>
                    </w:rPr>
                    <w:t>新增工业废水直排建设项目（槽罐车外送污水处理厂的除外）；新增废水直排的污水集中处理厂</w:t>
                  </w:r>
                </w:p>
              </w:tc>
              <w:tc>
                <w:tcPr>
                  <w:tcW w:w="828" w:type="pct"/>
                  <w:vAlign w:val="center"/>
                </w:tcPr>
                <w:p>
                  <w:pPr>
                    <w:autoSpaceDE w:val="0"/>
                    <w:autoSpaceDN w:val="0"/>
                    <w:adjustRightInd w:val="0"/>
                    <w:snapToGrid w:val="0"/>
                    <w:jc w:val="center"/>
                    <w:rPr>
                      <w:rFonts w:ascii="宋体" w:hAnsi="宋体"/>
                      <w:szCs w:val="21"/>
                    </w:rPr>
                  </w:pPr>
                  <w:r>
                    <w:rPr>
                      <w:rFonts w:ascii="宋体" w:hAnsi="宋体"/>
                      <w:szCs w:val="21"/>
                    </w:rPr>
                    <w:t>不涉及</w:t>
                  </w:r>
                </w:p>
              </w:tc>
              <w:tc>
                <w:tcPr>
                  <w:tcW w:w="654" w:type="pct"/>
                  <w:vAlign w:val="center"/>
                </w:tcPr>
                <w:p>
                  <w:pPr>
                    <w:autoSpaceDE w:val="0"/>
                    <w:autoSpaceDN w:val="0"/>
                    <w:adjustRightInd w:val="0"/>
                    <w:snapToGrid w:val="0"/>
                    <w:jc w:val="center"/>
                    <w:rPr>
                      <w:rFonts w:ascii="宋体" w:hAnsi="宋体"/>
                      <w:szCs w:val="21"/>
                    </w:rPr>
                  </w:pPr>
                  <w:r>
                    <w:rPr>
                      <w:rFonts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9" w:type="pct"/>
                  <w:vAlign w:val="center"/>
                </w:tcPr>
                <w:p>
                  <w:pPr>
                    <w:autoSpaceDE w:val="0"/>
                    <w:autoSpaceDN w:val="0"/>
                    <w:adjustRightInd w:val="0"/>
                    <w:snapToGrid w:val="0"/>
                    <w:jc w:val="center"/>
                    <w:rPr>
                      <w:rFonts w:ascii="宋体" w:hAnsi="宋体"/>
                      <w:szCs w:val="21"/>
                    </w:rPr>
                  </w:pPr>
                  <w:r>
                    <w:rPr>
                      <w:rFonts w:ascii="宋体" w:hAnsi="宋体"/>
                      <w:szCs w:val="21"/>
                    </w:rPr>
                    <w:t>环境风险</w:t>
                  </w:r>
                </w:p>
              </w:tc>
              <w:tc>
                <w:tcPr>
                  <w:tcW w:w="2697" w:type="pct"/>
                  <w:vAlign w:val="center"/>
                </w:tcPr>
                <w:p>
                  <w:pPr>
                    <w:autoSpaceDE w:val="0"/>
                    <w:autoSpaceDN w:val="0"/>
                    <w:adjustRightInd w:val="0"/>
                    <w:snapToGrid w:val="0"/>
                    <w:jc w:val="left"/>
                    <w:rPr>
                      <w:rFonts w:ascii="宋体" w:hAnsi="宋体"/>
                      <w:szCs w:val="21"/>
                    </w:rPr>
                  </w:pPr>
                  <w:r>
                    <w:rPr>
                      <w:rFonts w:ascii="宋体" w:hAnsi="宋体"/>
                      <w:szCs w:val="21"/>
                    </w:rPr>
                    <w:t>有毒有害和易燃易爆危险物质存储量超过临界量的建设项目</w:t>
                  </w:r>
                </w:p>
              </w:tc>
              <w:tc>
                <w:tcPr>
                  <w:tcW w:w="828" w:type="pct"/>
                  <w:vAlign w:val="center"/>
                </w:tcPr>
                <w:p>
                  <w:pPr>
                    <w:autoSpaceDE w:val="0"/>
                    <w:autoSpaceDN w:val="0"/>
                    <w:adjustRightInd w:val="0"/>
                    <w:snapToGrid w:val="0"/>
                    <w:jc w:val="center"/>
                    <w:rPr>
                      <w:rFonts w:ascii="宋体" w:hAnsi="宋体"/>
                      <w:szCs w:val="21"/>
                    </w:rPr>
                  </w:pPr>
                  <w:r>
                    <w:rPr>
                      <w:rFonts w:ascii="宋体" w:hAnsi="宋体"/>
                      <w:szCs w:val="21"/>
                    </w:rPr>
                    <w:t>不涉及</w:t>
                  </w:r>
                </w:p>
              </w:tc>
              <w:tc>
                <w:tcPr>
                  <w:tcW w:w="654" w:type="pct"/>
                  <w:vAlign w:val="center"/>
                </w:tcPr>
                <w:p>
                  <w:pPr>
                    <w:autoSpaceDE w:val="0"/>
                    <w:autoSpaceDN w:val="0"/>
                    <w:adjustRightInd w:val="0"/>
                    <w:snapToGrid w:val="0"/>
                    <w:jc w:val="center"/>
                    <w:rPr>
                      <w:rFonts w:ascii="宋体" w:hAnsi="宋体"/>
                      <w:szCs w:val="21"/>
                    </w:rPr>
                  </w:pPr>
                  <w:r>
                    <w:rPr>
                      <w:rFonts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9" w:type="pct"/>
                  <w:vAlign w:val="center"/>
                </w:tcPr>
                <w:p>
                  <w:pPr>
                    <w:autoSpaceDE w:val="0"/>
                    <w:autoSpaceDN w:val="0"/>
                    <w:adjustRightInd w:val="0"/>
                    <w:snapToGrid w:val="0"/>
                    <w:jc w:val="center"/>
                    <w:rPr>
                      <w:rFonts w:ascii="宋体" w:hAnsi="宋体"/>
                      <w:szCs w:val="21"/>
                    </w:rPr>
                  </w:pPr>
                  <w:r>
                    <w:rPr>
                      <w:rFonts w:ascii="宋体" w:hAnsi="宋体"/>
                      <w:szCs w:val="21"/>
                    </w:rPr>
                    <w:t>生态</w:t>
                  </w:r>
                </w:p>
              </w:tc>
              <w:tc>
                <w:tcPr>
                  <w:tcW w:w="2697" w:type="pct"/>
                  <w:vAlign w:val="center"/>
                </w:tcPr>
                <w:p>
                  <w:pPr>
                    <w:autoSpaceDE w:val="0"/>
                    <w:autoSpaceDN w:val="0"/>
                    <w:adjustRightInd w:val="0"/>
                    <w:snapToGrid w:val="0"/>
                    <w:jc w:val="left"/>
                    <w:rPr>
                      <w:rFonts w:ascii="宋体" w:hAnsi="宋体"/>
                      <w:szCs w:val="21"/>
                    </w:rPr>
                  </w:pPr>
                  <w:r>
                    <w:rPr>
                      <w:rFonts w:ascii="宋体" w:hAnsi="宋体"/>
                      <w:szCs w:val="21"/>
                    </w:rPr>
                    <w:t>取水口下游500米范围内有重要水生生物的自然产卵场、索饵场、越冬场和洄游通道的新增河道取水的污染类建设项目</w:t>
                  </w:r>
                </w:p>
              </w:tc>
              <w:tc>
                <w:tcPr>
                  <w:tcW w:w="828" w:type="pct"/>
                  <w:vAlign w:val="center"/>
                </w:tcPr>
                <w:p>
                  <w:pPr>
                    <w:autoSpaceDE w:val="0"/>
                    <w:autoSpaceDN w:val="0"/>
                    <w:adjustRightInd w:val="0"/>
                    <w:snapToGrid w:val="0"/>
                    <w:jc w:val="center"/>
                    <w:rPr>
                      <w:rFonts w:ascii="宋体" w:hAnsi="宋体"/>
                      <w:szCs w:val="21"/>
                    </w:rPr>
                  </w:pPr>
                  <w:r>
                    <w:rPr>
                      <w:rFonts w:ascii="宋体" w:hAnsi="宋体"/>
                      <w:szCs w:val="21"/>
                    </w:rPr>
                    <w:t>不涉及</w:t>
                  </w:r>
                </w:p>
              </w:tc>
              <w:tc>
                <w:tcPr>
                  <w:tcW w:w="654" w:type="pct"/>
                  <w:vAlign w:val="center"/>
                </w:tcPr>
                <w:p>
                  <w:pPr>
                    <w:autoSpaceDE w:val="0"/>
                    <w:autoSpaceDN w:val="0"/>
                    <w:adjustRightInd w:val="0"/>
                    <w:snapToGrid w:val="0"/>
                    <w:jc w:val="center"/>
                    <w:rPr>
                      <w:rFonts w:ascii="宋体" w:hAnsi="宋体"/>
                      <w:szCs w:val="21"/>
                    </w:rPr>
                  </w:pPr>
                  <w:r>
                    <w:rPr>
                      <w:rFonts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819" w:type="pct"/>
                  <w:vAlign w:val="center"/>
                </w:tcPr>
                <w:p>
                  <w:pPr>
                    <w:autoSpaceDE w:val="0"/>
                    <w:autoSpaceDN w:val="0"/>
                    <w:adjustRightInd w:val="0"/>
                    <w:snapToGrid w:val="0"/>
                    <w:jc w:val="center"/>
                    <w:rPr>
                      <w:rFonts w:ascii="宋体" w:hAnsi="宋体"/>
                      <w:szCs w:val="21"/>
                    </w:rPr>
                  </w:pPr>
                  <w:r>
                    <w:rPr>
                      <w:rFonts w:ascii="宋体" w:hAnsi="宋体"/>
                      <w:szCs w:val="21"/>
                    </w:rPr>
                    <w:t>海洋</w:t>
                  </w:r>
                </w:p>
              </w:tc>
              <w:tc>
                <w:tcPr>
                  <w:tcW w:w="2697" w:type="pct"/>
                  <w:vAlign w:val="center"/>
                </w:tcPr>
                <w:p>
                  <w:pPr>
                    <w:autoSpaceDE w:val="0"/>
                    <w:autoSpaceDN w:val="0"/>
                    <w:adjustRightInd w:val="0"/>
                    <w:snapToGrid w:val="0"/>
                    <w:jc w:val="left"/>
                    <w:rPr>
                      <w:rFonts w:ascii="宋体" w:hAnsi="宋体"/>
                      <w:szCs w:val="21"/>
                    </w:rPr>
                  </w:pPr>
                  <w:r>
                    <w:rPr>
                      <w:rFonts w:ascii="宋体" w:hAnsi="宋体"/>
                      <w:szCs w:val="21"/>
                    </w:rPr>
                    <w:t>直接向海排放污染物的海洋工程建设项目</w:t>
                  </w:r>
                </w:p>
              </w:tc>
              <w:tc>
                <w:tcPr>
                  <w:tcW w:w="828" w:type="pct"/>
                  <w:vAlign w:val="center"/>
                </w:tcPr>
                <w:p>
                  <w:pPr>
                    <w:autoSpaceDE w:val="0"/>
                    <w:autoSpaceDN w:val="0"/>
                    <w:adjustRightInd w:val="0"/>
                    <w:snapToGrid w:val="0"/>
                    <w:jc w:val="center"/>
                    <w:rPr>
                      <w:rFonts w:ascii="宋体" w:hAnsi="宋体"/>
                      <w:szCs w:val="21"/>
                    </w:rPr>
                  </w:pPr>
                  <w:r>
                    <w:rPr>
                      <w:rFonts w:ascii="宋体" w:hAnsi="宋体"/>
                      <w:szCs w:val="21"/>
                    </w:rPr>
                    <w:t>不涉及</w:t>
                  </w:r>
                </w:p>
              </w:tc>
              <w:tc>
                <w:tcPr>
                  <w:tcW w:w="654" w:type="pct"/>
                  <w:vAlign w:val="center"/>
                </w:tcPr>
                <w:p>
                  <w:pPr>
                    <w:autoSpaceDE w:val="0"/>
                    <w:autoSpaceDN w:val="0"/>
                    <w:adjustRightInd w:val="0"/>
                    <w:snapToGrid w:val="0"/>
                    <w:jc w:val="center"/>
                    <w:rPr>
                      <w:rFonts w:ascii="宋体" w:hAnsi="宋体"/>
                      <w:szCs w:val="21"/>
                    </w:rPr>
                  </w:pPr>
                  <w:r>
                    <w:rPr>
                      <w:rFonts w:ascii="宋体" w:hAnsi="宋体"/>
                      <w:szCs w:val="21"/>
                    </w:rPr>
                    <w:t>无</w:t>
                  </w:r>
                </w:p>
              </w:tc>
            </w:tr>
          </w:tbl>
          <w:p>
            <w:pPr>
              <w:autoSpaceDE w:val="0"/>
              <w:autoSpaceDN w:val="0"/>
              <w:adjustRightInd w:val="0"/>
              <w:snapToGrid w:val="0"/>
              <w:spacing w:line="360" w:lineRule="exact"/>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8" w:hRule="atLeast"/>
          <w:jc w:val="center"/>
        </w:trPr>
        <w:tc>
          <w:tcPr>
            <w:tcW w:w="1476" w:type="dxa"/>
            <w:vAlign w:val="center"/>
          </w:tcPr>
          <w:p>
            <w:pPr>
              <w:autoSpaceDE w:val="0"/>
              <w:autoSpaceDN w:val="0"/>
              <w:adjustRightInd w:val="0"/>
              <w:snapToGrid w:val="0"/>
              <w:jc w:val="center"/>
              <w:rPr>
                <w:kern w:val="0"/>
                <w:szCs w:val="21"/>
              </w:rPr>
            </w:pPr>
            <w:r>
              <w:rPr>
                <w:szCs w:val="21"/>
              </w:rPr>
              <w:t>规划情况</w:t>
            </w:r>
          </w:p>
        </w:tc>
        <w:tc>
          <w:tcPr>
            <w:tcW w:w="7394" w:type="dxa"/>
            <w:gridSpan w:val="4"/>
            <w:vAlign w:val="center"/>
          </w:tcPr>
          <w:p>
            <w:pPr>
              <w:spacing w:line="360" w:lineRule="auto"/>
              <w:ind w:firstLine="420" w:firstLineChars="200"/>
              <w:rPr>
                <w:kern w:val="0"/>
                <w:sz w:val="24"/>
              </w:rPr>
            </w:pPr>
            <w:r>
              <w:rPr>
                <w:rFonts w:hint="eastAsia" w:ascii="宋体" w:hAnsi="宋体" w:cs="宋体"/>
                <w:kern w:val="0"/>
                <w:szCs w:val="21"/>
              </w:rPr>
              <w:t xml:space="preserve"> </w:t>
            </w:r>
            <w:r>
              <w:rPr>
                <w:kern w:val="0"/>
                <w:sz w:val="24"/>
              </w:rPr>
              <w:t>2018年7月，根据《中共榆林市委 榆林市人民政府关于加快产业园区改革和创新发展的实施意见》（榆字[2018]50号）文件要求，靖边县中小企业创业园区与靖边能源化工综合利用产业园区合并，统称为“</w:t>
            </w:r>
            <w:r>
              <w:rPr>
                <w:rFonts w:hint="eastAsia"/>
                <w:kern w:val="0"/>
                <w:sz w:val="24"/>
              </w:rPr>
              <w:t>靖边县经济技术开发区</w:t>
            </w:r>
            <w:r>
              <w:rPr>
                <w:kern w:val="0"/>
                <w:sz w:val="24"/>
              </w:rPr>
              <w:t>”，2020年，园区管委会委托石油和化学工业规划院编制</w:t>
            </w:r>
            <w:r>
              <w:rPr>
                <w:rFonts w:hint="eastAsia"/>
                <w:kern w:val="0"/>
                <w:sz w:val="24"/>
              </w:rPr>
              <w:t>完成了</w:t>
            </w:r>
            <w:r>
              <w:rPr>
                <w:kern w:val="0"/>
                <w:sz w:val="24"/>
              </w:rPr>
              <w:t>《</w:t>
            </w:r>
            <w:r>
              <w:rPr>
                <w:rFonts w:hint="eastAsia"/>
                <w:kern w:val="0"/>
                <w:sz w:val="24"/>
              </w:rPr>
              <w:t>靖边县经济技术开发区</w:t>
            </w:r>
            <w:r>
              <w:rPr>
                <w:kern w:val="0"/>
                <w:sz w:val="24"/>
              </w:rPr>
              <w:t>总体发展规划（2021-2035年）》。</w:t>
            </w:r>
          </w:p>
          <w:p>
            <w:pPr>
              <w:spacing w:line="360" w:lineRule="auto"/>
              <w:ind w:firstLine="480" w:firstLineChars="200"/>
              <w:rPr>
                <w:kern w:val="0"/>
                <w:szCs w:val="21"/>
              </w:rPr>
            </w:pPr>
            <w:r>
              <w:rPr>
                <w:rFonts w:hint="eastAsia"/>
                <w:kern w:val="0"/>
                <w:sz w:val="24"/>
              </w:rPr>
              <w:t>靖边县经济技术开发区位于靖边县城东北方向10公里处，总体规划面积约</w:t>
            </w:r>
            <w:r>
              <w:rPr>
                <w:kern w:val="0"/>
                <w:sz w:val="24"/>
              </w:rPr>
              <w:t>53.36</w:t>
            </w:r>
            <w:r>
              <w:rPr>
                <w:rFonts w:hint="eastAsia"/>
                <w:kern w:val="0"/>
                <w:sz w:val="24"/>
              </w:rPr>
              <w:t>平方公里，最终形成“一区三园”发展模式。一区，即靖边县经济技术开发区；三园，即能源化工园、商贸物流园、创业创新园。目前现状是由三个片区组成，即能源化工园（原靖边能源综合利用产业园）、创业创新园（原靖边中小创产业园）和商贸物流园（原现代综合物流园）。发展目标坚持以提高发展质量和效益为中心，以创新驱动为引领，以重大龙头项目建设为支撑，深入推进供给侧结构性改革，优化产业布局，调整产业结构；深入落实陕西省化工产业安全生产转型升级专项行动部署，抢抓国家级现代煤化工示范区加快产业结构优化步伐加快难得机遇，发挥区域内煤/气/油综合利用产业基础优势，探索化工产业链延伸的可行性，努力提高优势资源综合利用效率，充分借助商贸物流园建成生产服务型及口岸服务型为一体的综合服务型物流园区的契机，通过创新驱动，最终实现打造陕西省乃至国内煤/气/油资源综合利用和化工产业高质量发展先行示范基地的战略目标。2022年6月25日靖边县人民政府出具了同意《关于靖边县经济技术开发区总体发展规划（2021-2035）》的批复（靖政函[2022]102号），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1476" w:type="dxa"/>
            <w:vAlign w:val="center"/>
          </w:tcPr>
          <w:p>
            <w:pPr>
              <w:adjustRightInd w:val="0"/>
              <w:snapToGrid w:val="0"/>
              <w:jc w:val="center"/>
              <w:rPr>
                <w:szCs w:val="21"/>
              </w:rPr>
            </w:pPr>
            <w:r>
              <w:rPr>
                <w:szCs w:val="21"/>
              </w:rPr>
              <w:t>规划环境影响评价情况</w:t>
            </w:r>
          </w:p>
        </w:tc>
        <w:tc>
          <w:tcPr>
            <w:tcW w:w="7394" w:type="dxa"/>
            <w:gridSpan w:val="4"/>
            <w:vAlign w:val="center"/>
          </w:tcPr>
          <w:p>
            <w:pPr>
              <w:pStyle w:val="68"/>
              <w:rPr>
                <w:szCs w:val="21"/>
              </w:rPr>
            </w:pPr>
            <w:r>
              <w:rPr>
                <w:rFonts w:hint="eastAsia"/>
              </w:rPr>
              <w:t>《靖边县经济技术开发区总体发展规划（2021—2035年）》于2022年6月25日取得靖边县人民政府出具了同意《关于靖边县经济技术开发区总体发展规划（2021-2035）》的批复（靖政函[2022]102号），目前正在报榆林市人民政府审批，规划环评目前正在编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476" w:type="dxa"/>
            <w:vAlign w:val="center"/>
          </w:tcPr>
          <w:p>
            <w:pPr>
              <w:autoSpaceDE w:val="0"/>
              <w:autoSpaceDN w:val="0"/>
              <w:adjustRightInd w:val="0"/>
              <w:snapToGrid w:val="0"/>
              <w:jc w:val="center"/>
              <w:rPr>
                <w:kern w:val="0"/>
                <w:szCs w:val="21"/>
              </w:rPr>
            </w:pPr>
            <w:r>
              <w:rPr>
                <w:kern w:val="0"/>
                <w:szCs w:val="21"/>
              </w:rPr>
              <w:t>规划及规划环境影响评价符合性分析</w:t>
            </w:r>
          </w:p>
        </w:tc>
        <w:tc>
          <w:tcPr>
            <w:tcW w:w="7394" w:type="dxa"/>
            <w:gridSpan w:val="4"/>
            <w:vAlign w:val="center"/>
          </w:tcPr>
          <w:p>
            <w:pPr>
              <w:pStyle w:val="68"/>
              <w:rPr>
                <w:rFonts w:ascii="Times New Roman" w:hAnsi="Times New Roman"/>
                <w:szCs w:val="24"/>
              </w:rPr>
            </w:pPr>
            <w:r>
              <w:rPr>
                <w:rFonts w:hint="eastAsia" w:ascii="Times New Roman" w:hAnsi="Times New Roman"/>
                <w:szCs w:val="24"/>
              </w:rPr>
              <w:t>本项目与靖边县经济技术开发区总体发展规划（2021-2035年）符合性分析见下表1-2。</w:t>
            </w:r>
          </w:p>
          <w:p>
            <w:pPr>
              <w:pStyle w:val="16"/>
              <w:ind w:firstLine="482"/>
              <w:jc w:val="center"/>
              <w:rPr>
                <w:rFonts w:ascii="Times New Roman" w:hAnsi="Times New Roman"/>
                <w:b/>
                <w:bCs/>
                <w:sz w:val="24"/>
              </w:rPr>
            </w:pPr>
            <w:r>
              <w:rPr>
                <w:rFonts w:hint="eastAsia" w:ascii="Times New Roman" w:hAnsi="Times New Roman"/>
                <w:b/>
                <w:bCs/>
                <w:sz w:val="24"/>
              </w:rPr>
              <w:t>表1-2  项目与靖边县经济技术开发区规划符合性分析表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
              <w:gridCol w:w="662"/>
              <w:gridCol w:w="3824"/>
              <w:gridCol w:w="1559"/>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1" w:type="dxa"/>
                  <w:gridSpan w:val="2"/>
                  <w:vAlign w:val="center"/>
                </w:tcPr>
                <w:p>
                  <w:pPr>
                    <w:adjustRightInd w:val="0"/>
                    <w:snapToGrid w:val="0"/>
                    <w:jc w:val="center"/>
                    <w:rPr>
                      <w:b/>
                      <w:bCs/>
                      <w:szCs w:val="21"/>
                    </w:rPr>
                  </w:pPr>
                  <w:r>
                    <w:rPr>
                      <w:b/>
                      <w:bCs/>
                      <w:szCs w:val="21"/>
                    </w:rPr>
                    <w:t>项目</w:t>
                  </w:r>
                </w:p>
              </w:tc>
              <w:tc>
                <w:tcPr>
                  <w:tcW w:w="3824" w:type="dxa"/>
                  <w:vAlign w:val="center"/>
                </w:tcPr>
                <w:p>
                  <w:pPr>
                    <w:adjustRightInd w:val="0"/>
                    <w:snapToGrid w:val="0"/>
                    <w:jc w:val="center"/>
                    <w:rPr>
                      <w:b/>
                      <w:bCs/>
                      <w:szCs w:val="21"/>
                    </w:rPr>
                  </w:pPr>
                  <w:r>
                    <w:rPr>
                      <w:b/>
                      <w:bCs/>
                      <w:szCs w:val="21"/>
                    </w:rPr>
                    <w:t>规划内容</w:t>
                  </w:r>
                </w:p>
              </w:tc>
              <w:tc>
                <w:tcPr>
                  <w:tcW w:w="1559" w:type="dxa"/>
                  <w:vAlign w:val="center"/>
                </w:tcPr>
                <w:p>
                  <w:pPr>
                    <w:adjustRightInd w:val="0"/>
                    <w:snapToGrid w:val="0"/>
                    <w:jc w:val="center"/>
                    <w:rPr>
                      <w:b/>
                      <w:bCs/>
                      <w:szCs w:val="21"/>
                    </w:rPr>
                  </w:pPr>
                  <w:r>
                    <w:rPr>
                      <w:b/>
                      <w:bCs/>
                      <w:szCs w:val="21"/>
                    </w:rPr>
                    <w:t>本项目情况</w:t>
                  </w:r>
                </w:p>
              </w:tc>
              <w:tc>
                <w:tcPr>
                  <w:tcW w:w="664" w:type="dxa"/>
                  <w:vAlign w:val="center"/>
                </w:tcPr>
                <w:p>
                  <w:pPr>
                    <w:adjustRightInd w:val="0"/>
                    <w:snapToGrid w:val="0"/>
                    <w:jc w:val="center"/>
                    <w:rPr>
                      <w:b/>
                      <w:bCs/>
                      <w:szCs w:val="21"/>
                    </w:rPr>
                  </w:pPr>
                  <w:r>
                    <w:rPr>
                      <w:b/>
                      <w:bCs/>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dxa"/>
                  <w:vMerge w:val="restart"/>
                  <w:vAlign w:val="center"/>
                </w:tcPr>
                <w:p>
                  <w:pPr>
                    <w:adjustRightInd w:val="0"/>
                    <w:snapToGrid w:val="0"/>
                    <w:jc w:val="center"/>
                    <w:rPr>
                      <w:szCs w:val="21"/>
                    </w:rPr>
                  </w:pPr>
                  <w:r>
                    <w:rPr>
                      <w:szCs w:val="21"/>
                    </w:rPr>
                    <w:t>园区规划</w:t>
                  </w:r>
                </w:p>
              </w:tc>
              <w:tc>
                <w:tcPr>
                  <w:tcW w:w="662" w:type="dxa"/>
                  <w:vAlign w:val="center"/>
                </w:tcPr>
                <w:p>
                  <w:pPr>
                    <w:adjustRightInd w:val="0"/>
                    <w:snapToGrid w:val="0"/>
                    <w:jc w:val="center"/>
                    <w:rPr>
                      <w:szCs w:val="21"/>
                    </w:rPr>
                  </w:pPr>
                  <w:r>
                    <w:rPr>
                      <w:szCs w:val="21"/>
                    </w:rPr>
                    <w:t>产业定位</w:t>
                  </w:r>
                </w:p>
              </w:tc>
              <w:tc>
                <w:tcPr>
                  <w:tcW w:w="3824" w:type="dxa"/>
                  <w:vAlign w:val="center"/>
                </w:tcPr>
                <w:p>
                  <w:pPr>
                    <w:adjustRightInd w:val="0"/>
                    <w:snapToGrid w:val="0"/>
                    <w:rPr>
                      <w:szCs w:val="21"/>
                    </w:rPr>
                  </w:pPr>
                  <w:r>
                    <w:rPr>
                      <w:rFonts w:hint="eastAsia"/>
                      <w:szCs w:val="21"/>
                    </w:rPr>
                    <w:t>为实现化工行业集聚发展，化工类项目主要布局在能源化工园的煤制油项目区、新材料及专用化学品区，榆能化CCUS 项目、DCC 下游资源综合利用项目布局在建成产业现状片区内；商贸物流园片区主要承接开发区所需原材料及大宗产品运输；创业创新园主要承接加工类项目。</w:t>
                  </w:r>
                </w:p>
              </w:tc>
              <w:tc>
                <w:tcPr>
                  <w:tcW w:w="1559" w:type="dxa"/>
                  <w:vAlign w:val="center"/>
                </w:tcPr>
                <w:p>
                  <w:pPr>
                    <w:adjustRightInd w:val="0"/>
                    <w:snapToGrid w:val="0"/>
                    <w:jc w:val="center"/>
                    <w:rPr>
                      <w:szCs w:val="21"/>
                      <w:highlight w:val="yellow"/>
                    </w:rPr>
                  </w:pPr>
                  <w:r>
                    <w:rPr>
                      <w:rFonts w:hint="eastAsia"/>
                      <w:szCs w:val="21"/>
                    </w:rPr>
                    <w:t>本项目为玄武岩纤维制品制造项目，位于</w:t>
                  </w:r>
                  <w:r>
                    <w:rPr>
                      <w:rFonts w:hint="eastAsia"/>
                      <w:sz w:val="24"/>
                    </w:rPr>
                    <w:t>靖边县经济开发区</w:t>
                  </w:r>
                  <w:r>
                    <w:rPr>
                      <w:rFonts w:hint="eastAsia"/>
                      <w:szCs w:val="21"/>
                    </w:rPr>
                    <w:t>创业创新园，符合园区产业定位方向。</w:t>
                  </w:r>
                </w:p>
              </w:tc>
              <w:tc>
                <w:tcPr>
                  <w:tcW w:w="664" w:type="dxa"/>
                  <w:vAlign w:val="center"/>
                </w:tcPr>
                <w:p>
                  <w:pPr>
                    <w:adjustRightInd w:val="0"/>
                    <w:snapToGrid w:val="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dxa"/>
                  <w:vMerge w:val="continue"/>
                  <w:vAlign w:val="center"/>
                </w:tcPr>
                <w:p>
                  <w:pPr>
                    <w:adjustRightInd w:val="0"/>
                    <w:snapToGrid w:val="0"/>
                    <w:jc w:val="center"/>
                    <w:rPr>
                      <w:szCs w:val="21"/>
                    </w:rPr>
                  </w:pPr>
                </w:p>
              </w:tc>
              <w:tc>
                <w:tcPr>
                  <w:tcW w:w="662" w:type="dxa"/>
                  <w:vAlign w:val="center"/>
                </w:tcPr>
                <w:p>
                  <w:pPr>
                    <w:adjustRightInd w:val="0"/>
                    <w:snapToGrid w:val="0"/>
                    <w:jc w:val="center"/>
                    <w:rPr>
                      <w:szCs w:val="21"/>
                    </w:rPr>
                  </w:pPr>
                  <w:r>
                    <w:rPr>
                      <w:rFonts w:hint="eastAsia"/>
                      <w:szCs w:val="21"/>
                    </w:rPr>
                    <w:t>功能定位</w:t>
                  </w:r>
                </w:p>
              </w:tc>
              <w:tc>
                <w:tcPr>
                  <w:tcW w:w="3824" w:type="dxa"/>
                  <w:vAlign w:val="center"/>
                </w:tcPr>
                <w:p>
                  <w:pPr>
                    <w:adjustRightInd w:val="0"/>
                    <w:snapToGrid w:val="0"/>
                    <w:rPr>
                      <w:szCs w:val="21"/>
                    </w:rPr>
                  </w:pPr>
                  <w:r>
                    <w:rPr>
                      <w:rFonts w:hint="eastAsia"/>
                      <w:szCs w:val="21"/>
                      <w:lang w:val="zh-CN"/>
                    </w:rPr>
                    <w:t>利用能源化工园产业基础，重点发展集群产业链，主要集中在四大领域即工程塑料及制品、功能膜材料、功能性纤维和可降解塑料。</w:t>
                  </w:r>
                </w:p>
              </w:tc>
              <w:tc>
                <w:tcPr>
                  <w:tcW w:w="1559" w:type="dxa"/>
                  <w:vAlign w:val="center"/>
                </w:tcPr>
                <w:p>
                  <w:pPr>
                    <w:adjustRightInd w:val="0"/>
                    <w:snapToGrid w:val="0"/>
                    <w:jc w:val="center"/>
                    <w:rPr>
                      <w:szCs w:val="21"/>
                    </w:rPr>
                  </w:pPr>
                  <w:r>
                    <w:rPr>
                      <w:rFonts w:hint="eastAsia"/>
                      <w:szCs w:val="21"/>
                    </w:rPr>
                    <w:t>项目为玄武岩纤维制品制造项目，复核功能定位。</w:t>
                  </w:r>
                </w:p>
              </w:tc>
              <w:tc>
                <w:tcPr>
                  <w:tcW w:w="664" w:type="dxa"/>
                  <w:vAlign w:val="center"/>
                </w:tcPr>
                <w:p>
                  <w:pPr>
                    <w:adjustRightInd w:val="0"/>
                    <w:snapToGrid w:val="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dxa"/>
                  <w:vMerge w:val="continue"/>
                  <w:vAlign w:val="center"/>
                </w:tcPr>
                <w:p>
                  <w:pPr>
                    <w:adjustRightInd w:val="0"/>
                    <w:snapToGrid w:val="0"/>
                    <w:jc w:val="center"/>
                    <w:rPr>
                      <w:szCs w:val="21"/>
                    </w:rPr>
                  </w:pPr>
                </w:p>
              </w:tc>
              <w:tc>
                <w:tcPr>
                  <w:tcW w:w="662" w:type="dxa"/>
                  <w:vAlign w:val="center"/>
                </w:tcPr>
                <w:p>
                  <w:pPr>
                    <w:adjustRightInd w:val="0"/>
                    <w:snapToGrid w:val="0"/>
                    <w:jc w:val="center"/>
                    <w:rPr>
                      <w:szCs w:val="21"/>
                    </w:rPr>
                  </w:pPr>
                  <w:r>
                    <w:rPr>
                      <w:rFonts w:hint="eastAsia"/>
                      <w:szCs w:val="21"/>
                    </w:rPr>
                    <w:t>规划范围</w:t>
                  </w:r>
                </w:p>
              </w:tc>
              <w:tc>
                <w:tcPr>
                  <w:tcW w:w="3824" w:type="dxa"/>
                  <w:vAlign w:val="center"/>
                </w:tcPr>
                <w:p>
                  <w:pPr>
                    <w:adjustRightInd w:val="0"/>
                    <w:snapToGrid w:val="0"/>
                    <w:rPr>
                      <w:szCs w:val="21"/>
                    </w:rPr>
                  </w:pPr>
                  <w:bookmarkStart w:id="5" w:name="_Hlk74905100"/>
                  <w:r>
                    <w:rPr>
                      <w:rFonts w:hint="eastAsia"/>
                    </w:rPr>
                    <w:t>靖边县经济技术开发区</w:t>
                  </w:r>
                  <w:bookmarkEnd w:id="5"/>
                  <w:r>
                    <w:rPr>
                      <w:rFonts w:hint="eastAsia"/>
                    </w:rPr>
                    <w:t>总规划面积约53.36 平方公里，最终形成“一区三园”发展模式。一区，即靖边县经济技术开发区；三园，即能源化工园、商贸物流园、创业创新园。</w:t>
                  </w:r>
                  <w:r>
                    <w:rPr>
                      <w:rFonts w:hint="eastAsia"/>
                      <w:szCs w:val="21"/>
                    </w:rPr>
                    <w:t>能源化工园规划面积32.40km</w:t>
                  </w:r>
                  <w:r>
                    <w:rPr>
                      <w:szCs w:val="21"/>
                      <w:vertAlign w:val="superscript"/>
                    </w:rPr>
                    <w:t>2</w:t>
                  </w:r>
                  <w:r>
                    <w:rPr>
                      <w:szCs w:val="21"/>
                    </w:rPr>
                    <w:t>，</w:t>
                  </w:r>
                  <w:r>
                    <w:rPr>
                      <w:rFonts w:hint="eastAsia"/>
                      <w:szCs w:val="21"/>
                    </w:rPr>
                    <w:t>商贸物流园规划面积14.03km</w:t>
                  </w:r>
                  <w:r>
                    <w:rPr>
                      <w:szCs w:val="21"/>
                      <w:vertAlign w:val="superscript"/>
                    </w:rPr>
                    <w:t>2</w:t>
                  </w:r>
                  <w:r>
                    <w:rPr>
                      <w:szCs w:val="21"/>
                    </w:rPr>
                    <w:t>，</w:t>
                  </w:r>
                  <w:r>
                    <w:rPr>
                      <w:rFonts w:hint="eastAsia"/>
                      <w:szCs w:val="21"/>
                    </w:rPr>
                    <w:t>北至纬六路，南至石化大道，西至经一路，东至蒙（西）华（中）铁路线，创业创新园规划面积6.90km</w:t>
                  </w:r>
                  <w:r>
                    <w:rPr>
                      <w:szCs w:val="21"/>
                      <w:vertAlign w:val="superscript"/>
                    </w:rPr>
                    <w:t>2</w:t>
                  </w:r>
                  <w:r>
                    <w:rPr>
                      <w:rFonts w:hint="eastAsia"/>
                      <w:szCs w:val="21"/>
                    </w:rPr>
                    <w:t>，北至靖杨一级公路和太中银铁路线，南至青银高速，西至包茂高速，东至浩吉铁路。</w:t>
                  </w:r>
                </w:p>
              </w:tc>
              <w:tc>
                <w:tcPr>
                  <w:tcW w:w="1559" w:type="dxa"/>
                  <w:vAlign w:val="center"/>
                </w:tcPr>
                <w:p>
                  <w:pPr>
                    <w:adjustRightInd w:val="0"/>
                    <w:snapToGrid w:val="0"/>
                    <w:jc w:val="center"/>
                    <w:rPr>
                      <w:szCs w:val="21"/>
                    </w:rPr>
                  </w:pPr>
                  <w:r>
                    <w:rPr>
                      <w:rFonts w:hint="eastAsia"/>
                      <w:szCs w:val="21"/>
                    </w:rPr>
                    <w:t>本项目位于靖边县经济技术开发区创业创新</w:t>
                  </w:r>
                  <w:r>
                    <w:rPr>
                      <w:rFonts w:hint="eastAsia"/>
                    </w:rPr>
                    <w:t>园</w:t>
                  </w:r>
                  <w:r>
                    <w:rPr>
                      <w:rFonts w:hint="eastAsia"/>
                      <w:szCs w:val="21"/>
                    </w:rPr>
                    <w:t>，位于规划划定范围内。</w:t>
                  </w:r>
                </w:p>
              </w:tc>
              <w:tc>
                <w:tcPr>
                  <w:tcW w:w="664" w:type="dxa"/>
                  <w:vAlign w:val="center"/>
                </w:tcPr>
                <w:p>
                  <w:pPr>
                    <w:adjustRightInd w:val="0"/>
                    <w:snapToGrid w:val="0"/>
                    <w:jc w:val="center"/>
                    <w:rPr>
                      <w:szCs w:val="21"/>
                    </w:rPr>
                  </w:pPr>
                  <w:r>
                    <w:rPr>
                      <w:rFonts w:hint="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dxa"/>
                  <w:vMerge w:val="continue"/>
                  <w:vAlign w:val="center"/>
                </w:tcPr>
                <w:p>
                  <w:pPr>
                    <w:adjustRightInd w:val="0"/>
                    <w:snapToGrid w:val="0"/>
                    <w:jc w:val="center"/>
                    <w:rPr>
                      <w:szCs w:val="21"/>
                    </w:rPr>
                  </w:pPr>
                </w:p>
              </w:tc>
              <w:tc>
                <w:tcPr>
                  <w:tcW w:w="662" w:type="dxa"/>
                  <w:vAlign w:val="center"/>
                </w:tcPr>
                <w:p>
                  <w:pPr>
                    <w:adjustRightInd w:val="0"/>
                    <w:snapToGrid w:val="0"/>
                    <w:jc w:val="center"/>
                    <w:rPr>
                      <w:szCs w:val="21"/>
                    </w:rPr>
                  </w:pPr>
                  <w:r>
                    <w:rPr>
                      <w:szCs w:val="21"/>
                    </w:rPr>
                    <w:t>规划</w:t>
                  </w:r>
                  <w:r>
                    <w:rPr>
                      <w:rFonts w:hint="eastAsia"/>
                      <w:szCs w:val="21"/>
                    </w:rPr>
                    <w:t>目标</w:t>
                  </w:r>
                </w:p>
              </w:tc>
              <w:tc>
                <w:tcPr>
                  <w:tcW w:w="3824" w:type="dxa"/>
                  <w:vAlign w:val="center"/>
                </w:tcPr>
                <w:p>
                  <w:pPr>
                    <w:adjustRightInd w:val="0"/>
                    <w:snapToGrid w:val="0"/>
                    <w:rPr>
                      <w:szCs w:val="21"/>
                      <w:lang w:val="zh-CN"/>
                    </w:rPr>
                  </w:pPr>
                  <w:r>
                    <w:rPr>
                      <w:rFonts w:hint="eastAsia"/>
                      <w:szCs w:val="21"/>
                      <w:lang w:val="zh-CN"/>
                    </w:rPr>
                    <w:t>靖边县经济技术开发区化工产业发展战略目标是坚持以提高发展质量和效益为中心，以创新驱动为引领，以重大龙头项目建设为支撑，深入推进供给侧结构性改革，优化产业布局，调整产业结构；深入落实陕西省护工产业安全生产转型给升级专项行动部署，抓抢国家级现代化煤化工示范区加快产业结构优化步伐加快难得机遇，发挥区域内煤/气/油综合利用效率，充分借助商贸物流园建成生产服务型及口岸服务型为一体的综合服务型物流园区的契机，通过创新驱动，最终实现打造陕西省乃至国内煤/气/油资源综合利用和化工产业高质量发展先行示范基地的战略目标。</w:t>
                  </w:r>
                </w:p>
                <w:p>
                  <w:pPr>
                    <w:adjustRightInd w:val="0"/>
                    <w:snapToGrid w:val="0"/>
                    <w:rPr>
                      <w:szCs w:val="21"/>
                    </w:rPr>
                  </w:pPr>
                </w:p>
              </w:tc>
              <w:tc>
                <w:tcPr>
                  <w:tcW w:w="1559" w:type="dxa"/>
                  <w:vAlign w:val="center"/>
                </w:tcPr>
                <w:p>
                  <w:pPr>
                    <w:adjustRightInd w:val="0"/>
                    <w:snapToGrid w:val="0"/>
                    <w:jc w:val="center"/>
                    <w:rPr>
                      <w:szCs w:val="21"/>
                    </w:rPr>
                  </w:pPr>
                  <w:r>
                    <w:rPr>
                      <w:rFonts w:hint="eastAsia"/>
                      <w:szCs w:val="21"/>
                    </w:rPr>
                    <w:t>本项目为玄武岩纤维制品制造项目，位于</w:t>
                  </w:r>
                  <w:r>
                    <w:rPr>
                      <w:rFonts w:hint="eastAsia"/>
                      <w:sz w:val="24"/>
                    </w:rPr>
                    <w:t>靖边县经济开发区</w:t>
                  </w:r>
                  <w:r>
                    <w:rPr>
                      <w:rFonts w:hint="eastAsia"/>
                      <w:szCs w:val="21"/>
                    </w:rPr>
                    <w:t>创业创新园，符合园区规划。</w:t>
                  </w:r>
                </w:p>
              </w:tc>
              <w:tc>
                <w:tcPr>
                  <w:tcW w:w="664" w:type="dxa"/>
                  <w:vAlign w:val="center"/>
                </w:tcPr>
                <w:p>
                  <w:pPr>
                    <w:adjustRightInd w:val="0"/>
                    <w:snapToGrid w:val="0"/>
                    <w:jc w:val="center"/>
                    <w:rPr>
                      <w:szCs w:val="21"/>
                    </w:rPr>
                  </w:pPr>
                  <w:r>
                    <w:rPr>
                      <w:rFonts w:hint="eastAsia"/>
                      <w:szCs w:val="21"/>
                    </w:rPr>
                    <w:t>符合</w:t>
                  </w:r>
                </w:p>
              </w:tc>
            </w:tr>
          </w:tbl>
          <w:p>
            <w:pPr>
              <w:spacing w:line="360" w:lineRule="auto"/>
              <w:ind w:firstLine="480" w:firstLineChars="200"/>
              <w:rPr>
                <w:kern w:val="0"/>
                <w:szCs w:val="21"/>
              </w:rPr>
            </w:pPr>
            <w:bookmarkStart w:id="6" w:name="_Ref530556559"/>
            <w:r>
              <w:rPr>
                <w:rFonts w:hint="eastAsia"/>
                <w:kern w:val="0"/>
                <w:sz w:val="24"/>
              </w:rPr>
              <w:t>综上所述，项目为玄武岩纤维及制品加工，位于靖边县经济技术开发区创业创新园，项目在园区的位置见附图5，项目建设符合靖边县经济技术开发区总体发展规划（202</w:t>
            </w:r>
            <w:r>
              <w:rPr>
                <w:kern w:val="0"/>
                <w:sz w:val="24"/>
              </w:rPr>
              <w:t>1-</w:t>
            </w:r>
            <w:r>
              <w:rPr>
                <w:rFonts w:hint="eastAsia"/>
                <w:kern w:val="0"/>
                <w:sz w:val="24"/>
              </w:rPr>
              <w:t>2035年）要求，项目已取得靖边县经济开发区管委会《关于同意年产1.5万吨/年玄武岩纤维及制品项目入区的批复》（靖政经开发【2022】57号），原则同意在靖边经开区创业创新园建设该项目。因此，项目建设符合靖边县经济技术开发区总体发展规划要求。</w:t>
            </w:r>
            <w:bookmarkEnd w:id="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6" w:type="dxa"/>
            <w:vAlign w:val="center"/>
          </w:tcPr>
          <w:p>
            <w:pPr>
              <w:autoSpaceDE w:val="0"/>
              <w:autoSpaceDN w:val="0"/>
              <w:adjustRightInd w:val="0"/>
              <w:snapToGrid w:val="0"/>
              <w:jc w:val="center"/>
              <w:rPr>
                <w:kern w:val="0"/>
                <w:szCs w:val="21"/>
              </w:rPr>
            </w:pPr>
            <w:r>
              <w:rPr>
                <w:kern w:val="0"/>
                <w:szCs w:val="21"/>
              </w:rPr>
              <w:t>其他符合性分析</w:t>
            </w:r>
          </w:p>
        </w:tc>
        <w:tc>
          <w:tcPr>
            <w:tcW w:w="7394" w:type="dxa"/>
            <w:gridSpan w:val="4"/>
            <w:vAlign w:val="center"/>
          </w:tcPr>
          <w:p>
            <w:pPr>
              <w:spacing w:line="360" w:lineRule="auto"/>
              <w:ind w:firstLine="422" w:firstLineChars="200"/>
              <w:rPr>
                <w:b/>
                <w:bCs/>
                <w:szCs w:val="21"/>
              </w:rPr>
            </w:pPr>
            <w:r>
              <w:rPr>
                <w:rFonts w:hint="eastAsia"/>
                <w:b/>
                <w:bCs/>
                <w:szCs w:val="21"/>
              </w:rPr>
              <w:t>1、项目由来</w:t>
            </w:r>
          </w:p>
          <w:p>
            <w:pPr>
              <w:adjustRightInd w:val="0"/>
              <w:snapToGrid w:val="0"/>
              <w:spacing w:line="336" w:lineRule="auto"/>
              <w:ind w:firstLine="480" w:firstLineChars="200"/>
              <w:rPr>
                <w:kern w:val="0"/>
                <w:sz w:val="24"/>
              </w:rPr>
            </w:pPr>
            <w:r>
              <w:rPr>
                <w:rFonts w:hint="eastAsia"/>
                <w:kern w:val="0"/>
                <w:sz w:val="24"/>
              </w:rPr>
              <w:t>玄武岩纤维是一种新型的无机纤维，是用火山爆发形成的玄武岩矿石在1450℃～1500℃高温熔融后，通过铂铑合金拉丝漏板高速拉制而成的连续纤维。它作为一种新型无机环保绿色高性能纤维材料，不仅强度高，而且还具有电绝缘、耐腐蚀、耐久性、弹性模量大，化学稳定性好，可在600℃甚至更高温度下服役等多种优异特点。其在诸多领域应用，在新型复合材料、摩擦材料、造船材料、隔热材料、汽车轻量化材料上应用大有市场；还可以在高温过滤织物材料以及国防、军工等多领域应用。</w:t>
            </w:r>
          </w:p>
          <w:p>
            <w:pPr>
              <w:adjustRightInd w:val="0"/>
              <w:snapToGrid w:val="0"/>
              <w:spacing w:line="336" w:lineRule="auto"/>
              <w:ind w:firstLine="480" w:firstLineChars="200"/>
              <w:rPr>
                <w:sz w:val="24"/>
              </w:rPr>
            </w:pPr>
            <w:r>
              <w:rPr>
                <w:rFonts w:hint="eastAsia"/>
                <w:sz w:val="24"/>
              </w:rPr>
              <w:t>陕西朔玄新材料有限公司拟在靖边县经济技术开发区创业创新园科技四路建设年产15000吨玄武岩纤维及制品项目，根据现场踏勘，项目目前正在进行部分厂房主体结构施工。</w:t>
            </w:r>
          </w:p>
          <w:p>
            <w:pPr>
              <w:adjustRightInd w:val="0"/>
              <w:snapToGrid w:val="0"/>
              <w:spacing w:line="360" w:lineRule="auto"/>
              <w:ind w:firstLine="480" w:firstLineChars="200"/>
              <w:rPr>
                <w:kern w:val="0"/>
                <w:sz w:val="24"/>
              </w:rPr>
            </w:pPr>
            <w:r>
              <w:rPr>
                <w:rFonts w:hint="eastAsia"/>
                <w:bCs/>
                <w:kern w:val="0"/>
                <w:sz w:val="24"/>
              </w:rPr>
              <w:t>根据《中华人民共和国环境影响评价法》、《建设项目环境保护管理条例》和《建设项目环境影响评价分类管理名录》等有关规定，项目属于</w:t>
            </w:r>
            <w:r>
              <w:rPr>
                <w:rFonts w:hint="eastAsia"/>
                <w:sz w:val="24"/>
              </w:rPr>
              <w:t>二十七、非金属矿物制品业 30——60.石墨及其他非金属矿物制品制造 309—其他</w:t>
            </w:r>
            <w:r>
              <w:rPr>
                <w:rFonts w:hint="eastAsia"/>
                <w:bCs/>
                <w:kern w:val="0"/>
                <w:sz w:val="24"/>
              </w:rPr>
              <w:t>，需编制环境影响报告表。陕西朔玄新材料有限公司委托我单位承担该</w:t>
            </w:r>
            <w:r>
              <w:rPr>
                <w:bCs/>
                <w:kern w:val="0"/>
                <w:sz w:val="24"/>
              </w:rPr>
              <w:t>项目</w:t>
            </w:r>
            <w:r>
              <w:rPr>
                <w:rFonts w:hint="eastAsia"/>
                <w:bCs/>
                <w:kern w:val="0"/>
                <w:sz w:val="24"/>
              </w:rPr>
              <w:t>环境影响评价工作。接受委托后，我公司组织技术人员进行了现场踏勘和资料收集工作，并根据环境影响评价技术导则的要求，编制完成了《年产15000吨玄武岩纤维及制品项目环境影响报告表》，供建设单位上报审批。</w:t>
            </w:r>
          </w:p>
          <w:p>
            <w:pPr>
              <w:spacing w:line="360" w:lineRule="auto"/>
              <w:ind w:firstLine="482" w:firstLineChars="200"/>
              <w:rPr>
                <w:b/>
                <w:bCs/>
                <w:sz w:val="24"/>
              </w:rPr>
            </w:pPr>
            <w:r>
              <w:rPr>
                <w:b/>
                <w:bCs/>
                <w:sz w:val="24"/>
              </w:rPr>
              <w:t>2</w:t>
            </w:r>
            <w:r>
              <w:rPr>
                <w:rFonts w:hint="eastAsia"/>
                <w:b/>
                <w:bCs/>
                <w:sz w:val="24"/>
              </w:rPr>
              <w:t>、产业政策符合性分析</w:t>
            </w:r>
          </w:p>
          <w:p>
            <w:pPr>
              <w:adjustRightInd w:val="0"/>
              <w:snapToGrid w:val="0"/>
              <w:spacing w:line="360" w:lineRule="auto"/>
              <w:ind w:firstLine="480" w:firstLineChars="200"/>
              <w:rPr>
                <w:kern w:val="0"/>
                <w:sz w:val="24"/>
              </w:rPr>
            </w:pPr>
            <w:r>
              <w:rPr>
                <w:rFonts w:hint="eastAsia"/>
                <w:kern w:val="0"/>
                <w:sz w:val="24"/>
              </w:rPr>
              <w:t>根据《产业结构调整指导目录（2019 年本）》，玄武岩纤维生产线属于鼓励类中“十二、建材：6、8 万吨/年及以上无碱玻璃纤维粗纱（单丝直径＞9 微米）池窑拉丝技术，5 万吨/年及以上无碱玻璃纤维细纱（单丝直径≤9 微米）池窑拉丝技术，超细、高强高模、耐碱、低介电、高硅氧、可降解、异形截面等高性能玻璃纤维及玻纤制品技术开发与生产；</w:t>
            </w:r>
            <w:r>
              <w:rPr>
                <w:rFonts w:hint="eastAsia"/>
                <w:b/>
                <w:kern w:val="0"/>
                <w:sz w:val="24"/>
              </w:rPr>
              <w:t>玄武岩纤维池窑拉丝技术</w:t>
            </w:r>
            <w:r>
              <w:rPr>
                <w:rFonts w:hint="eastAsia"/>
                <w:kern w:val="0"/>
                <w:sz w:val="24"/>
              </w:rPr>
              <w:t>；碳化硅纤维、复合纤维；航空航天、环保、海工、电工电子、交通、能源、建筑、物联网、畜牧养殖等领域用热塑性、热固性复合材料产品及其高效成型制备工艺和装备；树脂基复合材料废弃物回收利用技术与装备；20 万吨/年及以上矿物原料粉体加工生产线”。对照《市场准入负面清单（2021年版）》、《环境保护综合名录（2021 年版）》，项目不在其中禁止准入类及“高污染、高环境风险”产品名录内，同时，玄武岩纤维和电熔池窑无产业准入条件限制。因此，项目符合国家产业政策。</w:t>
            </w:r>
          </w:p>
          <w:p>
            <w:pPr>
              <w:autoSpaceDE w:val="0"/>
              <w:autoSpaceDN w:val="0"/>
              <w:adjustRightInd w:val="0"/>
              <w:snapToGrid w:val="0"/>
              <w:spacing w:line="360" w:lineRule="auto"/>
              <w:ind w:firstLine="482" w:firstLineChars="200"/>
              <w:rPr>
                <w:b/>
                <w:bCs/>
                <w:kern w:val="0"/>
                <w:sz w:val="24"/>
              </w:rPr>
            </w:pPr>
            <w:r>
              <w:rPr>
                <w:rFonts w:hint="eastAsia"/>
                <w:b/>
                <w:bCs/>
                <w:kern w:val="0"/>
                <w:sz w:val="24"/>
              </w:rPr>
              <w:t>3、相关环境管理政策符合性分析</w:t>
            </w:r>
          </w:p>
          <w:p>
            <w:pPr>
              <w:adjustRightInd w:val="0"/>
              <w:snapToGrid w:val="0"/>
              <w:spacing w:line="360" w:lineRule="auto"/>
              <w:ind w:firstLine="480" w:firstLineChars="200"/>
              <w:rPr>
                <w:kern w:val="0"/>
                <w:sz w:val="24"/>
              </w:rPr>
            </w:pPr>
            <w:r>
              <w:rPr>
                <w:rFonts w:hint="eastAsia"/>
                <w:kern w:val="0"/>
                <w:sz w:val="24"/>
              </w:rPr>
              <w:t>项目与陕西省“两高”项目管理暂行目录对比见表1</w:t>
            </w:r>
            <w:r>
              <w:rPr>
                <w:kern w:val="0"/>
                <w:sz w:val="24"/>
              </w:rPr>
              <w:t>-3，与</w:t>
            </w:r>
            <w:r>
              <w:rPr>
                <w:rFonts w:hint="eastAsia"/>
                <w:kern w:val="0"/>
                <w:sz w:val="24"/>
              </w:rPr>
              <w:t>相关环境管理政策符合性分析见表1-</w:t>
            </w:r>
            <w:r>
              <w:rPr>
                <w:kern w:val="0"/>
                <w:sz w:val="24"/>
              </w:rPr>
              <w:t>3</w:t>
            </w:r>
            <w:r>
              <w:rPr>
                <w:rFonts w:hint="eastAsia"/>
                <w:kern w:val="0"/>
                <w:sz w:val="24"/>
              </w:rPr>
              <w:t>。</w:t>
            </w:r>
          </w:p>
          <w:p>
            <w:pPr>
              <w:jc w:val="center"/>
              <w:rPr>
                <w:b/>
                <w:bCs/>
              </w:rPr>
            </w:pPr>
            <w:r>
              <w:rPr>
                <w:rFonts w:hint="eastAsia"/>
                <w:b/>
                <w:bCs/>
              </w:rPr>
              <w:t>表</w:t>
            </w:r>
            <w:r>
              <w:rPr>
                <w:b/>
                <w:bCs/>
              </w:rPr>
              <w:t>1-3  项目与</w:t>
            </w:r>
            <w:r>
              <w:rPr>
                <w:rFonts w:hint="eastAsia"/>
                <w:b/>
                <w:bCs/>
              </w:rPr>
              <w:t>陕西省“两高”项目管理暂行目录</w:t>
            </w:r>
            <w:r>
              <w:rPr>
                <w:b/>
                <w:bCs/>
              </w:rPr>
              <w:t>（2022年版）对比表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46"/>
              <w:gridCol w:w="1687"/>
              <w:gridCol w:w="2127"/>
              <w:gridCol w:w="113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27" w:type="dxa"/>
                  <w:vMerge w:val="restart"/>
                  <w:vAlign w:val="center"/>
                </w:tcPr>
                <w:p>
                  <w:pPr>
                    <w:widowControl/>
                    <w:spacing w:line="300" w:lineRule="exact"/>
                    <w:jc w:val="center"/>
                    <w:textAlignment w:val="center"/>
                    <w:rPr>
                      <w:rFonts w:ascii="宋体" w:hAnsi="宋体"/>
                      <w:b/>
                      <w:bCs/>
                      <w:kern w:val="0"/>
                      <w:szCs w:val="21"/>
                    </w:rPr>
                  </w:pPr>
                  <w:r>
                    <w:rPr>
                      <w:rFonts w:hint="eastAsia" w:ascii="宋体" w:hAnsi="宋体"/>
                      <w:b/>
                      <w:bCs/>
                      <w:kern w:val="0"/>
                      <w:szCs w:val="21"/>
                    </w:rPr>
                    <w:t>序号</w:t>
                  </w:r>
                </w:p>
              </w:tc>
              <w:tc>
                <w:tcPr>
                  <w:tcW w:w="4660" w:type="dxa"/>
                  <w:gridSpan w:val="3"/>
                  <w:vAlign w:val="center"/>
                </w:tcPr>
                <w:p>
                  <w:pPr>
                    <w:spacing w:line="300" w:lineRule="exact"/>
                    <w:jc w:val="center"/>
                    <w:rPr>
                      <w:rFonts w:ascii="宋体" w:hAnsi="宋体"/>
                      <w:b/>
                      <w:bCs/>
                      <w:kern w:val="0"/>
                      <w:szCs w:val="21"/>
                    </w:rPr>
                  </w:pPr>
                  <w:r>
                    <w:rPr>
                      <w:rFonts w:hint="eastAsia" w:ascii="宋体" w:hAnsi="宋体"/>
                      <w:b/>
                      <w:bCs/>
                      <w:kern w:val="0"/>
                      <w:szCs w:val="21"/>
                    </w:rPr>
                    <w:t>国民经济行业分类及代码</w:t>
                  </w:r>
                </w:p>
              </w:tc>
              <w:tc>
                <w:tcPr>
                  <w:tcW w:w="1134" w:type="dxa"/>
                  <w:vMerge w:val="restart"/>
                  <w:vAlign w:val="center"/>
                </w:tcPr>
                <w:p>
                  <w:pPr>
                    <w:spacing w:line="300" w:lineRule="exact"/>
                    <w:jc w:val="center"/>
                    <w:rPr>
                      <w:rFonts w:ascii="宋体" w:hAnsi="宋体"/>
                      <w:b/>
                      <w:bCs/>
                      <w:kern w:val="0"/>
                      <w:szCs w:val="21"/>
                    </w:rPr>
                  </w:pPr>
                  <w:r>
                    <w:rPr>
                      <w:rFonts w:hint="eastAsia" w:ascii="宋体" w:hAnsi="宋体"/>
                      <w:b/>
                      <w:bCs/>
                      <w:kern w:val="0"/>
                      <w:szCs w:val="21"/>
                    </w:rPr>
                    <w:t>内容</w:t>
                  </w:r>
                </w:p>
              </w:tc>
              <w:tc>
                <w:tcPr>
                  <w:tcW w:w="947" w:type="dxa"/>
                  <w:vMerge w:val="restart"/>
                  <w:vAlign w:val="center"/>
                </w:tcPr>
                <w:p>
                  <w:pPr>
                    <w:spacing w:line="300" w:lineRule="exact"/>
                    <w:jc w:val="center"/>
                    <w:rPr>
                      <w:rFonts w:ascii="宋体" w:hAnsi="宋体"/>
                      <w:b/>
                      <w:bCs/>
                      <w:kern w:val="0"/>
                      <w:szCs w:val="21"/>
                    </w:rPr>
                  </w:pPr>
                  <w:r>
                    <w:rPr>
                      <w:rFonts w:hint="eastAsia" w:ascii="宋体" w:hAnsi="宋体"/>
                      <w:b/>
                      <w:bCs/>
                      <w:kern w:val="0"/>
                      <w:szCs w:val="21"/>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427" w:type="dxa"/>
                  <w:vMerge w:val="continue"/>
                  <w:vAlign w:val="center"/>
                </w:tcPr>
                <w:p>
                  <w:pPr>
                    <w:widowControl/>
                    <w:spacing w:line="300" w:lineRule="exact"/>
                    <w:jc w:val="center"/>
                    <w:textAlignment w:val="center"/>
                    <w:rPr>
                      <w:rFonts w:ascii="宋体" w:hAnsi="宋体"/>
                      <w:b/>
                      <w:bCs/>
                      <w:kern w:val="0"/>
                      <w:szCs w:val="21"/>
                    </w:rPr>
                  </w:pPr>
                </w:p>
              </w:tc>
              <w:tc>
                <w:tcPr>
                  <w:tcW w:w="846" w:type="dxa"/>
                  <w:vAlign w:val="center"/>
                </w:tcPr>
                <w:p>
                  <w:pPr>
                    <w:widowControl/>
                    <w:spacing w:line="300" w:lineRule="exact"/>
                    <w:jc w:val="center"/>
                    <w:textAlignment w:val="center"/>
                    <w:rPr>
                      <w:rFonts w:ascii="宋体" w:hAnsi="宋体"/>
                      <w:b/>
                      <w:bCs/>
                      <w:kern w:val="0"/>
                      <w:szCs w:val="21"/>
                    </w:rPr>
                  </w:pPr>
                  <w:r>
                    <w:rPr>
                      <w:rFonts w:hint="eastAsia" w:ascii="宋体" w:hAnsi="宋体"/>
                      <w:b/>
                      <w:bCs/>
                      <w:kern w:val="0"/>
                      <w:szCs w:val="21"/>
                    </w:rPr>
                    <w:t>大类</w:t>
                  </w:r>
                </w:p>
              </w:tc>
              <w:tc>
                <w:tcPr>
                  <w:tcW w:w="1687" w:type="dxa"/>
                  <w:vAlign w:val="center"/>
                </w:tcPr>
                <w:p>
                  <w:pPr>
                    <w:spacing w:line="300" w:lineRule="exact"/>
                    <w:jc w:val="center"/>
                    <w:rPr>
                      <w:rFonts w:ascii="宋体" w:hAnsi="宋体"/>
                      <w:b/>
                      <w:bCs/>
                      <w:kern w:val="0"/>
                      <w:szCs w:val="21"/>
                    </w:rPr>
                  </w:pPr>
                  <w:r>
                    <w:rPr>
                      <w:rFonts w:hint="eastAsia" w:ascii="宋体" w:hAnsi="宋体"/>
                      <w:b/>
                      <w:bCs/>
                      <w:kern w:val="0"/>
                      <w:szCs w:val="21"/>
                    </w:rPr>
                    <w:t>中类</w:t>
                  </w:r>
                </w:p>
              </w:tc>
              <w:tc>
                <w:tcPr>
                  <w:tcW w:w="2127" w:type="dxa"/>
                  <w:vAlign w:val="center"/>
                </w:tcPr>
                <w:p>
                  <w:pPr>
                    <w:spacing w:line="300" w:lineRule="exact"/>
                    <w:jc w:val="center"/>
                    <w:rPr>
                      <w:rFonts w:ascii="宋体" w:hAnsi="宋体"/>
                      <w:b/>
                      <w:bCs/>
                      <w:kern w:val="0"/>
                      <w:szCs w:val="21"/>
                    </w:rPr>
                  </w:pPr>
                  <w:r>
                    <w:rPr>
                      <w:rFonts w:hint="eastAsia" w:ascii="宋体" w:hAnsi="宋体"/>
                      <w:b/>
                      <w:bCs/>
                      <w:kern w:val="0"/>
                      <w:szCs w:val="21"/>
                    </w:rPr>
                    <w:t>小类</w:t>
                  </w:r>
                </w:p>
              </w:tc>
              <w:tc>
                <w:tcPr>
                  <w:tcW w:w="1134" w:type="dxa"/>
                  <w:vMerge w:val="continue"/>
                  <w:vAlign w:val="center"/>
                </w:tcPr>
                <w:p>
                  <w:pPr>
                    <w:spacing w:line="300" w:lineRule="exact"/>
                    <w:jc w:val="center"/>
                    <w:rPr>
                      <w:rFonts w:ascii="宋体" w:hAnsi="宋体"/>
                      <w:b/>
                      <w:bCs/>
                      <w:kern w:val="0"/>
                      <w:szCs w:val="21"/>
                    </w:rPr>
                  </w:pPr>
                </w:p>
              </w:tc>
              <w:tc>
                <w:tcPr>
                  <w:tcW w:w="947" w:type="dxa"/>
                  <w:vMerge w:val="continue"/>
                  <w:vAlign w:val="center"/>
                </w:tcPr>
                <w:p>
                  <w:pPr>
                    <w:spacing w:line="300" w:lineRule="exact"/>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27" w:type="dxa"/>
                  <w:vMerge w:val="restart"/>
                  <w:vAlign w:val="center"/>
                </w:tcPr>
                <w:p>
                  <w:pPr>
                    <w:widowControl/>
                    <w:spacing w:line="300" w:lineRule="exact"/>
                    <w:jc w:val="center"/>
                    <w:textAlignment w:val="center"/>
                    <w:rPr>
                      <w:rFonts w:ascii="宋体" w:hAnsi="宋体"/>
                      <w:kern w:val="0"/>
                      <w:szCs w:val="21"/>
                    </w:rPr>
                  </w:pPr>
                  <w:r>
                    <w:rPr>
                      <w:rFonts w:hint="eastAsia" w:ascii="宋体" w:hAnsi="宋体"/>
                      <w:kern w:val="0"/>
                      <w:szCs w:val="21"/>
                    </w:rPr>
                    <w:t>3</w:t>
                  </w:r>
                </w:p>
              </w:tc>
              <w:tc>
                <w:tcPr>
                  <w:tcW w:w="846" w:type="dxa"/>
                  <w:vMerge w:val="restart"/>
                  <w:vAlign w:val="center"/>
                </w:tcPr>
                <w:p>
                  <w:pPr>
                    <w:widowControl/>
                    <w:spacing w:line="300" w:lineRule="exact"/>
                    <w:jc w:val="center"/>
                    <w:textAlignment w:val="center"/>
                    <w:rPr>
                      <w:rFonts w:ascii="宋体" w:hAnsi="宋体"/>
                      <w:szCs w:val="21"/>
                    </w:rPr>
                  </w:pPr>
                  <w:r>
                    <w:rPr>
                      <w:rFonts w:hint="eastAsia" w:ascii="宋体" w:hAnsi="宋体"/>
                      <w:kern w:val="0"/>
                      <w:szCs w:val="21"/>
                    </w:rPr>
                    <w:t>非金属矿物制品业（30）</w:t>
                  </w:r>
                </w:p>
              </w:tc>
              <w:tc>
                <w:tcPr>
                  <w:tcW w:w="1687" w:type="dxa"/>
                  <w:vAlign w:val="center"/>
                </w:tcPr>
                <w:p>
                  <w:pPr>
                    <w:widowControl/>
                    <w:spacing w:line="300" w:lineRule="exact"/>
                    <w:jc w:val="center"/>
                    <w:textAlignment w:val="center"/>
                    <w:rPr>
                      <w:rFonts w:ascii="宋体" w:hAnsi="宋体"/>
                      <w:szCs w:val="21"/>
                    </w:rPr>
                  </w:pPr>
                  <w:r>
                    <w:rPr>
                      <w:rFonts w:hint="eastAsia" w:ascii="宋体" w:hAnsi="宋体"/>
                      <w:kern w:val="0"/>
                      <w:szCs w:val="21"/>
                    </w:rPr>
                    <w:t>水泥、石灰和石膏制造（301）</w:t>
                  </w:r>
                </w:p>
              </w:tc>
              <w:tc>
                <w:tcPr>
                  <w:tcW w:w="2127" w:type="dxa"/>
                  <w:vAlign w:val="center"/>
                </w:tcPr>
                <w:p>
                  <w:pPr>
                    <w:widowControl/>
                    <w:spacing w:line="300" w:lineRule="exact"/>
                    <w:jc w:val="center"/>
                    <w:textAlignment w:val="center"/>
                    <w:rPr>
                      <w:rFonts w:ascii="宋体" w:hAnsi="宋体"/>
                      <w:szCs w:val="21"/>
                    </w:rPr>
                  </w:pPr>
                  <w:r>
                    <w:rPr>
                      <w:rFonts w:hint="eastAsia" w:ascii="宋体" w:hAnsi="宋体"/>
                      <w:kern w:val="0"/>
                      <w:szCs w:val="21"/>
                    </w:rPr>
                    <w:t>水泥制造（3011）</w:t>
                  </w:r>
                </w:p>
              </w:tc>
              <w:tc>
                <w:tcPr>
                  <w:tcW w:w="1134" w:type="dxa"/>
                  <w:vAlign w:val="center"/>
                </w:tcPr>
                <w:p>
                  <w:pPr>
                    <w:widowControl/>
                    <w:spacing w:line="300" w:lineRule="exact"/>
                    <w:jc w:val="center"/>
                    <w:textAlignment w:val="center"/>
                    <w:rPr>
                      <w:rFonts w:ascii="宋体" w:hAnsi="宋体"/>
                      <w:szCs w:val="21"/>
                    </w:rPr>
                  </w:pPr>
                  <w:r>
                    <w:rPr>
                      <w:rFonts w:hint="eastAsia" w:ascii="宋体" w:hAnsi="宋体"/>
                      <w:szCs w:val="21"/>
                    </w:rPr>
                    <w:t>水泥熟料</w:t>
                  </w:r>
                </w:p>
              </w:tc>
              <w:tc>
                <w:tcPr>
                  <w:tcW w:w="947" w:type="dxa"/>
                  <w:vMerge w:val="restart"/>
                  <w:vAlign w:val="center"/>
                </w:tcPr>
                <w:p>
                  <w:pPr>
                    <w:widowControl/>
                    <w:spacing w:line="300" w:lineRule="exact"/>
                    <w:jc w:val="center"/>
                    <w:textAlignment w:val="center"/>
                    <w:rPr>
                      <w:rFonts w:ascii="宋体" w:hAnsi="宋体"/>
                      <w:szCs w:val="21"/>
                    </w:rPr>
                  </w:pPr>
                  <w:r>
                    <w:rPr>
                      <w:rFonts w:hint="eastAsia" w:ascii="宋体" w:hAnsi="宋体"/>
                      <w:szCs w:val="21"/>
                    </w:rPr>
                    <w:t>项目为纤维制品制造，不属于两高项目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27" w:type="dxa"/>
                  <w:vMerge w:val="continue"/>
                  <w:vAlign w:val="center"/>
                </w:tcPr>
                <w:p>
                  <w:pPr>
                    <w:spacing w:line="300" w:lineRule="exact"/>
                    <w:jc w:val="center"/>
                    <w:rPr>
                      <w:rFonts w:ascii="宋体" w:hAnsi="宋体"/>
                      <w:szCs w:val="21"/>
                    </w:rPr>
                  </w:pPr>
                </w:p>
              </w:tc>
              <w:tc>
                <w:tcPr>
                  <w:tcW w:w="846" w:type="dxa"/>
                  <w:vMerge w:val="continue"/>
                  <w:vAlign w:val="center"/>
                </w:tcPr>
                <w:p>
                  <w:pPr>
                    <w:spacing w:line="300" w:lineRule="exact"/>
                    <w:jc w:val="center"/>
                    <w:rPr>
                      <w:rFonts w:ascii="宋体" w:hAnsi="宋体"/>
                      <w:szCs w:val="21"/>
                    </w:rPr>
                  </w:pPr>
                </w:p>
              </w:tc>
              <w:tc>
                <w:tcPr>
                  <w:tcW w:w="1687" w:type="dxa"/>
                  <w:vAlign w:val="center"/>
                </w:tcPr>
                <w:p>
                  <w:pPr>
                    <w:widowControl/>
                    <w:spacing w:line="300" w:lineRule="exact"/>
                    <w:jc w:val="center"/>
                    <w:textAlignment w:val="center"/>
                    <w:rPr>
                      <w:rFonts w:ascii="宋体" w:hAnsi="宋体"/>
                      <w:szCs w:val="21"/>
                    </w:rPr>
                  </w:pPr>
                  <w:r>
                    <w:rPr>
                      <w:rFonts w:hint="eastAsia" w:ascii="宋体" w:hAnsi="宋体"/>
                      <w:kern w:val="0"/>
                      <w:szCs w:val="21"/>
                    </w:rPr>
                    <w:t>玻璃制造（304）</w:t>
                  </w:r>
                </w:p>
              </w:tc>
              <w:tc>
                <w:tcPr>
                  <w:tcW w:w="2127" w:type="dxa"/>
                  <w:vAlign w:val="center"/>
                </w:tcPr>
                <w:p>
                  <w:pPr>
                    <w:widowControl/>
                    <w:spacing w:line="300" w:lineRule="exact"/>
                    <w:jc w:val="center"/>
                    <w:textAlignment w:val="center"/>
                    <w:rPr>
                      <w:rFonts w:ascii="宋体" w:hAnsi="宋体"/>
                      <w:szCs w:val="21"/>
                    </w:rPr>
                  </w:pPr>
                  <w:r>
                    <w:rPr>
                      <w:rFonts w:hint="eastAsia" w:ascii="宋体" w:hAnsi="宋体"/>
                      <w:kern w:val="0"/>
                      <w:szCs w:val="21"/>
                    </w:rPr>
                    <w:t>平板玻璃制造（3041）</w:t>
                  </w:r>
                </w:p>
              </w:tc>
              <w:tc>
                <w:tcPr>
                  <w:tcW w:w="1134" w:type="dxa"/>
                  <w:vAlign w:val="center"/>
                </w:tcPr>
                <w:p>
                  <w:pPr>
                    <w:widowControl/>
                    <w:spacing w:line="300" w:lineRule="exact"/>
                    <w:jc w:val="center"/>
                    <w:textAlignment w:val="center"/>
                    <w:rPr>
                      <w:rFonts w:ascii="宋体" w:hAnsi="宋体"/>
                      <w:szCs w:val="21"/>
                    </w:rPr>
                  </w:pPr>
                  <w:r>
                    <w:rPr>
                      <w:rFonts w:hint="eastAsia" w:ascii="宋体" w:hAnsi="宋体"/>
                      <w:szCs w:val="21"/>
                    </w:rPr>
                    <w:t>平板玻璃</w:t>
                  </w:r>
                </w:p>
              </w:tc>
              <w:tc>
                <w:tcPr>
                  <w:tcW w:w="947" w:type="dxa"/>
                  <w:vMerge w:val="continue"/>
                  <w:vAlign w:val="center"/>
                </w:tcPr>
                <w:p>
                  <w:pPr>
                    <w:widowControl/>
                    <w:spacing w:line="300" w:lineRule="exact"/>
                    <w:jc w:val="center"/>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27" w:type="dxa"/>
                  <w:vMerge w:val="continue"/>
                  <w:vAlign w:val="center"/>
                </w:tcPr>
                <w:p>
                  <w:pPr>
                    <w:spacing w:line="300" w:lineRule="exact"/>
                    <w:jc w:val="center"/>
                    <w:rPr>
                      <w:rFonts w:ascii="宋体" w:hAnsi="宋体"/>
                      <w:szCs w:val="21"/>
                    </w:rPr>
                  </w:pPr>
                </w:p>
              </w:tc>
              <w:tc>
                <w:tcPr>
                  <w:tcW w:w="846" w:type="dxa"/>
                  <w:vMerge w:val="continue"/>
                  <w:vAlign w:val="center"/>
                </w:tcPr>
                <w:p>
                  <w:pPr>
                    <w:spacing w:line="300" w:lineRule="exact"/>
                    <w:jc w:val="center"/>
                    <w:rPr>
                      <w:rFonts w:ascii="宋体" w:hAnsi="宋体"/>
                      <w:szCs w:val="21"/>
                    </w:rPr>
                  </w:pPr>
                </w:p>
              </w:tc>
              <w:tc>
                <w:tcPr>
                  <w:tcW w:w="1687" w:type="dxa"/>
                  <w:vMerge w:val="restart"/>
                  <w:vAlign w:val="center"/>
                </w:tcPr>
                <w:p>
                  <w:pPr>
                    <w:widowControl/>
                    <w:spacing w:line="300" w:lineRule="exact"/>
                    <w:jc w:val="center"/>
                    <w:textAlignment w:val="center"/>
                    <w:rPr>
                      <w:rFonts w:ascii="宋体" w:hAnsi="宋体"/>
                      <w:szCs w:val="21"/>
                    </w:rPr>
                  </w:pPr>
                  <w:r>
                    <w:rPr>
                      <w:rFonts w:hint="eastAsia" w:ascii="宋体" w:hAnsi="宋体"/>
                      <w:kern w:val="0"/>
                      <w:szCs w:val="21"/>
                    </w:rPr>
                    <w:t>陶瓷制品制造（307）</w:t>
                  </w:r>
                </w:p>
              </w:tc>
              <w:tc>
                <w:tcPr>
                  <w:tcW w:w="2127" w:type="dxa"/>
                  <w:vAlign w:val="center"/>
                </w:tcPr>
                <w:p>
                  <w:pPr>
                    <w:widowControl/>
                    <w:spacing w:line="300" w:lineRule="exact"/>
                    <w:jc w:val="center"/>
                    <w:textAlignment w:val="center"/>
                    <w:rPr>
                      <w:rFonts w:ascii="宋体" w:hAnsi="宋体"/>
                      <w:szCs w:val="21"/>
                    </w:rPr>
                  </w:pPr>
                  <w:r>
                    <w:rPr>
                      <w:rFonts w:hint="eastAsia" w:ascii="宋体" w:hAnsi="宋体"/>
                      <w:kern w:val="0"/>
                      <w:szCs w:val="21"/>
                    </w:rPr>
                    <w:t>建筑陶瓷制品制造（3071）</w:t>
                  </w:r>
                </w:p>
              </w:tc>
              <w:tc>
                <w:tcPr>
                  <w:tcW w:w="1134" w:type="dxa"/>
                  <w:vAlign w:val="center"/>
                </w:tcPr>
                <w:p>
                  <w:pPr>
                    <w:widowControl/>
                    <w:spacing w:line="300" w:lineRule="exact"/>
                    <w:jc w:val="center"/>
                    <w:textAlignment w:val="center"/>
                    <w:rPr>
                      <w:rFonts w:ascii="宋体" w:hAnsi="宋体"/>
                      <w:szCs w:val="21"/>
                    </w:rPr>
                  </w:pPr>
                  <w:r>
                    <w:rPr>
                      <w:rFonts w:hint="eastAsia" w:ascii="宋体" w:hAnsi="宋体"/>
                      <w:szCs w:val="21"/>
                    </w:rPr>
                    <w:t>陶瓷砖</w:t>
                  </w:r>
                </w:p>
              </w:tc>
              <w:tc>
                <w:tcPr>
                  <w:tcW w:w="947" w:type="dxa"/>
                  <w:vMerge w:val="continue"/>
                  <w:vAlign w:val="center"/>
                </w:tcPr>
                <w:p>
                  <w:pPr>
                    <w:widowControl/>
                    <w:spacing w:line="300" w:lineRule="exact"/>
                    <w:jc w:val="center"/>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7" w:type="dxa"/>
                  <w:vMerge w:val="continue"/>
                  <w:vAlign w:val="center"/>
                </w:tcPr>
                <w:p>
                  <w:pPr>
                    <w:spacing w:line="300" w:lineRule="exact"/>
                    <w:jc w:val="center"/>
                    <w:rPr>
                      <w:rFonts w:ascii="宋体" w:hAnsi="宋体"/>
                      <w:szCs w:val="21"/>
                    </w:rPr>
                  </w:pPr>
                </w:p>
              </w:tc>
              <w:tc>
                <w:tcPr>
                  <w:tcW w:w="846" w:type="dxa"/>
                  <w:vMerge w:val="continue"/>
                  <w:vAlign w:val="center"/>
                </w:tcPr>
                <w:p>
                  <w:pPr>
                    <w:spacing w:line="300" w:lineRule="exact"/>
                    <w:jc w:val="center"/>
                    <w:rPr>
                      <w:rFonts w:ascii="宋体" w:hAnsi="宋体"/>
                      <w:szCs w:val="21"/>
                    </w:rPr>
                  </w:pPr>
                </w:p>
              </w:tc>
              <w:tc>
                <w:tcPr>
                  <w:tcW w:w="1687" w:type="dxa"/>
                  <w:vMerge w:val="continue"/>
                  <w:vAlign w:val="center"/>
                </w:tcPr>
                <w:p>
                  <w:pPr>
                    <w:spacing w:line="300" w:lineRule="exact"/>
                    <w:jc w:val="center"/>
                    <w:rPr>
                      <w:rFonts w:ascii="宋体" w:hAnsi="宋体"/>
                      <w:szCs w:val="21"/>
                    </w:rPr>
                  </w:pPr>
                </w:p>
              </w:tc>
              <w:tc>
                <w:tcPr>
                  <w:tcW w:w="2127" w:type="dxa"/>
                  <w:vAlign w:val="center"/>
                </w:tcPr>
                <w:p>
                  <w:pPr>
                    <w:spacing w:line="300" w:lineRule="exact"/>
                    <w:jc w:val="center"/>
                    <w:rPr>
                      <w:rFonts w:ascii="宋体" w:hAnsi="宋体"/>
                      <w:szCs w:val="21"/>
                    </w:rPr>
                  </w:pPr>
                  <w:r>
                    <w:rPr>
                      <w:rFonts w:hint="eastAsia" w:ascii="宋体" w:hAnsi="宋体"/>
                      <w:kern w:val="0"/>
                      <w:szCs w:val="21"/>
                    </w:rPr>
                    <w:t>卫生陶瓷制品制造（3072）</w:t>
                  </w:r>
                </w:p>
              </w:tc>
              <w:tc>
                <w:tcPr>
                  <w:tcW w:w="1134" w:type="dxa"/>
                  <w:vAlign w:val="center"/>
                </w:tcPr>
                <w:p>
                  <w:pPr>
                    <w:spacing w:line="300" w:lineRule="exact"/>
                    <w:jc w:val="center"/>
                    <w:rPr>
                      <w:rFonts w:ascii="宋体" w:hAnsi="宋体"/>
                      <w:szCs w:val="21"/>
                    </w:rPr>
                  </w:pPr>
                  <w:r>
                    <w:rPr>
                      <w:rFonts w:hint="eastAsia" w:ascii="宋体" w:hAnsi="宋体"/>
                      <w:kern w:val="0"/>
                      <w:szCs w:val="21"/>
                    </w:rPr>
                    <w:t>卫生陶瓷</w:t>
                  </w:r>
                </w:p>
              </w:tc>
              <w:tc>
                <w:tcPr>
                  <w:tcW w:w="947" w:type="dxa"/>
                  <w:vMerge w:val="continue"/>
                  <w:vAlign w:val="center"/>
                </w:tcPr>
                <w:p>
                  <w:pPr>
                    <w:spacing w:line="300" w:lineRule="exact"/>
                    <w:jc w:val="center"/>
                    <w:rPr>
                      <w:rFonts w:ascii="宋体" w:hAnsi="宋体"/>
                      <w:kern w:val="0"/>
                      <w:szCs w:val="21"/>
                    </w:rPr>
                  </w:pPr>
                </w:p>
              </w:tc>
            </w:tr>
          </w:tbl>
          <w:p>
            <w:pPr>
              <w:jc w:val="center"/>
              <w:rPr>
                <w:b/>
                <w:bCs/>
              </w:rPr>
            </w:pPr>
            <w:r>
              <w:rPr>
                <w:rFonts w:hint="eastAsia"/>
                <w:b/>
                <w:bCs/>
              </w:rPr>
              <w:t>表</w:t>
            </w:r>
            <w:r>
              <w:rPr>
                <w:b/>
                <w:bCs/>
              </w:rPr>
              <w:t xml:space="preserve">1-4  </w:t>
            </w:r>
            <w:r>
              <w:rPr>
                <w:rFonts w:hint="eastAsia"/>
                <w:b/>
                <w:bCs/>
                <w:kern w:val="0"/>
                <w:szCs w:val="21"/>
              </w:rPr>
              <w:t>与相关环境管理政策</w:t>
            </w:r>
            <w:r>
              <w:rPr>
                <w:rFonts w:hint="eastAsia"/>
                <w:b/>
                <w:bCs/>
              </w:rPr>
              <w:t>相符性分析</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3711"/>
              <w:gridCol w:w="1566"/>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Align w:val="center"/>
                </w:tcPr>
                <w:p>
                  <w:pPr>
                    <w:spacing w:line="276" w:lineRule="auto"/>
                    <w:jc w:val="center"/>
                    <w:rPr>
                      <w:szCs w:val="21"/>
                    </w:rPr>
                  </w:pPr>
                  <w:r>
                    <w:rPr>
                      <w:rFonts w:hint="eastAsia"/>
                      <w:szCs w:val="21"/>
                    </w:rPr>
                    <w:t>规划</w:t>
                  </w:r>
                </w:p>
              </w:tc>
              <w:tc>
                <w:tcPr>
                  <w:tcW w:w="2588" w:type="pct"/>
                  <w:vAlign w:val="center"/>
                </w:tcPr>
                <w:p>
                  <w:pPr>
                    <w:spacing w:line="276" w:lineRule="auto"/>
                    <w:jc w:val="center"/>
                    <w:rPr>
                      <w:szCs w:val="21"/>
                    </w:rPr>
                  </w:pPr>
                  <w:r>
                    <w:rPr>
                      <w:rFonts w:hint="eastAsia"/>
                      <w:szCs w:val="21"/>
                    </w:rPr>
                    <w:t>规划内容</w:t>
                  </w:r>
                </w:p>
              </w:tc>
              <w:tc>
                <w:tcPr>
                  <w:tcW w:w="1092" w:type="pct"/>
                  <w:vAlign w:val="center"/>
                </w:tcPr>
                <w:p>
                  <w:pPr>
                    <w:spacing w:line="276" w:lineRule="auto"/>
                    <w:jc w:val="center"/>
                    <w:rPr>
                      <w:szCs w:val="21"/>
                    </w:rPr>
                  </w:pPr>
                  <w:r>
                    <w:rPr>
                      <w:rFonts w:hint="eastAsia"/>
                      <w:szCs w:val="21"/>
                    </w:rPr>
                    <w:t>项目情况</w:t>
                  </w:r>
                </w:p>
              </w:tc>
              <w:tc>
                <w:tcPr>
                  <w:tcW w:w="507" w:type="pct"/>
                  <w:vAlign w:val="center"/>
                </w:tcPr>
                <w:p>
                  <w:pPr>
                    <w:spacing w:line="276" w:lineRule="auto"/>
                    <w:jc w:val="center"/>
                    <w:rPr>
                      <w:szCs w:val="21"/>
                    </w:rPr>
                  </w:pPr>
                  <w:r>
                    <w:rPr>
                      <w:rFonts w:hint="eastAsia"/>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Merge w:val="restart"/>
                  <w:vAlign w:val="center"/>
                </w:tcPr>
                <w:p>
                  <w:pPr>
                    <w:spacing w:line="276" w:lineRule="auto"/>
                    <w:jc w:val="center"/>
                    <w:rPr>
                      <w:szCs w:val="21"/>
                    </w:rPr>
                  </w:pPr>
                  <w:r>
                    <w:rPr>
                      <w:rFonts w:hint="eastAsia"/>
                      <w:bCs/>
                      <w:spacing w:val="-10"/>
                      <w:szCs w:val="21"/>
                    </w:rPr>
                    <w:t>工业炉窑大气污染综合治理方案（环大气[2019</w:t>
                  </w:r>
                  <w:r>
                    <w:rPr>
                      <w:bCs/>
                      <w:spacing w:val="-10"/>
                      <w:szCs w:val="21"/>
                    </w:rPr>
                    <w:t>]</w:t>
                  </w:r>
                  <w:r>
                    <w:rPr>
                      <w:rFonts w:hint="eastAsia"/>
                      <w:bCs/>
                      <w:spacing w:val="-10"/>
                      <w:szCs w:val="21"/>
                    </w:rPr>
                    <w:t>56号）</w:t>
                  </w:r>
                </w:p>
              </w:tc>
              <w:tc>
                <w:tcPr>
                  <w:tcW w:w="2588" w:type="pct"/>
                  <w:vAlign w:val="center"/>
                </w:tcPr>
                <w:p>
                  <w:pPr>
                    <w:spacing w:line="276" w:lineRule="auto"/>
                    <w:jc w:val="center"/>
                    <w:rPr>
                      <w:bCs/>
                      <w:szCs w:val="21"/>
                    </w:rPr>
                  </w:pPr>
                  <w:r>
                    <w:rPr>
                      <w:rFonts w:hint="eastAsia"/>
                      <w:bCs/>
                      <w:szCs w:val="21"/>
                    </w:rPr>
                    <w:t>新建涉工业炉窑的建设项目，原则上要入园区，配套建设高效环保治理设施。</w:t>
                  </w:r>
                </w:p>
              </w:tc>
              <w:tc>
                <w:tcPr>
                  <w:tcW w:w="1092" w:type="pct"/>
                  <w:vAlign w:val="center"/>
                </w:tcPr>
                <w:p>
                  <w:pPr>
                    <w:spacing w:line="276" w:lineRule="auto"/>
                    <w:jc w:val="center"/>
                    <w:rPr>
                      <w:bCs/>
                      <w:szCs w:val="21"/>
                    </w:rPr>
                  </w:pPr>
                  <w:r>
                    <w:rPr>
                      <w:rFonts w:hint="eastAsia"/>
                      <w:bCs/>
                      <w:szCs w:val="21"/>
                    </w:rPr>
                    <w:t>项目位于靖边经济开发区，采用全电熔池窑，配套有布袋除尘器</w:t>
                  </w:r>
                </w:p>
              </w:tc>
              <w:tc>
                <w:tcPr>
                  <w:tcW w:w="507" w:type="pct"/>
                  <w:vAlign w:val="center"/>
                </w:tcPr>
                <w:p>
                  <w:pPr>
                    <w:spacing w:line="276" w:lineRule="auto"/>
                    <w:jc w:val="center"/>
                  </w:pPr>
                  <w:r>
                    <w:rPr>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Merge w:val="continue"/>
                  <w:vAlign w:val="center"/>
                </w:tcPr>
                <w:p>
                  <w:pPr>
                    <w:spacing w:line="276" w:lineRule="auto"/>
                    <w:jc w:val="center"/>
                    <w:rPr>
                      <w:bCs/>
                      <w:spacing w:val="-10"/>
                      <w:szCs w:val="21"/>
                    </w:rPr>
                  </w:pPr>
                </w:p>
              </w:tc>
              <w:tc>
                <w:tcPr>
                  <w:tcW w:w="2588" w:type="pct"/>
                  <w:vAlign w:val="center"/>
                </w:tcPr>
                <w:p>
                  <w:pPr>
                    <w:spacing w:line="276" w:lineRule="auto"/>
                    <w:jc w:val="center"/>
                    <w:rPr>
                      <w:bCs/>
                      <w:szCs w:val="21"/>
                    </w:rPr>
                  </w:pPr>
                  <w:r>
                    <w:rPr>
                      <w:rFonts w:hint="eastAsia"/>
                      <w:bCs/>
                      <w:szCs w:val="21"/>
                    </w:rPr>
                    <w:t>加快燃料清洁低碳化替代。对以煤、石油焦、渣油、重油等为燃料的工业炉窑，加快使用清洁低碳能源以及利用工厂余热、电厂热力等进行替代。</w:t>
                  </w:r>
                </w:p>
              </w:tc>
              <w:tc>
                <w:tcPr>
                  <w:tcW w:w="1092" w:type="pct"/>
                  <w:vAlign w:val="center"/>
                </w:tcPr>
                <w:p>
                  <w:pPr>
                    <w:spacing w:line="276" w:lineRule="auto"/>
                    <w:jc w:val="center"/>
                    <w:rPr>
                      <w:bCs/>
                      <w:szCs w:val="21"/>
                    </w:rPr>
                  </w:pPr>
                  <w:r>
                    <w:rPr>
                      <w:rFonts w:hint="eastAsia"/>
                      <w:bCs/>
                      <w:szCs w:val="21"/>
                    </w:rPr>
                    <w:t>项目采用全电熔池窑，配套有布袋除尘器</w:t>
                  </w:r>
                </w:p>
              </w:tc>
              <w:tc>
                <w:tcPr>
                  <w:tcW w:w="507" w:type="pct"/>
                  <w:vAlign w:val="center"/>
                </w:tcPr>
                <w:p>
                  <w:pPr>
                    <w:spacing w:line="276" w:lineRule="auto"/>
                    <w:jc w:val="center"/>
                  </w:pPr>
                  <w:r>
                    <w:rPr>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Merge w:val="continue"/>
                  <w:vAlign w:val="center"/>
                </w:tcPr>
                <w:p>
                  <w:pPr>
                    <w:spacing w:line="276" w:lineRule="auto"/>
                    <w:jc w:val="center"/>
                    <w:rPr>
                      <w:bCs/>
                      <w:spacing w:val="-10"/>
                      <w:szCs w:val="21"/>
                    </w:rPr>
                  </w:pPr>
                </w:p>
              </w:tc>
              <w:tc>
                <w:tcPr>
                  <w:tcW w:w="2588" w:type="pct"/>
                  <w:vAlign w:val="center"/>
                </w:tcPr>
                <w:p>
                  <w:pPr>
                    <w:spacing w:line="276" w:lineRule="auto"/>
                    <w:jc w:val="center"/>
                    <w:rPr>
                      <w:bCs/>
                      <w:szCs w:val="21"/>
                    </w:rPr>
                  </w:pPr>
                  <w:r>
                    <w:rPr>
                      <w:rFonts w:hint="eastAsia"/>
                      <w:bCs/>
                      <w:szCs w:val="21"/>
                    </w:rPr>
                    <w:t>加快淘汰燃煤工业炉窑。重点区域取缔燃煤热风炉，基本淘汰热电联产供热管网覆盖范围内的燃煤加热、烘干炉（窑）。</w:t>
                  </w:r>
                </w:p>
              </w:tc>
              <w:tc>
                <w:tcPr>
                  <w:tcW w:w="1092" w:type="pct"/>
                  <w:vAlign w:val="center"/>
                </w:tcPr>
                <w:p>
                  <w:pPr>
                    <w:spacing w:line="276" w:lineRule="auto"/>
                    <w:jc w:val="center"/>
                    <w:rPr>
                      <w:bCs/>
                      <w:szCs w:val="21"/>
                    </w:rPr>
                  </w:pPr>
                  <w:r>
                    <w:rPr>
                      <w:rFonts w:hint="eastAsia"/>
                      <w:bCs/>
                      <w:szCs w:val="21"/>
                    </w:rPr>
                    <w:t>项目采用全电熔池窑，配套有布袋除尘器</w:t>
                  </w:r>
                </w:p>
              </w:tc>
              <w:tc>
                <w:tcPr>
                  <w:tcW w:w="507" w:type="pct"/>
                  <w:vAlign w:val="center"/>
                </w:tcPr>
                <w:p>
                  <w:pPr>
                    <w:spacing w:line="276" w:lineRule="auto"/>
                    <w:jc w:val="center"/>
                  </w:pPr>
                  <w:r>
                    <w:rPr>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Merge w:val="continue"/>
                  <w:vAlign w:val="center"/>
                </w:tcPr>
                <w:p>
                  <w:pPr>
                    <w:spacing w:line="276" w:lineRule="auto"/>
                    <w:jc w:val="center"/>
                    <w:rPr>
                      <w:bCs/>
                      <w:spacing w:val="-10"/>
                      <w:szCs w:val="21"/>
                    </w:rPr>
                  </w:pPr>
                </w:p>
              </w:tc>
              <w:tc>
                <w:tcPr>
                  <w:tcW w:w="2588" w:type="pct"/>
                  <w:vAlign w:val="center"/>
                </w:tcPr>
                <w:p>
                  <w:pPr>
                    <w:spacing w:line="276" w:lineRule="auto"/>
                    <w:jc w:val="center"/>
                    <w:rPr>
                      <w:bCs/>
                      <w:szCs w:val="21"/>
                    </w:rPr>
                  </w:pPr>
                  <w:r>
                    <w:rPr>
                      <w:rFonts w:hint="eastAsia"/>
                      <w:bCs/>
                      <w:szCs w:val="21"/>
                    </w:rPr>
                    <w:t>实施污染深度治理。推进工业炉窑全面达标排放。已有行业排放标准的工业炉窑，严格执行行业排放标准相关规定，配套建设高效脱硫脱硝除尘设施，确保稳定达标排放。重点区域原则上按照颗粒物、二氧化硫、氮氧化物排放限值分别不高于30、200、300毫克/立方米实施改造。</w:t>
                  </w:r>
                </w:p>
              </w:tc>
              <w:tc>
                <w:tcPr>
                  <w:tcW w:w="1092" w:type="pct"/>
                  <w:vAlign w:val="center"/>
                </w:tcPr>
                <w:p>
                  <w:pPr>
                    <w:spacing w:line="276" w:lineRule="auto"/>
                    <w:jc w:val="center"/>
                    <w:rPr>
                      <w:bCs/>
                      <w:szCs w:val="21"/>
                    </w:rPr>
                  </w:pPr>
                  <w:r>
                    <w:rPr>
                      <w:rFonts w:hint="eastAsia"/>
                      <w:bCs/>
                      <w:szCs w:val="21"/>
                    </w:rPr>
                    <w:t>项目采用全电熔池窑，配套有布袋除尘器，能满足标准要求</w:t>
                  </w:r>
                </w:p>
              </w:tc>
              <w:tc>
                <w:tcPr>
                  <w:tcW w:w="507" w:type="pct"/>
                  <w:vAlign w:val="center"/>
                </w:tcPr>
                <w:p>
                  <w:pPr>
                    <w:spacing w:line="276" w:lineRule="auto"/>
                    <w:jc w:val="center"/>
                  </w:pPr>
                  <w:r>
                    <w:rPr>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Merge w:val="continue"/>
                  <w:vAlign w:val="center"/>
                </w:tcPr>
                <w:p>
                  <w:pPr>
                    <w:spacing w:line="276" w:lineRule="auto"/>
                    <w:jc w:val="center"/>
                    <w:rPr>
                      <w:bCs/>
                      <w:spacing w:val="-10"/>
                      <w:szCs w:val="21"/>
                    </w:rPr>
                  </w:pPr>
                </w:p>
              </w:tc>
              <w:tc>
                <w:tcPr>
                  <w:tcW w:w="2588" w:type="pct"/>
                  <w:vAlign w:val="center"/>
                </w:tcPr>
                <w:p>
                  <w:pPr>
                    <w:spacing w:line="276" w:lineRule="auto"/>
                    <w:jc w:val="center"/>
                    <w:rPr>
                      <w:bCs/>
                      <w:szCs w:val="21"/>
                    </w:rPr>
                  </w:pPr>
                  <w:r>
                    <w:rPr>
                      <w:rFonts w:hint="eastAsia"/>
                      <w:bCs/>
                      <w:szCs w:val="21"/>
                    </w:rPr>
                    <w:t>全面加强无组织排放管理。严格控制工业炉窑生产工艺过程及相关物料储存、输送等无组织排放，在保障生产安全的前提下，采取密闭、封闭等有效措施，有效提高废气收集率，产尘点及车间不得有可见烟粉尘外逸。生产工艺产尘点（装置）应采取密闭、封闭或设置集气罩等措施。煤粉、粉煤灰、石灰、除尘灰、脱硫灰等粉状物料应密闭或封闭储存，采用密闭皮带、封闭通廊、管状带式输送机或密闭车厢、真空罐车、气力输送等方式输送。粒状、块状物料应采用入棚入仓或建设防风抑尘网等方式进行储存，粒状物料采用密闭、封闭等方式输送。物料输送过程中产尘点应采取有效抑尘措施。</w:t>
                  </w:r>
                </w:p>
              </w:tc>
              <w:tc>
                <w:tcPr>
                  <w:tcW w:w="1092" w:type="pct"/>
                  <w:vAlign w:val="center"/>
                </w:tcPr>
                <w:p>
                  <w:pPr>
                    <w:spacing w:line="276" w:lineRule="auto"/>
                    <w:jc w:val="center"/>
                    <w:rPr>
                      <w:bCs/>
                      <w:szCs w:val="21"/>
                    </w:rPr>
                  </w:pPr>
                  <w:r>
                    <w:rPr>
                      <w:rFonts w:hint="eastAsia"/>
                      <w:bCs/>
                      <w:szCs w:val="21"/>
                    </w:rPr>
                    <w:t>项目池窑生产过程处于密闭状态，加料通过管道直接输送至定量器，储存、输送等采取密闭措施</w:t>
                  </w:r>
                </w:p>
              </w:tc>
              <w:tc>
                <w:tcPr>
                  <w:tcW w:w="507" w:type="pct"/>
                  <w:vAlign w:val="center"/>
                </w:tcPr>
                <w:p>
                  <w:pPr>
                    <w:spacing w:line="276" w:lineRule="auto"/>
                    <w:jc w:val="center"/>
                  </w:pPr>
                  <w:r>
                    <w:rPr>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Merge w:val="restart"/>
                  <w:vAlign w:val="center"/>
                </w:tcPr>
                <w:p>
                  <w:pPr>
                    <w:spacing w:line="276" w:lineRule="auto"/>
                    <w:jc w:val="center"/>
                    <w:rPr>
                      <w:bCs/>
                      <w:spacing w:val="-10"/>
                      <w:szCs w:val="21"/>
                    </w:rPr>
                  </w:pPr>
                  <w:r>
                    <w:rPr>
                      <w:rFonts w:hint="eastAsia"/>
                      <w:bCs/>
                      <w:spacing w:val="-10"/>
                      <w:szCs w:val="21"/>
                    </w:rPr>
                    <w:t>《陕西省工业炉窑大气污染综合治理实施方案》（陕环函[2019]247号）</w:t>
                  </w:r>
                </w:p>
              </w:tc>
              <w:tc>
                <w:tcPr>
                  <w:tcW w:w="2588" w:type="pct"/>
                  <w:vAlign w:val="center"/>
                </w:tcPr>
                <w:p>
                  <w:pPr>
                    <w:spacing w:line="276" w:lineRule="auto"/>
                    <w:jc w:val="center"/>
                    <w:rPr>
                      <w:bCs/>
                      <w:szCs w:val="21"/>
                    </w:rPr>
                  </w:pPr>
                  <w:r>
                    <w:rPr>
                      <w:rFonts w:hint="eastAsia"/>
                      <w:bCs/>
                      <w:szCs w:val="21"/>
                    </w:rPr>
                    <w:t>严格新改扩建项目环境准入。新建涉工业炉窑的建设项目，原则上要入园区，配套建设高效环保治理设施。关中地区严格控制涉工业炉窑建设项目、严禁新增钢铁、焦化、电解铝、铸造、水泥和平板玻璃等产能。</w:t>
                  </w:r>
                </w:p>
              </w:tc>
              <w:tc>
                <w:tcPr>
                  <w:tcW w:w="1092" w:type="pct"/>
                  <w:vAlign w:val="center"/>
                </w:tcPr>
                <w:p>
                  <w:pPr>
                    <w:spacing w:line="276" w:lineRule="auto"/>
                    <w:jc w:val="center"/>
                    <w:rPr>
                      <w:bCs/>
                      <w:szCs w:val="21"/>
                    </w:rPr>
                  </w:pPr>
                  <w:r>
                    <w:rPr>
                      <w:rFonts w:hint="eastAsia"/>
                      <w:bCs/>
                      <w:szCs w:val="21"/>
                    </w:rPr>
                    <w:t>项目位于靖边经济开发区，采用全电熔池窑，配套有布袋除尘器</w:t>
                  </w:r>
                </w:p>
              </w:tc>
              <w:tc>
                <w:tcPr>
                  <w:tcW w:w="507" w:type="pct"/>
                  <w:vAlign w:val="center"/>
                </w:tcPr>
                <w:p>
                  <w:pPr>
                    <w:spacing w:line="276" w:lineRule="auto"/>
                    <w:jc w:val="center"/>
                  </w:pPr>
                  <w:r>
                    <w:rPr>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Merge w:val="continue"/>
                  <w:vAlign w:val="center"/>
                </w:tcPr>
                <w:p>
                  <w:pPr>
                    <w:spacing w:line="276" w:lineRule="auto"/>
                    <w:jc w:val="center"/>
                    <w:rPr>
                      <w:bCs/>
                      <w:spacing w:val="-10"/>
                      <w:szCs w:val="21"/>
                    </w:rPr>
                  </w:pPr>
                </w:p>
              </w:tc>
              <w:tc>
                <w:tcPr>
                  <w:tcW w:w="2588" w:type="pct"/>
                  <w:vAlign w:val="center"/>
                </w:tcPr>
                <w:p>
                  <w:pPr>
                    <w:spacing w:line="276" w:lineRule="auto"/>
                    <w:jc w:val="center"/>
                    <w:rPr>
                      <w:bCs/>
                      <w:szCs w:val="21"/>
                    </w:rPr>
                  </w:pPr>
                  <w:r>
                    <w:rPr>
                      <w:rFonts w:hint="eastAsia"/>
                      <w:bCs/>
                      <w:szCs w:val="21"/>
                    </w:rPr>
                    <w:t>加快燃料清洁低碳化替代。对以煤、石油焦、渣油、重油等为燃料的工业炉窑，加快使用清洁低碳能源以及利用工厂余热、电厂热力等进行替代。关中地区禁止掺烧高硫石油焦（硫含量大于3%）。</w:t>
                  </w:r>
                </w:p>
              </w:tc>
              <w:tc>
                <w:tcPr>
                  <w:tcW w:w="1092" w:type="pct"/>
                  <w:vAlign w:val="center"/>
                </w:tcPr>
                <w:p>
                  <w:pPr>
                    <w:spacing w:line="276" w:lineRule="auto"/>
                    <w:jc w:val="center"/>
                    <w:rPr>
                      <w:bCs/>
                      <w:szCs w:val="21"/>
                    </w:rPr>
                  </w:pPr>
                  <w:r>
                    <w:rPr>
                      <w:rFonts w:hint="eastAsia"/>
                      <w:bCs/>
                      <w:szCs w:val="21"/>
                    </w:rPr>
                    <w:t>采用全电熔池窑，配套有布袋除尘器</w:t>
                  </w:r>
                </w:p>
              </w:tc>
              <w:tc>
                <w:tcPr>
                  <w:tcW w:w="507" w:type="pct"/>
                  <w:vAlign w:val="center"/>
                </w:tcPr>
                <w:p>
                  <w:pPr>
                    <w:spacing w:line="276" w:lineRule="auto"/>
                    <w:jc w:val="center"/>
                  </w:pPr>
                  <w:r>
                    <w:rPr>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Merge w:val="continue"/>
                  <w:vAlign w:val="center"/>
                </w:tcPr>
                <w:p>
                  <w:pPr>
                    <w:spacing w:line="276" w:lineRule="auto"/>
                    <w:jc w:val="center"/>
                    <w:rPr>
                      <w:bCs/>
                      <w:spacing w:val="-10"/>
                      <w:szCs w:val="21"/>
                    </w:rPr>
                  </w:pPr>
                </w:p>
              </w:tc>
              <w:tc>
                <w:tcPr>
                  <w:tcW w:w="2588" w:type="pct"/>
                  <w:vAlign w:val="center"/>
                </w:tcPr>
                <w:p>
                  <w:pPr>
                    <w:spacing w:line="276" w:lineRule="auto"/>
                    <w:jc w:val="center"/>
                    <w:rPr>
                      <w:bCs/>
                      <w:szCs w:val="21"/>
                    </w:rPr>
                  </w:pPr>
                  <w:r>
                    <w:rPr>
                      <w:rFonts w:hint="eastAsia"/>
                      <w:bCs/>
                      <w:szCs w:val="21"/>
                    </w:rPr>
                    <w:t>加快淘汰燃煤工业炉窑。关中地区取缔燃煤热风炉，基本淘汰热电联产供热管网覆盖范围内的燃煤加热、烘干炉（窑）。</w:t>
                  </w:r>
                </w:p>
              </w:tc>
              <w:tc>
                <w:tcPr>
                  <w:tcW w:w="1092" w:type="pct"/>
                  <w:vAlign w:val="center"/>
                </w:tcPr>
                <w:p>
                  <w:pPr>
                    <w:spacing w:line="276" w:lineRule="auto"/>
                    <w:jc w:val="center"/>
                    <w:rPr>
                      <w:bCs/>
                      <w:szCs w:val="21"/>
                    </w:rPr>
                  </w:pPr>
                  <w:r>
                    <w:rPr>
                      <w:rFonts w:hint="eastAsia"/>
                      <w:bCs/>
                      <w:szCs w:val="21"/>
                    </w:rPr>
                    <w:t>采用全电熔池窑，配套有布袋除尘器</w:t>
                  </w:r>
                </w:p>
              </w:tc>
              <w:tc>
                <w:tcPr>
                  <w:tcW w:w="507" w:type="pct"/>
                  <w:vAlign w:val="center"/>
                </w:tcPr>
                <w:p>
                  <w:pPr>
                    <w:spacing w:line="276" w:lineRule="auto"/>
                    <w:jc w:val="center"/>
                  </w:pPr>
                  <w:r>
                    <w:rPr>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Merge w:val="continue"/>
                  <w:vAlign w:val="center"/>
                </w:tcPr>
                <w:p>
                  <w:pPr>
                    <w:spacing w:line="276" w:lineRule="auto"/>
                    <w:jc w:val="center"/>
                    <w:rPr>
                      <w:bCs/>
                      <w:spacing w:val="-10"/>
                      <w:szCs w:val="21"/>
                    </w:rPr>
                  </w:pPr>
                </w:p>
              </w:tc>
              <w:tc>
                <w:tcPr>
                  <w:tcW w:w="2588" w:type="pct"/>
                  <w:vAlign w:val="center"/>
                </w:tcPr>
                <w:p>
                  <w:pPr>
                    <w:spacing w:line="276" w:lineRule="auto"/>
                    <w:jc w:val="center"/>
                    <w:rPr>
                      <w:bCs/>
                      <w:szCs w:val="21"/>
                    </w:rPr>
                  </w:pPr>
                  <w:r>
                    <w:rPr>
                      <w:rFonts w:hint="eastAsia"/>
                      <w:bCs/>
                      <w:szCs w:val="21"/>
                    </w:rPr>
                    <w:t>实施污染深度治理。推进工业炉窑全面达标排放。已有行业排放标准的工业炉窑，严格执行行业排放标准相关规定，配套建设高效脱硫脱硝除尘设施，确保稳定达标排放。关中地区其他未涉及的行业原则上按照颗粒物、二氧化硫、氮氧化物排放限值分别不高于30、200、300毫克/立方米实施改造。</w:t>
                  </w:r>
                </w:p>
              </w:tc>
              <w:tc>
                <w:tcPr>
                  <w:tcW w:w="1092" w:type="pct"/>
                  <w:vAlign w:val="center"/>
                </w:tcPr>
                <w:p>
                  <w:pPr>
                    <w:spacing w:line="276" w:lineRule="auto"/>
                    <w:jc w:val="center"/>
                    <w:rPr>
                      <w:bCs/>
                      <w:szCs w:val="21"/>
                    </w:rPr>
                  </w:pPr>
                  <w:r>
                    <w:rPr>
                      <w:rFonts w:hint="eastAsia"/>
                      <w:bCs/>
                      <w:szCs w:val="21"/>
                    </w:rPr>
                    <w:t>采用全电熔池窑，配套有布袋除尘器，能满足标准要求</w:t>
                  </w:r>
                </w:p>
              </w:tc>
              <w:tc>
                <w:tcPr>
                  <w:tcW w:w="507" w:type="pct"/>
                  <w:vAlign w:val="center"/>
                </w:tcPr>
                <w:p>
                  <w:pPr>
                    <w:spacing w:line="276" w:lineRule="auto"/>
                    <w:jc w:val="center"/>
                  </w:pPr>
                  <w:r>
                    <w:rPr>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Merge w:val="continue"/>
                  <w:vAlign w:val="center"/>
                </w:tcPr>
                <w:p>
                  <w:pPr>
                    <w:spacing w:line="276" w:lineRule="auto"/>
                    <w:jc w:val="center"/>
                    <w:rPr>
                      <w:bCs/>
                      <w:spacing w:val="-10"/>
                      <w:szCs w:val="21"/>
                    </w:rPr>
                  </w:pPr>
                </w:p>
              </w:tc>
              <w:tc>
                <w:tcPr>
                  <w:tcW w:w="2588" w:type="pct"/>
                  <w:vAlign w:val="center"/>
                </w:tcPr>
                <w:p>
                  <w:pPr>
                    <w:spacing w:line="276" w:lineRule="auto"/>
                    <w:jc w:val="center"/>
                    <w:rPr>
                      <w:bCs/>
                      <w:szCs w:val="21"/>
                    </w:rPr>
                  </w:pPr>
                  <w:r>
                    <w:rPr>
                      <w:rFonts w:hint="eastAsia"/>
                      <w:bCs/>
                      <w:szCs w:val="21"/>
                    </w:rPr>
                    <w:t>全面加强无组织排放管理。严格控制工业炉窑生产工艺过程及相关物料储存、输送等无组织排放，在保障生产安全的前提下，采取密闭、封闭等有效措施，有效提高废气收集率，产尘点及车间不得有可见烟粉尘外逸。生产工艺产尘点（装置）应采取密闭、封闭或设置集气罩等措施。煤粉、粉煤灰、石灰、除尘灰、脱硫灰等粉状物料应密闭或封闭储存，采用密闭皮带、封闭通廊、管状带式输送机或密闭车厢、真空罐车、气力输送等方式输送。粒状、块状物料应采用入棚入仓或建设防风抑尘网等方式进行储存，粒状物料采用密闭、封闭等方式输送。物料输送过程中产尘点应采取有效抑尘措施。</w:t>
                  </w:r>
                </w:p>
              </w:tc>
              <w:tc>
                <w:tcPr>
                  <w:tcW w:w="1092" w:type="pct"/>
                  <w:vAlign w:val="center"/>
                </w:tcPr>
                <w:p>
                  <w:pPr>
                    <w:spacing w:line="276" w:lineRule="auto"/>
                    <w:jc w:val="center"/>
                    <w:rPr>
                      <w:bCs/>
                      <w:szCs w:val="21"/>
                    </w:rPr>
                  </w:pPr>
                  <w:r>
                    <w:rPr>
                      <w:rFonts w:hint="eastAsia"/>
                      <w:bCs/>
                      <w:szCs w:val="21"/>
                    </w:rPr>
                    <w:t>项目全电熔池窑生产过程处于密闭状态，加料通过管道直接输送至定量器，储存、输送等采取密闭措施</w:t>
                  </w:r>
                </w:p>
              </w:tc>
              <w:tc>
                <w:tcPr>
                  <w:tcW w:w="507" w:type="pct"/>
                  <w:vAlign w:val="center"/>
                </w:tcPr>
                <w:p>
                  <w:pPr>
                    <w:spacing w:line="276" w:lineRule="auto"/>
                    <w:jc w:val="center"/>
                  </w:pPr>
                  <w:r>
                    <w:rPr>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Align w:val="center"/>
                </w:tcPr>
                <w:p>
                  <w:pPr>
                    <w:jc w:val="center"/>
                    <w:rPr>
                      <w:rFonts w:ascii="宋体" w:hAnsi="宋体"/>
                      <w:szCs w:val="21"/>
                    </w:rPr>
                  </w:pPr>
                  <w:r>
                    <w:rPr>
                      <w:rFonts w:hint="eastAsia"/>
                      <w:szCs w:val="21"/>
                    </w:rPr>
                    <w:t>《</w:t>
                  </w:r>
                  <w:r>
                    <w:rPr>
                      <w:szCs w:val="21"/>
                    </w:rPr>
                    <w:t>挥发性有机物（VOCs）污染防治技术政策</w:t>
                  </w:r>
                  <w:r>
                    <w:rPr>
                      <w:rFonts w:hint="eastAsia"/>
                      <w:szCs w:val="21"/>
                    </w:rPr>
                    <w:t>》</w:t>
                  </w:r>
                </w:p>
              </w:tc>
              <w:tc>
                <w:tcPr>
                  <w:tcW w:w="2588" w:type="pct"/>
                  <w:vAlign w:val="center"/>
                </w:tcPr>
                <w:p>
                  <w:pPr>
                    <w:pStyle w:val="28"/>
                    <w:spacing w:before="0" w:after="0" w:line="240" w:lineRule="auto"/>
                    <w:ind w:right="0" w:firstLine="0" w:firstLineChars="0"/>
                    <w:jc w:val="center"/>
                    <w:rPr>
                      <w:kern w:val="2"/>
                      <w:sz w:val="21"/>
                      <w:szCs w:val="21"/>
                    </w:rPr>
                  </w:pPr>
                  <w:r>
                    <w:rPr>
                      <w:sz w:val="21"/>
                      <w:szCs w:val="21"/>
                    </w:rPr>
                    <w:t>（二十五）鼓励企业自行开展VOCs监测，并及时主动向当地环保行政主管部门报送监测结果。</w:t>
                  </w:r>
                </w:p>
              </w:tc>
              <w:tc>
                <w:tcPr>
                  <w:tcW w:w="1092" w:type="pct"/>
                  <w:vAlign w:val="center"/>
                </w:tcPr>
                <w:p>
                  <w:pPr>
                    <w:jc w:val="center"/>
                    <w:rPr>
                      <w:szCs w:val="21"/>
                    </w:rPr>
                  </w:pPr>
                  <w:r>
                    <w:rPr>
                      <w:kern w:val="0"/>
                      <w:szCs w:val="21"/>
                    </w:rPr>
                    <w:t>企业计划自行开展VOCs环境监测</w:t>
                  </w:r>
                  <w:r>
                    <w:rPr>
                      <w:rFonts w:hint="eastAsia"/>
                      <w:kern w:val="0"/>
                      <w:szCs w:val="21"/>
                    </w:rPr>
                    <w:t>。</w:t>
                  </w:r>
                </w:p>
              </w:tc>
              <w:tc>
                <w:tcPr>
                  <w:tcW w:w="507" w:type="pct"/>
                  <w:vAlign w:val="center"/>
                </w:tcPr>
                <w:p>
                  <w:pPr>
                    <w:jc w:val="center"/>
                    <w:rPr>
                      <w:szCs w:val="21"/>
                    </w:rPr>
                  </w:pPr>
                  <w:r>
                    <w:rPr>
                      <w:rFonts w:hint="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Align w:val="center"/>
                </w:tcPr>
                <w:p>
                  <w:pPr>
                    <w:spacing w:line="276" w:lineRule="auto"/>
                    <w:jc w:val="center"/>
                    <w:rPr>
                      <w:bCs/>
                      <w:spacing w:val="-10"/>
                      <w:szCs w:val="21"/>
                    </w:rPr>
                  </w:pPr>
                  <w:r>
                    <w:rPr>
                      <w:rFonts w:hint="eastAsia"/>
                      <w:bCs/>
                      <w:spacing w:val="-10"/>
                      <w:szCs w:val="21"/>
                    </w:rPr>
                    <w:t>《重点行业挥发性有机物综合治理方案》（环大气【2019】53号）</w:t>
                  </w:r>
                </w:p>
              </w:tc>
              <w:tc>
                <w:tcPr>
                  <w:tcW w:w="2588" w:type="pct"/>
                  <w:vAlign w:val="center"/>
                </w:tcPr>
                <w:p>
                  <w:pPr>
                    <w:spacing w:line="276" w:lineRule="auto"/>
                    <w:jc w:val="center"/>
                    <w:rPr>
                      <w:bCs/>
                      <w:szCs w:val="21"/>
                    </w:rPr>
                  </w:pPr>
                  <w:r>
                    <w:rPr>
                      <w:rFonts w:hint="eastAsia"/>
                      <w:bCs/>
                      <w:szCs w:val="21"/>
                    </w:rPr>
                    <w:t>推进建设适宜高效的治污设施。企业新建治污设施或对现有治污设施实施改造，应依据排放废气的浓度、组分、风量，温度、湿度、压力，以及生产工况等，合理选择治理技术。鼓励企业采用多种技术的组合工艺，提高VOCs治理效率。低浓度、大风量废气，宜采用沸石转轮吸附、活性炭吸附、减风增浓等浓缩技术，提高VOCs浓度后净化处理；采用一次性活性炭吸附技术的，应定期更换活性炭，废旧活性炭应再生或处理处置。有条件的工业园区和产业集群等，推广集中喷涂、溶剂集中回收、活性炭集中再生等，加强资源共享，提高VOCs治理效率。</w:t>
                  </w:r>
                </w:p>
              </w:tc>
              <w:tc>
                <w:tcPr>
                  <w:tcW w:w="1092" w:type="pct"/>
                  <w:vAlign w:val="center"/>
                </w:tcPr>
                <w:p>
                  <w:pPr>
                    <w:spacing w:line="276" w:lineRule="auto"/>
                    <w:jc w:val="center"/>
                    <w:rPr>
                      <w:bCs/>
                      <w:szCs w:val="21"/>
                    </w:rPr>
                  </w:pPr>
                  <w:r>
                    <w:rPr>
                      <w:rFonts w:hint="eastAsia"/>
                      <w:bCs/>
                      <w:szCs w:val="21"/>
                    </w:rPr>
                    <w:t>本项目部分固化过程中会产生少量的挥发性有机气体，浓度较低，采用活性炭吸附装置净化后通过1</w:t>
                  </w:r>
                  <w:r>
                    <w:rPr>
                      <w:bCs/>
                      <w:szCs w:val="21"/>
                    </w:rPr>
                    <w:t>5</w:t>
                  </w:r>
                  <w:r>
                    <w:rPr>
                      <w:rFonts w:hint="eastAsia"/>
                      <w:bCs/>
                      <w:szCs w:val="21"/>
                    </w:rPr>
                    <w:t>m高排气筒排放，活性炭定期更换，对周围环境影响较小。</w:t>
                  </w:r>
                </w:p>
              </w:tc>
              <w:tc>
                <w:tcPr>
                  <w:tcW w:w="507" w:type="pct"/>
                  <w:vAlign w:val="center"/>
                </w:tcPr>
                <w:p>
                  <w:pPr>
                    <w:spacing w:line="276" w:lineRule="auto"/>
                    <w:jc w:val="center"/>
                    <w:rPr>
                      <w:bCs/>
                      <w:szCs w:val="21"/>
                    </w:rPr>
                  </w:pPr>
                  <w:r>
                    <w:rPr>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Align w:val="center"/>
                </w:tcPr>
                <w:p>
                  <w:pPr>
                    <w:jc w:val="center"/>
                    <w:rPr>
                      <w:rFonts w:ascii="宋体" w:hAnsi="宋体"/>
                      <w:szCs w:val="21"/>
                    </w:rPr>
                  </w:pPr>
                  <w:r>
                    <w:rPr>
                      <w:szCs w:val="21"/>
                    </w:rPr>
                    <w:t>《陕西省人民政府办公厅关于印发“十四五”生态环境保护规划的通知》</w:t>
                  </w:r>
                </w:p>
              </w:tc>
              <w:tc>
                <w:tcPr>
                  <w:tcW w:w="2588" w:type="pct"/>
                  <w:vAlign w:val="center"/>
                </w:tcPr>
                <w:p>
                  <w:pPr>
                    <w:widowControl/>
                    <w:snapToGrid w:val="0"/>
                    <w:jc w:val="center"/>
                    <w:rPr>
                      <w:rFonts w:ascii="宋体" w:hAnsi="宋体"/>
                      <w:szCs w:val="21"/>
                    </w:rPr>
                  </w:pPr>
                  <w:r>
                    <w:rPr>
                      <w:rFonts w:hint="eastAsia" w:ascii="宋体" w:hAnsi="宋体"/>
                      <w:szCs w:val="21"/>
                    </w:rPr>
                    <w:t>针对储罐、装卸、敞开页面、动静密封点、废气收集治理、废气旁路、非正常工况等关键环节，对照相关行业排放标准及无组织排放控制要求，组织开展排放整治，确保稳定达标排放。</w:t>
                  </w:r>
                </w:p>
              </w:tc>
              <w:tc>
                <w:tcPr>
                  <w:tcW w:w="1092" w:type="pct"/>
                  <w:vAlign w:val="center"/>
                </w:tcPr>
                <w:p>
                  <w:pPr>
                    <w:widowControl/>
                    <w:snapToGrid w:val="0"/>
                    <w:jc w:val="center"/>
                    <w:rPr>
                      <w:szCs w:val="21"/>
                    </w:rPr>
                  </w:pPr>
                  <w:r>
                    <w:rPr>
                      <w:rFonts w:hint="eastAsia"/>
                      <w:szCs w:val="21"/>
                    </w:rPr>
                    <w:t>项目废气进行收集并采取治理措施，确保达标排放。</w:t>
                  </w:r>
                </w:p>
              </w:tc>
              <w:tc>
                <w:tcPr>
                  <w:tcW w:w="507" w:type="pct"/>
                  <w:vAlign w:val="center"/>
                </w:tcPr>
                <w:p>
                  <w:pPr>
                    <w:jc w:val="center"/>
                    <w:rPr>
                      <w:szCs w:val="21"/>
                    </w:rPr>
                  </w:pPr>
                  <w:r>
                    <w:rPr>
                      <w:rFonts w:hint="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Align w:val="center"/>
                </w:tcPr>
                <w:p>
                  <w:pPr>
                    <w:adjustRightInd w:val="0"/>
                    <w:spacing w:line="276" w:lineRule="auto"/>
                    <w:jc w:val="center"/>
                    <w:rPr>
                      <w:szCs w:val="21"/>
                    </w:rPr>
                  </w:pPr>
                  <w:r>
                    <w:rPr>
                      <w:rFonts w:hint="eastAsia"/>
                      <w:szCs w:val="21"/>
                    </w:rPr>
                    <w:t>中共榆林市委办公室榆林市人民政府办公室关于印发《榆林市2023年生态环境保护三十项攻坚行动方案》的通知（榆办字【2023】33号）</w:t>
                  </w:r>
                </w:p>
              </w:tc>
              <w:tc>
                <w:tcPr>
                  <w:tcW w:w="2588" w:type="pct"/>
                  <w:vAlign w:val="center"/>
                </w:tcPr>
                <w:p>
                  <w:pPr>
                    <w:adjustRightInd w:val="0"/>
                    <w:spacing w:line="276" w:lineRule="auto"/>
                    <w:jc w:val="center"/>
                    <w:rPr>
                      <w:szCs w:val="21"/>
                    </w:rPr>
                  </w:pPr>
                  <w:r>
                    <w:rPr>
                      <w:kern w:val="0"/>
                      <w:szCs w:val="21"/>
                    </w:rPr>
                    <w:t>建筑工地精细化管控行动。榆林中心城区和各县市区城区及周边所有建筑（道路工程、商砼站）施工做到工地周边围挡、物料裸土覆盖、土方开挖（拆迁）湿法作业、路面硬化、出入车辆清洗、渣土车辆密闭运输“六个百分之百”</w:t>
                  </w:r>
                  <w:r>
                    <w:rPr>
                      <w:rFonts w:hint="eastAsia"/>
                      <w:szCs w:val="21"/>
                    </w:rPr>
                    <w:t>:地基开挖、桩基施工、渣土运输等施工阶段，洒水、覆盖、冲洗等防尘措施持续进行;严格落实车辆出入工地清洗制度，严禁带泥上路，杜绝燃烧木柴、竹胶板及露天焚烧垃圾等;建筑工地场界建设喷淋设施、视频监控、扬尘在线监测系统并联网管理。严格执行“红黄绿”牌联席管理制度，纳入“黄牌”的限期整改，纳入“红牌”的依法停工整改，一年内两次纳入“红牌”的取消评选文明工地资格;城区施工工地禁止现场搅拌混凝土和砂浆。</w:t>
                  </w:r>
                </w:p>
              </w:tc>
              <w:tc>
                <w:tcPr>
                  <w:tcW w:w="1092" w:type="pct"/>
                  <w:vAlign w:val="center"/>
                </w:tcPr>
                <w:p>
                  <w:pPr>
                    <w:adjustRightInd w:val="0"/>
                    <w:snapToGrid w:val="0"/>
                    <w:spacing w:line="276" w:lineRule="auto"/>
                    <w:jc w:val="center"/>
                    <w:rPr>
                      <w:szCs w:val="21"/>
                    </w:rPr>
                  </w:pPr>
                  <w:r>
                    <w:rPr>
                      <w:kern w:val="0"/>
                      <w:szCs w:val="21"/>
                    </w:rPr>
                    <w:t>评价要求建设单位严格按照方案中各项扬尘控制措施进行施工，</w:t>
                  </w:r>
                  <w:r>
                    <w:rPr>
                      <w:szCs w:val="21"/>
                    </w:rPr>
                    <w:t>严格落实施工期措施要求</w:t>
                  </w:r>
                  <w:r>
                    <w:rPr>
                      <w:kern w:val="0"/>
                      <w:szCs w:val="21"/>
                    </w:rPr>
                    <w:t>减缓施工期扬尘污染</w:t>
                  </w:r>
                </w:p>
              </w:tc>
              <w:tc>
                <w:tcPr>
                  <w:tcW w:w="507" w:type="pct"/>
                  <w:vAlign w:val="center"/>
                </w:tcPr>
                <w:p>
                  <w:pPr>
                    <w:adjustRightInd w:val="0"/>
                    <w:spacing w:line="276" w:lineRule="auto"/>
                    <w:jc w:val="center"/>
                    <w:rPr>
                      <w:szCs w:val="21"/>
                    </w:rPr>
                  </w:pPr>
                  <w:r>
                    <w:rPr>
                      <w:rFonts w:hint="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2" w:type="pct"/>
                  <w:vAlign w:val="center"/>
                </w:tcPr>
                <w:p>
                  <w:pPr>
                    <w:adjustRightInd w:val="0"/>
                    <w:spacing w:line="276" w:lineRule="auto"/>
                    <w:jc w:val="center"/>
                    <w:rPr>
                      <w:szCs w:val="21"/>
                    </w:rPr>
                  </w:pPr>
                  <w:r>
                    <w:rPr>
                      <w:rFonts w:hint="eastAsia"/>
                      <w:szCs w:val="21"/>
                    </w:rPr>
                    <w:t>中共靖边县委办公室 靖边县人民政府办公室关于印发《靖边县2022年生态环境保护四十三项攻坚行动方案》的通知（靖办字〔2022〕17号）</w:t>
                  </w:r>
                </w:p>
              </w:tc>
              <w:tc>
                <w:tcPr>
                  <w:tcW w:w="2588" w:type="pct"/>
                  <w:vAlign w:val="center"/>
                </w:tcPr>
                <w:p>
                  <w:pPr>
                    <w:adjustRightInd w:val="0"/>
                    <w:spacing w:line="276" w:lineRule="auto"/>
                    <w:jc w:val="center"/>
                    <w:rPr>
                      <w:szCs w:val="21"/>
                    </w:rPr>
                  </w:pPr>
                  <w:r>
                    <w:rPr>
                      <w:rFonts w:hint="eastAsia"/>
                      <w:szCs w:val="21"/>
                    </w:rPr>
                    <w:t>建筑工地精细化管控行动。县城区及周边所有建筑(道路工程、商砼站)施工做到工地周边围挡、物料裸土覆盖、土方开挖(拆迁)湿法作业、路面硬化、出入车辆清洗、渣土车辆密闭运输“六个百分之百”:地基开挖、桩基施工、渣土运输等施工阶段，洒水、覆盖、冲洗等防尘措施持续进行;严格落实车辆出入工地清洗制度，严禁带泥上路，杜绝燃烧木柴、竹胶板及露天焚烧垃圾等;建筑工地场界建设喷淋设施、视频监控、扬尘在线监测系统并联网管理。严格执行“红黄绿”牌联席管理制度，纳入“黄牌”的限期整改，纳入“红牌”的依法停工整改，一年内两次纳入“红牌”的取消评选文明工地资格;城区施工工地禁止现场搅拌混凝土和砂浆。</w:t>
                  </w:r>
                </w:p>
              </w:tc>
              <w:tc>
                <w:tcPr>
                  <w:tcW w:w="1092" w:type="pct"/>
                  <w:vAlign w:val="center"/>
                </w:tcPr>
                <w:p>
                  <w:pPr>
                    <w:adjustRightInd w:val="0"/>
                    <w:spacing w:line="276" w:lineRule="auto"/>
                    <w:jc w:val="center"/>
                    <w:rPr>
                      <w:szCs w:val="21"/>
                    </w:rPr>
                  </w:pPr>
                  <w:r>
                    <w:rPr>
                      <w:kern w:val="0"/>
                      <w:szCs w:val="21"/>
                    </w:rPr>
                    <w:t>评价要求建设单位严格按照方案中各项扬尘控制措施进行施工，</w:t>
                  </w:r>
                  <w:r>
                    <w:rPr>
                      <w:szCs w:val="21"/>
                    </w:rPr>
                    <w:t>严格落实施工期措施要求</w:t>
                  </w:r>
                  <w:r>
                    <w:rPr>
                      <w:kern w:val="0"/>
                      <w:szCs w:val="21"/>
                    </w:rPr>
                    <w:t>减缓施工期扬尘污染</w:t>
                  </w:r>
                </w:p>
              </w:tc>
              <w:tc>
                <w:tcPr>
                  <w:tcW w:w="507" w:type="pct"/>
                  <w:vAlign w:val="center"/>
                </w:tcPr>
                <w:p>
                  <w:pPr>
                    <w:adjustRightInd w:val="0"/>
                    <w:spacing w:line="276" w:lineRule="auto"/>
                    <w:jc w:val="center"/>
                    <w:rPr>
                      <w:szCs w:val="21"/>
                    </w:rPr>
                  </w:pPr>
                  <w:r>
                    <w:rPr>
                      <w:rFonts w:hint="eastAsia"/>
                      <w:szCs w:val="21"/>
                    </w:rPr>
                    <w:t>符合</w:t>
                  </w:r>
                </w:p>
              </w:tc>
            </w:tr>
          </w:tbl>
          <w:p>
            <w:pPr>
              <w:spacing w:line="360" w:lineRule="auto"/>
              <w:ind w:firstLine="482" w:firstLineChars="200"/>
              <w:rPr>
                <w:b/>
                <w:bCs/>
                <w:sz w:val="24"/>
              </w:rPr>
            </w:pPr>
            <w:r>
              <w:rPr>
                <w:rFonts w:hint="eastAsia"/>
                <w:b/>
                <w:bCs/>
                <w:sz w:val="24"/>
              </w:rPr>
              <w:t>4、</w:t>
            </w:r>
            <w:r>
              <w:rPr>
                <w:b/>
                <w:bCs/>
                <w:sz w:val="24"/>
              </w:rPr>
              <w:t>“多规合一”控制线检测结果符合性分析</w:t>
            </w:r>
          </w:p>
          <w:p>
            <w:pPr>
              <w:spacing w:line="360" w:lineRule="auto"/>
              <w:ind w:firstLine="480" w:firstLineChars="200"/>
              <w:rPr>
                <w:sz w:val="24"/>
              </w:rPr>
            </w:pPr>
            <w:r>
              <w:rPr>
                <w:sz w:val="24"/>
              </w:rPr>
              <w:t>项目与榆林市投资项目“一张图”控制线检测报告结果符合性分析见表1-4，控制线检测报告见附件。</w:t>
            </w:r>
          </w:p>
          <w:p>
            <w:pPr>
              <w:pStyle w:val="107"/>
              <w:adjustRightInd w:val="0"/>
              <w:ind w:firstLine="0" w:firstLineChars="0"/>
              <w:jc w:val="center"/>
              <w:rPr>
                <w:b/>
                <w:sz w:val="24"/>
              </w:rPr>
            </w:pPr>
            <w:r>
              <w:rPr>
                <w:b/>
                <w:sz w:val="24"/>
              </w:rPr>
              <w:t>表1-4  项目与榆林市“多规合一”控制线检测符合性分析</w:t>
            </w:r>
          </w:p>
          <w:tbl>
            <w:tblPr>
              <w:tblStyle w:val="31"/>
              <w:tblW w:w="6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20"/>
              <w:gridCol w:w="3409"/>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0" w:type="dxa"/>
                  <w:vAlign w:val="center"/>
                </w:tcPr>
                <w:p>
                  <w:pPr>
                    <w:jc w:val="center"/>
                    <w:rPr>
                      <w:b/>
                      <w:kern w:val="21"/>
                      <w:szCs w:val="21"/>
                    </w:rPr>
                  </w:pPr>
                  <w:r>
                    <w:rPr>
                      <w:b/>
                      <w:kern w:val="21"/>
                      <w:szCs w:val="21"/>
                    </w:rPr>
                    <w:t>控制线名称</w:t>
                  </w:r>
                </w:p>
              </w:tc>
              <w:tc>
                <w:tcPr>
                  <w:tcW w:w="3409" w:type="dxa"/>
                  <w:vAlign w:val="center"/>
                </w:tcPr>
                <w:p>
                  <w:pPr>
                    <w:jc w:val="center"/>
                    <w:rPr>
                      <w:b/>
                      <w:kern w:val="21"/>
                      <w:szCs w:val="21"/>
                    </w:rPr>
                  </w:pPr>
                  <w:r>
                    <w:rPr>
                      <w:b/>
                      <w:kern w:val="21"/>
                      <w:szCs w:val="21"/>
                    </w:rPr>
                    <w:t>检测结果及意见</w:t>
                  </w:r>
                </w:p>
              </w:tc>
              <w:tc>
                <w:tcPr>
                  <w:tcW w:w="1874" w:type="dxa"/>
                  <w:vAlign w:val="center"/>
                </w:tcPr>
                <w:p>
                  <w:pPr>
                    <w:jc w:val="center"/>
                    <w:rPr>
                      <w:b/>
                      <w:kern w:val="21"/>
                      <w:szCs w:val="21"/>
                    </w:rPr>
                  </w:pPr>
                  <w:r>
                    <w:rPr>
                      <w:b/>
                      <w:kern w:val="21"/>
                      <w:szCs w:val="21"/>
                    </w:rPr>
                    <w:t>与本项目符合性分析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0" w:type="dxa"/>
                  <w:vAlign w:val="center"/>
                </w:tcPr>
                <w:p>
                  <w:pPr>
                    <w:jc w:val="center"/>
                    <w:rPr>
                      <w:kern w:val="21"/>
                      <w:szCs w:val="21"/>
                    </w:rPr>
                  </w:pPr>
                  <w:r>
                    <w:rPr>
                      <w:szCs w:val="21"/>
                    </w:rPr>
                    <w:t>建设用地管制区分析</w:t>
                  </w:r>
                </w:p>
              </w:tc>
              <w:tc>
                <w:tcPr>
                  <w:tcW w:w="3409" w:type="dxa"/>
                  <w:vAlign w:val="center"/>
                </w:tcPr>
                <w:p>
                  <w:pPr>
                    <w:jc w:val="left"/>
                    <w:rPr>
                      <w:kern w:val="21"/>
                      <w:szCs w:val="21"/>
                    </w:rPr>
                  </w:pPr>
                  <w:r>
                    <w:rPr>
                      <w:kern w:val="21"/>
                      <w:szCs w:val="21"/>
                    </w:rPr>
                    <w:t>其中占用允许建设用地区6.851公顷</w:t>
                  </w:r>
                </w:p>
              </w:tc>
              <w:tc>
                <w:tcPr>
                  <w:tcW w:w="1874" w:type="dxa"/>
                  <w:vMerge w:val="restart"/>
                  <w:vAlign w:val="center"/>
                </w:tcPr>
                <w:p>
                  <w:pPr>
                    <w:jc w:val="center"/>
                    <w:rPr>
                      <w:kern w:val="21"/>
                      <w:szCs w:val="21"/>
                    </w:rPr>
                  </w:pPr>
                  <w:r>
                    <w:rPr>
                      <w:rFonts w:hint="eastAsia"/>
                      <w:kern w:val="21"/>
                      <w:szCs w:val="21"/>
                    </w:rPr>
                    <w:t>项目位于工业园区，土地手续正在办理，符合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0" w:type="dxa"/>
                  <w:vAlign w:val="center"/>
                </w:tcPr>
                <w:p>
                  <w:pPr>
                    <w:jc w:val="center"/>
                    <w:rPr>
                      <w:szCs w:val="21"/>
                    </w:rPr>
                  </w:pPr>
                  <w:r>
                    <w:rPr>
                      <w:rFonts w:hint="eastAsia"/>
                      <w:szCs w:val="21"/>
                    </w:rPr>
                    <w:t>批地项目</w:t>
                  </w:r>
                </w:p>
              </w:tc>
              <w:tc>
                <w:tcPr>
                  <w:tcW w:w="3409" w:type="dxa"/>
                  <w:vAlign w:val="center"/>
                </w:tcPr>
                <w:p>
                  <w:pPr>
                    <w:jc w:val="left"/>
                    <w:rPr>
                      <w:kern w:val="21"/>
                      <w:szCs w:val="21"/>
                    </w:rPr>
                  </w:pPr>
                  <w:r>
                    <w:rPr>
                      <w:kern w:val="21"/>
                      <w:szCs w:val="21"/>
                    </w:rPr>
                    <w:t>占用</w:t>
                  </w:r>
                  <w:r>
                    <w:rPr>
                      <w:rFonts w:hint="eastAsia"/>
                      <w:kern w:val="21"/>
                      <w:szCs w:val="21"/>
                    </w:rPr>
                    <w:t>批地项目1.</w:t>
                  </w:r>
                  <w:r>
                    <w:rPr>
                      <w:kern w:val="21"/>
                      <w:szCs w:val="21"/>
                    </w:rPr>
                    <w:t>1556公顷</w:t>
                  </w:r>
                </w:p>
              </w:tc>
              <w:tc>
                <w:tcPr>
                  <w:tcW w:w="1874" w:type="dxa"/>
                  <w:vMerge w:val="continue"/>
                  <w:vAlign w:val="center"/>
                </w:tcPr>
                <w:p>
                  <w:pPr>
                    <w:jc w:val="center"/>
                    <w:rPr>
                      <w:kern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0" w:type="dxa"/>
                  <w:vAlign w:val="center"/>
                </w:tcPr>
                <w:p>
                  <w:pPr>
                    <w:jc w:val="center"/>
                    <w:rPr>
                      <w:szCs w:val="21"/>
                    </w:rPr>
                  </w:pPr>
                  <w:r>
                    <w:rPr>
                      <w:szCs w:val="21"/>
                    </w:rPr>
                    <w:t>土地用途区</w:t>
                  </w:r>
                </w:p>
              </w:tc>
              <w:tc>
                <w:tcPr>
                  <w:tcW w:w="3409" w:type="dxa"/>
                  <w:vAlign w:val="center"/>
                </w:tcPr>
                <w:p>
                  <w:pPr>
                    <w:jc w:val="center"/>
                    <w:rPr>
                      <w:szCs w:val="21"/>
                    </w:rPr>
                  </w:pPr>
                  <w:r>
                    <w:rPr>
                      <w:rFonts w:hint="eastAsia"/>
                      <w:szCs w:val="21"/>
                    </w:rPr>
                    <w:t>其中占用村镇建设用地区0.0431 公顷、占用城镇建设用地区6.8079 公顷</w:t>
                  </w:r>
                </w:p>
              </w:tc>
              <w:tc>
                <w:tcPr>
                  <w:tcW w:w="1874"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0" w:type="dxa"/>
                  <w:vAlign w:val="center"/>
                </w:tcPr>
                <w:p>
                  <w:pPr>
                    <w:jc w:val="center"/>
                    <w:rPr>
                      <w:szCs w:val="21"/>
                    </w:rPr>
                  </w:pPr>
                  <w:r>
                    <w:rPr>
                      <w:szCs w:val="21"/>
                    </w:rPr>
                    <w:t>土地利用现状20</w:t>
                  </w:r>
                  <w:r>
                    <w:rPr>
                      <w:rFonts w:hint="eastAsia"/>
                      <w:szCs w:val="21"/>
                    </w:rPr>
                    <w:t>20</w:t>
                  </w:r>
                  <w:r>
                    <w:rPr>
                      <w:szCs w:val="21"/>
                    </w:rPr>
                    <w:t>(</w:t>
                  </w:r>
                  <w:r>
                    <w:rPr>
                      <w:rFonts w:hint="eastAsia"/>
                      <w:szCs w:val="21"/>
                    </w:rPr>
                    <w:t>三</w:t>
                  </w:r>
                  <w:r>
                    <w:rPr>
                      <w:szCs w:val="21"/>
                    </w:rPr>
                    <w:t>调)</w:t>
                  </w:r>
                </w:p>
              </w:tc>
              <w:tc>
                <w:tcPr>
                  <w:tcW w:w="3409" w:type="dxa"/>
                  <w:vAlign w:val="center"/>
                </w:tcPr>
                <w:p>
                  <w:pPr>
                    <w:jc w:val="center"/>
                    <w:rPr>
                      <w:szCs w:val="21"/>
                    </w:rPr>
                  </w:pPr>
                  <w:r>
                    <w:rPr>
                      <w:rFonts w:hint="eastAsia"/>
                      <w:szCs w:val="21"/>
                    </w:rPr>
                    <w:t>其中占用林地0.1579 公顷、占用草地6.6931公顷。</w:t>
                  </w:r>
                </w:p>
              </w:tc>
              <w:tc>
                <w:tcPr>
                  <w:tcW w:w="1874" w:type="dxa"/>
                  <w:vMerge w:val="continue"/>
                  <w:vAlign w:val="center"/>
                </w:tcPr>
                <w:p>
                  <w:pPr>
                    <w:jc w:val="center"/>
                    <w:rPr>
                      <w:kern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0" w:type="dxa"/>
                  <w:vAlign w:val="center"/>
                </w:tcPr>
                <w:p>
                  <w:pPr>
                    <w:jc w:val="center"/>
                    <w:rPr>
                      <w:szCs w:val="21"/>
                    </w:rPr>
                  </w:pPr>
                  <w:r>
                    <w:rPr>
                      <w:szCs w:val="21"/>
                    </w:rPr>
                    <w:t>土地利用现状2018(二调)</w:t>
                  </w:r>
                </w:p>
              </w:tc>
              <w:tc>
                <w:tcPr>
                  <w:tcW w:w="3409" w:type="dxa"/>
                  <w:vAlign w:val="center"/>
                </w:tcPr>
                <w:p>
                  <w:pPr>
                    <w:jc w:val="center"/>
                    <w:rPr>
                      <w:szCs w:val="21"/>
                    </w:rPr>
                  </w:pPr>
                  <w:r>
                    <w:rPr>
                      <w:rFonts w:hint="eastAsia"/>
                      <w:szCs w:val="21"/>
                    </w:rPr>
                    <w:t>其中占用草地0.0423 公顷、占用城镇村及工矿用地6.8087 公顷。</w:t>
                  </w:r>
                </w:p>
              </w:tc>
              <w:tc>
                <w:tcPr>
                  <w:tcW w:w="1874"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0" w:type="dxa"/>
                  <w:vAlign w:val="center"/>
                </w:tcPr>
                <w:p>
                  <w:pPr>
                    <w:jc w:val="center"/>
                    <w:rPr>
                      <w:szCs w:val="21"/>
                    </w:rPr>
                  </w:pPr>
                  <w:r>
                    <w:rPr>
                      <w:szCs w:val="21"/>
                    </w:rPr>
                    <w:t>土地利用现状2009(二调)</w:t>
                  </w:r>
                </w:p>
              </w:tc>
              <w:tc>
                <w:tcPr>
                  <w:tcW w:w="3409" w:type="dxa"/>
                  <w:vAlign w:val="center"/>
                </w:tcPr>
                <w:p>
                  <w:pPr>
                    <w:jc w:val="center"/>
                    <w:rPr>
                      <w:szCs w:val="21"/>
                    </w:rPr>
                  </w:pPr>
                  <w:r>
                    <w:rPr>
                      <w:rFonts w:hint="eastAsia"/>
                      <w:szCs w:val="21"/>
                    </w:rPr>
                    <w:t>其中占用草地4.2719 公顷、占用林地2.5791公顷。</w:t>
                  </w:r>
                </w:p>
              </w:tc>
              <w:tc>
                <w:tcPr>
                  <w:tcW w:w="1874"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0" w:type="dxa"/>
                  <w:vAlign w:val="center"/>
                </w:tcPr>
                <w:p>
                  <w:pPr>
                    <w:jc w:val="center"/>
                    <w:rPr>
                      <w:szCs w:val="21"/>
                    </w:rPr>
                  </w:pPr>
                  <w:r>
                    <w:rPr>
                      <w:szCs w:val="21"/>
                    </w:rPr>
                    <w:t>矿</w:t>
                  </w:r>
                  <w:r>
                    <w:rPr>
                      <w:rFonts w:hint="eastAsia"/>
                      <w:szCs w:val="21"/>
                    </w:rPr>
                    <w:t>区</w:t>
                  </w:r>
                </w:p>
              </w:tc>
              <w:tc>
                <w:tcPr>
                  <w:tcW w:w="3409" w:type="dxa"/>
                  <w:vAlign w:val="center"/>
                </w:tcPr>
                <w:p>
                  <w:pPr>
                    <w:jc w:val="center"/>
                    <w:rPr>
                      <w:szCs w:val="21"/>
                    </w:rPr>
                  </w:pPr>
                  <w:r>
                    <w:rPr>
                      <w:szCs w:val="21"/>
                    </w:rPr>
                    <w:t>占用</w:t>
                  </w:r>
                  <w:r>
                    <w:rPr>
                      <w:rFonts w:hint="eastAsia"/>
                      <w:szCs w:val="21"/>
                    </w:rPr>
                    <w:t>矿区</w:t>
                  </w:r>
                  <w:r>
                    <w:rPr>
                      <w:kern w:val="21"/>
                      <w:szCs w:val="21"/>
                    </w:rPr>
                    <w:t>6.851</w:t>
                  </w:r>
                  <w:r>
                    <w:rPr>
                      <w:szCs w:val="21"/>
                    </w:rPr>
                    <w:t>公顷</w:t>
                  </w:r>
                </w:p>
              </w:tc>
              <w:tc>
                <w:tcPr>
                  <w:tcW w:w="1874"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0" w:type="dxa"/>
                  <w:vAlign w:val="center"/>
                </w:tcPr>
                <w:p>
                  <w:pPr>
                    <w:jc w:val="center"/>
                    <w:rPr>
                      <w:szCs w:val="21"/>
                    </w:rPr>
                  </w:pPr>
                  <w:r>
                    <w:rPr>
                      <w:szCs w:val="21"/>
                    </w:rPr>
                    <w:t>林业规划</w:t>
                  </w:r>
                </w:p>
              </w:tc>
              <w:tc>
                <w:tcPr>
                  <w:tcW w:w="3409" w:type="dxa"/>
                  <w:vAlign w:val="center"/>
                </w:tcPr>
                <w:p>
                  <w:pPr>
                    <w:jc w:val="center"/>
                    <w:rPr>
                      <w:szCs w:val="21"/>
                    </w:rPr>
                  </w:pPr>
                  <w:r>
                    <w:rPr>
                      <w:rFonts w:hint="eastAsia"/>
                      <w:szCs w:val="21"/>
                    </w:rPr>
                    <w:t>其中占用非林地6.851公顷。</w:t>
                  </w:r>
                </w:p>
              </w:tc>
              <w:tc>
                <w:tcPr>
                  <w:tcW w:w="1874" w:type="dxa"/>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0" w:type="dxa"/>
                  <w:vAlign w:val="center"/>
                </w:tcPr>
                <w:p>
                  <w:pPr>
                    <w:jc w:val="center"/>
                    <w:rPr>
                      <w:szCs w:val="21"/>
                    </w:rPr>
                  </w:pPr>
                  <w:r>
                    <w:rPr>
                      <w:szCs w:val="21"/>
                    </w:rPr>
                    <w:t>生态红线</w:t>
                  </w:r>
                </w:p>
              </w:tc>
              <w:tc>
                <w:tcPr>
                  <w:tcW w:w="3409" w:type="dxa"/>
                  <w:vAlign w:val="center"/>
                </w:tcPr>
                <w:p>
                  <w:pPr>
                    <w:jc w:val="center"/>
                    <w:rPr>
                      <w:szCs w:val="21"/>
                    </w:rPr>
                  </w:pPr>
                  <w:r>
                    <w:rPr>
                      <w:szCs w:val="21"/>
                    </w:rPr>
                    <w:t>不涉及</w:t>
                  </w:r>
                </w:p>
              </w:tc>
              <w:tc>
                <w:tcPr>
                  <w:tcW w:w="1874" w:type="dxa"/>
                  <w:vAlign w:val="center"/>
                </w:tcPr>
                <w:p>
                  <w:pPr>
                    <w:jc w:val="center"/>
                    <w:rPr>
                      <w:szCs w:val="21"/>
                    </w:rPr>
                  </w:pPr>
                  <w:r>
                    <w:rPr>
                      <w:szCs w:val="21"/>
                    </w:rPr>
                    <w:t>符合</w:t>
                  </w:r>
                </w:p>
              </w:tc>
            </w:tr>
          </w:tbl>
          <w:p>
            <w:pPr>
              <w:adjustRightInd w:val="0"/>
              <w:spacing w:line="360" w:lineRule="auto"/>
              <w:ind w:firstLine="480" w:firstLineChars="200"/>
              <w:rPr>
                <w:sz w:val="24"/>
              </w:rPr>
            </w:pPr>
            <w:r>
              <w:rPr>
                <w:sz w:val="24"/>
              </w:rPr>
              <w:t>根据榆林市投资项目选址“一张图”控制线报告结果分析，项目不涉及生态红线和林地，</w:t>
            </w:r>
            <w:r>
              <w:rPr>
                <w:rFonts w:hint="eastAsia"/>
                <w:sz w:val="24"/>
              </w:rPr>
              <w:t>土地用途为村镇及城镇建设用地，土地手续正在办理，因此，项目符合</w:t>
            </w:r>
            <w:r>
              <w:rPr>
                <w:sz w:val="24"/>
              </w:rPr>
              <w:t>榆林市投资项目“一张图”控制线</w:t>
            </w:r>
            <w:r>
              <w:rPr>
                <w:rFonts w:hint="eastAsia"/>
                <w:sz w:val="24"/>
              </w:rPr>
              <w:t>要求</w:t>
            </w:r>
            <w:r>
              <w:rPr>
                <w:sz w:val="24"/>
              </w:rPr>
              <w:t>。在严格实施环评提出的污染防治措施后，污染物可实现达标排放，对</w:t>
            </w:r>
            <w:r>
              <w:rPr>
                <w:rFonts w:hint="eastAsia"/>
                <w:sz w:val="24"/>
              </w:rPr>
              <w:t>周边</w:t>
            </w:r>
            <w:r>
              <w:rPr>
                <w:sz w:val="24"/>
              </w:rPr>
              <w:t>环境影响较小，本项目选址较为合理。</w:t>
            </w:r>
          </w:p>
          <w:p>
            <w:pPr>
              <w:adjustRightInd w:val="0"/>
              <w:spacing w:line="360" w:lineRule="auto"/>
              <w:ind w:firstLine="482" w:firstLineChars="200"/>
              <w:rPr>
                <w:b/>
                <w:bCs/>
                <w:kern w:val="0"/>
                <w:sz w:val="24"/>
              </w:rPr>
            </w:pPr>
            <w:r>
              <w:rPr>
                <w:b/>
                <w:bCs/>
                <w:kern w:val="0"/>
                <w:sz w:val="24"/>
              </w:rPr>
              <w:t>5</w:t>
            </w:r>
            <w:r>
              <w:rPr>
                <w:rFonts w:hint="eastAsia"/>
                <w:b/>
                <w:bCs/>
                <w:kern w:val="0"/>
                <w:sz w:val="24"/>
              </w:rPr>
              <w:t>、</w:t>
            </w:r>
            <w:r>
              <w:rPr>
                <w:b/>
                <w:bCs/>
                <w:kern w:val="0"/>
                <w:sz w:val="24"/>
              </w:rPr>
              <w:t>“三线一单”符合性分析</w:t>
            </w:r>
          </w:p>
          <w:p>
            <w:pPr>
              <w:spacing w:line="360" w:lineRule="auto"/>
              <w:ind w:firstLine="480" w:firstLineChars="200"/>
              <w:rPr>
                <w:sz w:val="24"/>
                <w:lang w:val="zh-CN"/>
              </w:rPr>
            </w:pPr>
            <w:r>
              <w:rPr>
                <w:rFonts w:hint="eastAsia"/>
                <w:kern w:val="0"/>
                <w:sz w:val="24"/>
              </w:rPr>
              <w:t>根据《榆林市“三线一单”生态环境分区管控方案》，项目位于重点管控单元，项目符合《榆林市“三线一单”生态环境分区管控方案》管控要求，相符性见表</w:t>
            </w:r>
            <w:r>
              <w:rPr>
                <w:kern w:val="0"/>
                <w:sz w:val="24"/>
              </w:rPr>
              <w:t xml:space="preserve"> 1-5</w:t>
            </w:r>
            <w:r>
              <w:rPr>
                <w:rFonts w:hint="eastAsia"/>
                <w:kern w:val="0"/>
                <w:sz w:val="24"/>
              </w:rPr>
              <w:t>，</w:t>
            </w:r>
            <w:r>
              <w:rPr>
                <w:rFonts w:hint="eastAsia" w:ascii="宋体" w:hAnsi="宋体"/>
                <w:sz w:val="24"/>
              </w:rPr>
              <w:t>项目与榆林市“三线一单”生态环境管控单元对照分析报告</w:t>
            </w:r>
            <w:r>
              <w:rPr>
                <w:rFonts w:hint="eastAsia"/>
                <w:kern w:val="0"/>
                <w:sz w:val="24"/>
              </w:rPr>
              <w:t>见附件</w:t>
            </w:r>
            <w:r>
              <w:rPr>
                <w:sz w:val="24"/>
                <w:lang w:val="zh-CN"/>
              </w:rPr>
              <w:t>。</w:t>
            </w:r>
          </w:p>
          <w:p>
            <w:pPr>
              <w:snapToGrid w:val="0"/>
              <w:spacing w:line="360" w:lineRule="auto"/>
              <w:jc w:val="center"/>
              <w:rPr>
                <w:rFonts w:eastAsia="黑体"/>
                <w:kern w:val="0"/>
                <w:szCs w:val="21"/>
              </w:rPr>
            </w:pPr>
            <w:r>
              <w:rPr>
                <w:b/>
                <w:bCs/>
                <w:snapToGrid w:val="0"/>
                <w:szCs w:val="21"/>
                <w:lang w:val="zh-CN"/>
              </w:rPr>
              <w:t>表</w:t>
            </w:r>
            <w:r>
              <w:rPr>
                <w:rFonts w:hint="eastAsia"/>
                <w:b/>
                <w:bCs/>
                <w:snapToGrid w:val="0"/>
                <w:szCs w:val="21"/>
                <w:lang w:val="zh-CN"/>
              </w:rPr>
              <w:t>1</w:t>
            </w:r>
            <w:r>
              <w:rPr>
                <w:b/>
                <w:bCs/>
                <w:snapToGrid w:val="0"/>
                <w:szCs w:val="21"/>
                <w:lang w:val="zh-CN"/>
              </w:rPr>
              <w:t>-5 项目与《榆林市“三线一单”生态环境分区管控方案》符合性分析</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004"/>
              <w:gridCol w:w="661"/>
              <w:gridCol w:w="652"/>
              <w:gridCol w:w="2401"/>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00" w:type="pct"/>
                  <w:vAlign w:val="center"/>
                </w:tcPr>
                <w:p>
                  <w:pPr>
                    <w:widowControl/>
                    <w:spacing w:line="240" w:lineRule="atLeast"/>
                    <w:jc w:val="center"/>
                    <w:textAlignment w:val="center"/>
                    <w:rPr>
                      <w:rFonts w:ascii="宋体" w:hAnsi="宋体" w:cs="宋体"/>
                      <w:kern w:val="0"/>
                      <w:szCs w:val="21"/>
                    </w:rPr>
                  </w:pPr>
                  <w:r>
                    <w:rPr>
                      <w:rFonts w:ascii="宋体" w:hAnsi="宋体" w:cs="宋体"/>
                      <w:kern w:val="0"/>
                      <w:szCs w:val="21"/>
                    </w:rPr>
                    <w:t>管控单元分类</w:t>
                  </w:r>
                </w:p>
              </w:tc>
              <w:tc>
                <w:tcPr>
                  <w:tcW w:w="700" w:type="pct"/>
                  <w:vAlign w:val="center"/>
                </w:tcPr>
                <w:p>
                  <w:pPr>
                    <w:widowControl/>
                    <w:spacing w:line="240" w:lineRule="atLeast"/>
                    <w:jc w:val="center"/>
                    <w:textAlignment w:val="center"/>
                    <w:rPr>
                      <w:rFonts w:ascii="宋体" w:hAnsi="宋体" w:cs="宋体"/>
                      <w:kern w:val="0"/>
                      <w:szCs w:val="21"/>
                    </w:rPr>
                  </w:pPr>
                  <w:r>
                    <w:rPr>
                      <w:rFonts w:ascii="宋体" w:hAnsi="宋体" w:cs="宋体"/>
                      <w:kern w:val="0"/>
                      <w:szCs w:val="21"/>
                    </w:rPr>
                    <w:t>管控面积（</w:t>
                  </w:r>
                  <w:r>
                    <w:rPr>
                      <w:kern w:val="0"/>
                      <w:szCs w:val="21"/>
                    </w:rPr>
                    <w:t>m</w:t>
                  </w:r>
                  <w:r>
                    <w:rPr>
                      <w:kern w:val="0"/>
                      <w:szCs w:val="21"/>
                      <w:vertAlign w:val="superscript"/>
                    </w:rPr>
                    <w:t>2</w:t>
                  </w:r>
                  <w:r>
                    <w:rPr>
                      <w:rFonts w:ascii="宋体" w:hAnsi="宋体" w:cs="宋体"/>
                      <w:kern w:val="0"/>
                      <w:szCs w:val="21"/>
                    </w:rPr>
                    <w:t>）</w:t>
                  </w:r>
                </w:p>
              </w:tc>
              <w:tc>
                <w:tcPr>
                  <w:tcW w:w="461" w:type="pct"/>
                  <w:vAlign w:val="center"/>
                </w:tcPr>
                <w:p>
                  <w:pPr>
                    <w:widowControl/>
                    <w:spacing w:line="240" w:lineRule="atLeast"/>
                    <w:jc w:val="center"/>
                    <w:textAlignment w:val="center"/>
                    <w:rPr>
                      <w:rFonts w:ascii="宋体" w:hAnsi="宋体" w:cs="宋体"/>
                      <w:kern w:val="0"/>
                      <w:szCs w:val="21"/>
                    </w:rPr>
                  </w:pPr>
                  <w:r>
                    <w:rPr>
                      <w:rFonts w:ascii="宋体" w:hAnsi="宋体" w:cs="宋体"/>
                      <w:kern w:val="0"/>
                      <w:szCs w:val="21"/>
                    </w:rPr>
                    <w:t>管控单元名称</w:t>
                  </w:r>
                </w:p>
              </w:tc>
              <w:tc>
                <w:tcPr>
                  <w:tcW w:w="455" w:type="pct"/>
                  <w:vAlign w:val="center"/>
                </w:tcPr>
                <w:p>
                  <w:pPr>
                    <w:widowControl/>
                    <w:spacing w:line="240" w:lineRule="atLeast"/>
                    <w:jc w:val="center"/>
                    <w:textAlignment w:val="center"/>
                    <w:rPr>
                      <w:rFonts w:ascii="宋体" w:hAnsi="宋体" w:cs="宋体"/>
                      <w:kern w:val="0"/>
                      <w:szCs w:val="21"/>
                    </w:rPr>
                  </w:pPr>
                  <w:r>
                    <w:rPr>
                      <w:rFonts w:ascii="宋体" w:hAnsi="宋体" w:cs="宋体"/>
                      <w:kern w:val="0"/>
                      <w:szCs w:val="21"/>
                    </w:rPr>
                    <w:t>要素细类</w:t>
                  </w:r>
                </w:p>
              </w:tc>
              <w:tc>
                <w:tcPr>
                  <w:tcW w:w="1675" w:type="pct"/>
                  <w:vAlign w:val="center"/>
                </w:tcPr>
                <w:p>
                  <w:pPr>
                    <w:widowControl/>
                    <w:spacing w:line="240" w:lineRule="atLeast"/>
                    <w:jc w:val="center"/>
                    <w:textAlignment w:val="center"/>
                    <w:rPr>
                      <w:rFonts w:ascii="宋体" w:hAnsi="宋体" w:cs="宋体"/>
                      <w:kern w:val="0"/>
                      <w:szCs w:val="21"/>
                    </w:rPr>
                  </w:pPr>
                  <w:r>
                    <w:rPr>
                      <w:rFonts w:ascii="宋体" w:hAnsi="宋体" w:cs="宋体"/>
                      <w:kern w:val="0"/>
                      <w:szCs w:val="21"/>
                    </w:rPr>
                    <w:t>管控要求</w:t>
                  </w:r>
                </w:p>
              </w:tc>
              <w:tc>
                <w:tcPr>
                  <w:tcW w:w="1209" w:type="pct"/>
                  <w:vAlign w:val="center"/>
                </w:tcPr>
                <w:p>
                  <w:pPr>
                    <w:widowControl/>
                    <w:spacing w:line="240" w:lineRule="atLeast"/>
                    <w:jc w:val="center"/>
                    <w:textAlignment w:val="center"/>
                    <w:rPr>
                      <w:rFonts w:ascii="宋体" w:hAnsi="宋体" w:cs="宋体"/>
                      <w:kern w:val="0"/>
                      <w:szCs w:val="21"/>
                    </w:rPr>
                  </w:pPr>
                  <w:r>
                    <w:rPr>
                      <w:rFonts w:ascii="宋体" w:hAnsi="宋体" w:cs="宋体"/>
                      <w:kern w:val="0"/>
                      <w:szCs w:val="21"/>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优先保护</w:t>
                  </w:r>
                </w:p>
              </w:tc>
              <w:tc>
                <w:tcPr>
                  <w:tcW w:w="700"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0</w:t>
                  </w:r>
                </w:p>
              </w:tc>
              <w:tc>
                <w:tcPr>
                  <w:tcW w:w="461"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w:t>
                  </w:r>
                </w:p>
              </w:tc>
              <w:tc>
                <w:tcPr>
                  <w:tcW w:w="455"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w:t>
                  </w:r>
                </w:p>
              </w:tc>
              <w:tc>
                <w:tcPr>
                  <w:tcW w:w="1675"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w:t>
                  </w:r>
                </w:p>
              </w:tc>
              <w:tc>
                <w:tcPr>
                  <w:tcW w:w="1209"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 w:type="pct"/>
                  <w:vMerge w:val="restart"/>
                  <w:vAlign w:val="center"/>
                </w:tcPr>
                <w:p>
                  <w:pPr>
                    <w:jc w:val="center"/>
                    <w:textAlignment w:val="center"/>
                    <w:rPr>
                      <w:rFonts w:ascii="宋体" w:hAnsi="宋体" w:cs="宋体"/>
                      <w:kern w:val="0"/>
                      <w:szCs w:val="21"/>
                    </w:rPr>
                  </w:pPr>
                  <w:r>
                    <w:rPr>
                      <w:rFonts w:hint="eastAsia" w:ascii="宋体" w:hAnsi="宋体" w:cs="宋体"/>
                      <w:kern w:val="0"/>
                      <w:szCs w:val="21"/>
                    </w:rPr>
                    <w:t>重点管控</w:t>
                  </w:r>
                  <w:r>
                    <w:rPr>
                      <w:rFonts w:ascii="宋体" w:hAnsi="宋体" w:cs="宋体"/>
                      <w:kern w:val="0"/>
                      <w:szCs w:val="21"/>
                    </w:rPr>
                    <w:t>单元</w:t>
                  </w:r>
                </w:p>
              </w:tc>
              <w:tc>
                <w:tcPr>
                  <w:tcW w:w="700" w:type="pct"/>
                  <w:vMerge w:val="restart"/>
                  <w:vAlign w:val="center"/>
                </w:tcPr>
                <w:p>
                  <w:pPr>
                    <w:jc w:val="center"/>
                    <w:rPr>
                      <w:rFonts w:ascii="宋体" w:hAnsi="宋体" w:cs="宋体"/>
                      <w:kern w:val="0"/>
                      <w:szCs w:val="21"/>
                    </w:rPr>
                  </w:pPr>
                  <w:r>
                    <w:rPr>
                      <w:kern w:val="0"/>
                      <w:szCs w:val="21"/>
                    </w:rPr>
                    <w:t>86562.96</w:t>
                  </w:r>
                </w:p>
              </w:tc>
              <w:tc>
                <w:tcPr>
                  <w:tcW w:w="461"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大气环境高排放重点管控区</w:t>
                  </w:r>
                </w:p>
              </w:tc>
              <w:tc>
                <w:tcPr>
                  <w:tcW w:w="455"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污染物排放管控</w:t>
                  </w:r>
                </w:p>
              </w:tc>
              <w:tc>
                <w:tcPr>
                  <w:tcW w:w="1675" w:type="pct"/>
                  <w:vAlign w:val="center"/>
                </w:tcPr>
                <w:p>
                  <w:pPr>
                    <w:autoSpaceDE w:val="0"/>
                    <w:autoSpaceDN w:val="0"/>
                    <w:adjustRightInd w:val="0"/>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完善大气污染防治设施，全面提高污染治理能力。</w:t>
                  </w:r>
                </w:p>
                <w:p>
                  <w:pPr>
                    <w:widowControl/>
                    <w:spacing w:line="240" w:lineRule="atLeast"/>
                    <w:jc w:val="center"/>
                    <w:textAlignment w:val="center"/>
                    <w:rPr>
                      <w:rFonts w:ascii="宋体" w:hAnsi="宋体" w:cs="宋体"/>
                      <w:kern w:val="0"/>
                      <w:szCs w:val="21"/>
                    </w:rPr>
                  </w:pPr>
                  <w:r>
                    <w:rPr>
                      <w:rFonts w:ascii="宋体" w:hAnsi="宋体" w:cs="宋体"/>
                      <w:kern w:val="0"/>
                      <w:szCs w:val="21"/>
                    </w:rPr>
                    <w:t>2.</w:t>
                  </w:r>
                  <w:r>
                    <w:rPr>
                      <w:rFonts w:hint="eastAsia" w:ascii="宋体" w:hAnsi="宋体" w:cs="宋体"/>
                      <w:kern w:val="0"/>
                      <w:szCs w:val="21"/>
                    </w:rPr>
                    <w:t>关注氮氧化物和挥发性有机物的一次排放。</w:t>
                  </w:r>
                </w:p>
                <w:p>
                  <w:pPr>
                    <w:autoSpaceDE w:val="0"/>
                    <w:autoSpaceDN w:val="0"/>
                    <w:adjustRightInd w:val="0"/>
                    <w:jc w:val="left"/>
                    <w:rPr>
                      <w:rFonts w:ascii="宋体" w:hAnsi="宋体" w:cs="宋体"/>
                      <w:kern w:val="0"/>
                      <w:szCs w:val="21"/>
                    </w:rPr>
                  </w:pPr>
                  <w:r>
                    <w:rPr>
                      <w:rFonts w:ascii="宋体" w:hAnsi="宋体" w:cs="宋体"/>
                      <w:kern w:val="0"/>
                      <w:szCs w:val="21"/>
                    </w:rPr>
                    <w:t>3.</w:t>
                  </w:r>
                  <w:r>
                    <w:rPr>
                      <w:rFonts w:hint="eastAsia" w:ascii="宋体" w:hAnsi="宋体" w:cs="宋体"/>
                      <w:kern w:val="0"/>
                      <w:szCs w:val="21"/>
                    </w:rPr>
                    <w:t>新建</w:t>
                  </w:r>
                  <w:r>
                    <w:rPr>
                      <w:rFonts w:ascii="宋体" w:hAnsi="宋体" w:cs="宋体"/>
                      <w:kern w:val="0"/>
                      <w:szCs w:val="21"/>
                    </w:rPr>
                    <w:t>“</w:t>
                  </w:r>
                  <w:r>
                    <w:rPr>
                      <w:rFonts w:hint="eastAsia" w:ascii="宋体" w:hAnsi="宋体" w:cs="宋体"/>
                      <w:kern w:val="0"/>
                      <w:szCs w:val="21"/>
                    </w:rPr>
                    <w:t>两高</w:t>
                  </w:r>
                  <w:r>
                    <w:rPr>
                      <w:rFonts w:ascii="宋体" w:hAnsi="宋体" w:cs="宋体"/>
                      <w:kern w:val="0"/>
                      <w:szCs w:val="21"/>
                    </w:rPr>
                    <w:t>”</w:t>
                  </w:r>
                  <w:r>
                    <w:rPr>
                      <w:rFonts w:hint="eastAsia" w:ascii="宋体" w:hAnsi="宋体" w:cs="宋体"/>
                      <w:kern w:val="0"/>
                      <w:szCs w:val="21"/>
                    </w:rPr>
                    <w:t>项目需要依据区域环境质量改善目标，制定配套区域污染物削减方案，采取有效的污染物区域削减措施，腾出足够的环境容量。大气污染防治重点区域内采取增加散煤清洁化治理，为工业腾出指标和容量等措施，不得使用高污染燃料作为煤炭减量替代措施。</w:t>
                  </w:r>
                </w:p>
              </w:tc>
              <w:tc>
                <w:tcPr>
                  <w:tcW w:w="1209"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项目不属于两高项目，粉尘采用布袋除尘器处理后经1</w:t>
                  </w:r>
                  <w:r>
                    <w:rPr>
                      <w:rFonts w:ascii="宋体" w:hAnsi="宋体" w:cs="宋体"/>
                      <w:kern w:val="0"/>
                      <w:szCs w:val="21"/>
                    </w:rPr>
                    <w:t>5m高排气筒排放</w:t>
                  </w:r>
                  <w:r>
                    <w:rPr>
                      <w:rFonts w:hint="eastAsia" w:ascii="宋体" w:hAnsi="宋体" w:cs="宋体"/>
                      <w:kern w:val="0"/>
                      <w:szCs w:val="21"/>
                    </w:rPr>
                    <w:t>，</w:t>
                  </w:r>
                  <w:r>
                    <w:rPr>
                      <w:rFonts w:ascii="宋体" w:hAnsi="宋体" w:cs="宋体"/>
                      <w:kern w:val="0"/>
                      <w:szCs w:val="21"/>
                    </w:rPr>
                    <w:t>能达标排放。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500" w:type="pct"/>
                  <w:vMerge w:val="continue"/>
                  <w:vAlign w:val="center"/>
                </w:tcPr>
                <w:p>
                  <w:pPr>
                    <w:widowControl/>
                    <w:jc w:val="center"/>
                    <w:textAlignment w:val="center"/>
                    <w:rPr>
                      <w:rFonts w:ascii="宋体" w:hAnsi="宋体" w:cs="宋体"/>
                      <w:kern w:val="0"/>
                      <w:szCs w:val="21"/>
                    </w:rPr>
                  </w:pPr>
                </w:p>
              </w:tc>
              <w:tc>
                <w:tcPr>
                  <w:tcW w:w="700" w:type="pct"/>
                  <w:vMerge w:val="continue"/>
                  <w:vAlign w:val="center"/>
                </w:tcPr>
                <w:p>
                  <w:pPr>
                    <w:widowControl/>
                    <w:jc w:val="center"/>
                    <w:rPr>
                      <w:kern w:val="0"/>
                      <w:szCs w:val="21"/>
                    </w:rPr>
                  </w:pPr>
                </w:p>
              </w:tc>
              <w:tc>
                <w:tcPr>
                  <w:tcW w:w="461" w:type="pct"/>
                  <w:vMerge w:val="restar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水环境工业污染重点管控区</w:t>
                  </w:r>
                </w:p>
              </w:tc>
              <w:tc>
                <w:tcPr>
                  <w:tcW w:w="455"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空间布局约束</w:t>
                  </w:r>
                </w:p>
              </w:tc>
              <w:tc>
                <w:tcPr>
                  <w:tcW w:w="1675"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1.充分考虑水环境承载能力和水资源开发利用效率，合理确定产业发展布局、结构和规模。</w:t>
                  </w:r>
                </w:p>
              </w:tc>
              <w:tc>
                <w:tcPr>
                  <w:tcW w:w="1209" w:type="pct"/>
                  <w:vAlign w:val="center"/>
                </w:tcPr>
                <w:p>
                  <w:pPr>
                    <w:autoSpaceDE w:val="0"/>
                    <w:autoSpaceDN w:val="0"/>
                    <w:adjustRightInd w:val="0"/>
                    <w:snapToGrid w:val="0"/>
                    <w:spacing w:line="0" w:lineRule="atLeast"/>
                    <w:jc w:val="center"/>
                    <w:rPr>
                      <w:szCs w:val="21"/>
                    </w:rPr>
                  </w:pPr>
                  <w:r>
                    <w:rPr>
                      <w:rFonts w:hint="eastAsia"/>
                      <w:szCs w:val="21"/>
                    </w:rPr>
                    <w:t>项目用水主要为生活用水和冷却水，用水量较小。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500" w:type="pct"/>
                  <w:vMerge w:val="continue"/>
                  <w:vAlign w:val="center"/>
                </w:tcPr>
                <w:p>
                  <w:pPr>
                    <w:widowControl/>
                    <w:jc w:val="center"/>
                    <w:textAlignment w:val="center"/>
                    <w:rPr>
                      <w:rFonts w:ascii="宋体" w:hAnsi="宋体" w:cs="宋体"/>
                      <w:kern w:val="0"/>
                      <w:szCs w:val="21"/>
                    </w:rPr>
                  </w:pPr>
                </w:p>
              </w:tc>
              <w:tc>
                <w:tcPr>
                  <w:tcW w:w="700" w:type="pct"/>
                  <w:vMerge w:val="continue"/>
                  <w:vAlign w:val="center"/>
                </w:tcPr>
                <w:p>
                  <w:pPr>
                    <w:widowControl/>
                    <w:jc w:val="center"/>
                    <w:rPr>
                      <w:kern w:val="0"/>
                      <w:szCs w:val="21"/>
                    </w:rPr>
                  </w:pPr>
                </w:p>
              </w:tc>
              <w:tc>
                <w:tcPr>
                  <w:tcW w:w="461" w:type="pct"/>
                  <w:vMerge w:val="continue"/>
                  <w:vAlign w:val="center"/>
                </w:tcPr>
                <w:p>
                  <w:pPr>
                    <w:widowControl/>
                    <w:spacing w:line="240" w:lineRule="atLeast"/>
                    <w:jc w:val="center"/>
                    <w:textAlignment w:val="center"/>
                    <w:rPr>
                      <w:rFonts w:ascii="宋体" w:hAnsi="宋体" w:cs="宋体"/>
                      <w:kern w:val="0"/>
                      <w:szCs w:val="21"/>
                    </w:rPr>
                  </w:pPr>
                </w:p>
              </w:tc>
              <w:tc>
                <w:tcPr>
                  <w:tcW w:w="455"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污染物排放管控</w:t>
                  </w:r>
                </w:p>
              </w:tc>
              <w:tc>
                <w:tcPr>
                  <w:tcW w:w="1675"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1.所有排污单位必须依法实现全面达标排放。集聚区内工业废水必须进行经预处理达到集中处理要求，方可进入污水集中处理设施。</w:t>
                  </w:r>
                </w:p>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2.建设项目所在水环境单元或断面存在污染物超标的，相应污染因子实行等量或减量置换。</w:t>
                  </w:r>
                </w:p>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3.严控高含盐废水排放。</w:t>
                  </w:r>
                </w:p>
              </w:tc>
              <w:tc>
                <w:tcPr>
                  <w:tcW w:w="1209" w:type="pct"/>
                  <w:vAlign w:val="center"/>
                </w:tcPr>
                <w:p>
                  <w:pPr>
                    <w:autoSpaceDE w:val="0"/>
                    <w:autoSpaceDN w:val="0"/>
                    <w:adjustRightInd w:val="0"/>
                    <w:snapToGrid w:val="0"/>
                    <w:spacing w:line="0" w:lineRule="atLeast"/>
                    <w:jc w:val="center"/>
                    <w:rPr>
                      <w:szCs w:val="21"/>
                    </w:rPr>
                  </w:pPr>
                  <w:r>
                    <w:rPr>
                      <w:rFonts w:hint="eastAsia"/>
                      <w:szCs w:val="21"/>
                    </w:rPr>
                    <w:t>项目冷却水排水和生活污水经化粪池处理排入园区市政污水管网，经园区污水处理厂处理达标后综合利用；初期雨水经沉淀后回用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500" w:type="pct"/>
                  <w:vMerge w:val="continue"/>
                  <w:vAlign w:val="center"/>
                </w:tcPr>
                <w:p>
                  <w:pPr>
                    <w:widowControl/>
                    <w:jc w:val="center"/>
                    <w:textAlignment w:val="center"/>
                    <w:rPr>
                      <w:rFonts w:ascii="宋体" w:hAnsi="宋体" w:cs="宋体"/>
                      <w:kern w:val="0"/>
                      <w:szCs w:val="21"/>
                    </w:rPr>
                  </w:pPr>
                </w:p>
              </w:tc>
              <w:tc>
                <w:tcPr>
                  <w:tcW w:w="700" w:type="pct"/>
                  <w:vMerge w:val="continue"/>
                  <w:vAlign w:val="center"/>
                </w:tcPr>
                <w:p>
                  <w:pPr>
                    <w:widowControl/>
                    <w:jc w:val="center"/>
                    <w:rPr>
                      <w:kern w:val="0"/>
                      <w:szCs w:val="21"/>
                    </w:rPr>
                  </w:pPr>
                </w:p>
              </w:tc>
              <w:tc>
                <w:tcPr>
                  <w:tcW w:w="461" w:type="pct"/>
                  <w:vMerge w:val="continue"/>
                  <w:vAlign w:val="center"/>
                </w:tcPr>
                <w:p>
                  <w:pPr>
                    <w:widowControl/>
                    <w:spacing w:line="240" w:lineRule="atLeast"/>
                    <w:jc w:val="center"/>
                    <w:textAlignment w:val="center"/>
                    <w:rPr>
                      <w:rFonts w:ascii="宋体" w:hAnsi="宋体" w:cs="宋体"/>
                      <w:kern w:val="0"/>
                      <w:szCs w:val="21"/>
                    </w:rPr>
                  </w:pPr>
                </w:p>
              </w:tc>
              <w:tc>
                <w:tcPr>
                  <w:tcW w:w="455"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环境风险防控</w:t>
                  </w:r>
                </w:p>
              </w:tc>
              <w:tc>
                <w:tcPr>
                  <w:tcW w:w="1675" w:type="pct"/>
                  <w:vAlign w:val="center"/>
                </w:tcPr>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1.深入开展重点企业环境风险评估，摸清危险废物产生、贮存、利用和处置情况，</w:t>
                  </w:r>
                </w:p>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推动突发环境事件应急预案编制与修编，严格新（改、扩）建生产有毒有害化学品</w:t>
                  </w:r>
                </w:p>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项目的审批，强化工业园区环境风险管控。</w:t>
                  </w:r>
                </w:p>
                <w:p>
                  <w:pPr>
                    <w:widowControl/>
                    <w:spacing w:line="240" w:lineRule="atLeast"/>
                    <w:jc w:val="center"/>
                    <w:textAlignment w:val="center"/>
                    <w:rPr>
                      <w:rFonts w:ascii="宋体" w:hAnsi="宋体" w:cs="宋体"/>
                      <w:kern w:val="0"/>
                      <w:szCs w:val="21"/>
                    </w:rPr>
                  </w:pPr>
                  <w:r>
                    <w:rPr>
                      <w:rFonts w:hint="eastAsia" w:ascii="宋体" w:hAnsi="宋体" w:cs="宋体"/>
                      <w:kern w:val="0"/>
                      <w:szCs w:val="21"/>
                    </w:rPr>
                    <w:t>2.加强涉水涉重企业和危险化学品输运等环境风险源的系统治理，降低突发环境事故发生水平。</w:t>
                  </w:r>
                </w:p>
              </w:tc>
              <w:tc>
                <w:tcPr>
                  <w:tcW w:w="1209" w:type="pct"/>
                  <w:vAlign w:val="center"/>
                </w:tcPr>
                <w:p>
                  <w:pPr>
                    <w:autoSpaceDE w:val="0"/>
                    <w:autoSpaceDN w:val="0"/>
                    <w:adjustRightInd w:val="0"/>
                    <w:snapToGrid w:val="0"/>
                    <w:spacing w:line="0" w:lineRule="atLeast"/>
                    <w:jc w:val="center"/>
                    <w:rPr>
                      <w:szCs w:val="21"/>
                    </w:rPr>
                  </w:pPr>
                  <w:r>
                    <w:rPr>
                      <w:rFonts w:hint="eastAsia"/>
                      <w:szCs w:val="21"/>
                    </w:rPr>
                    <w:t>项目建成后编制突发环境事件应急预案，配备应急救援物资，环境风险在可接受范围。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 w:type="pct"/>
                  <w:vMerge w:val="continue"/>
                  <w:vAlign w:val="center"/>
                </w:tcPr>
                <w:p>
                  <w:pPr>
                    <w:widowControl/>
                    <w:jc w:val="center"/>
                    <w:textAlignment w:val="center"/>
                    <w:rPr>
                      <w:rFonts w:ascii="宋体" w:hAnsi="宋体" w:cs="宋体"/>
                      <w:kern w:val="0"/>
                      <w:szCs w:val="21"/>
                    </w:rPr>
                  </w:pPr>
                </w:p>
              </w:tc>
              <w:tc>
                <w:tcPr>
                  <w:tcW w:w="700" w:type="pct"/>
                  <w:vMerge w:val="continue"/>
                  <w:vAlign w:val="center"/>
                </w:tcPr>
                <w:p>
                  <w:pPr>
                    <w:widowControl/>
                    <w:jc w:val="center"/>
                    <w:rPr>
                      <w:rFonts w:ascii="宋体" w:hAnsi="宋体" w:cs="宋体"/>
                      <w:kern w:val="0"/>
                      <w:szCs w:val="21"/>
                    </w:rPr>
                  </w:pPr>
                </w:p>
              </w:tc>
              <w:tc>
                <w:tcPr>
                  <w:tcW w:w="461" w:type="pct"/>
                  <w:vMerge w:val="continue"/>
                  <w:vAlign w:val="center"/>
                </w:tcPr>
                <w:p>
                  <w:pPr>
                    <w:widowControl/>
                    <w:jc w:val="center"/>
                    <w:rPr>
                      <w:rFonts w:ascii="宋体" w:hAnsi="宋体" w:cs="宋体"/>
                      <w:kern w:val="0"/>
                      <w:szCs w:val="21"/>
                    </w:rPr>
                  </w:pPr>
                </w:p>
              </w:tc>
              <w:tc>
                <w:tcPr>
                  <w:tcW w:w="455" w:type="pct"/>
                  <w:vAlign w:val="center"/>
                </w:tcPr>
                <w:p>
                  <w:pPr>
                    <w:widowControl/>
                    <w:jc w:val="center"/>
                    <w:rPr>
                      <w:rFonts w:ascii="宋体" w:hAnsi="宋体" w:cs="宋体"/>
                      <w:kern w:val="0"/>
                      <w:szCs w:val="21"/>
                    </w:rPr>
                  </w:pPr>
                  <w:r>
                    <w:rPr>
                      <w:rFonts w:hint="eastAsia" w:ascii="宋体" w:hAnsi="宋体" w:cs="宋体"/>
                      <w:kern w:val="0"/>
                      <w:szCs w:val="21"/>
                    </w:rPr>
                    <w:t>资源开发效率要求</w:t>
                  </w:r>
                </w:p>
              </w:tc>
              <w:tc>
                <w:tcPr>
                  <w:tcW w:w="1675" w:type="pct"/>
                  <w:vAlign w:val="center"/>
                </w:tcPr>
                <w:p>
                  <w:pPr>
                    <w:autoSpaceDE w:val="0"/>
                    <w:autoSpaceDN w:val="0"/>
                    <w:adjustRightInd w:val="0"/>
                    <w:snapToGrid w:val="0"/>
                    <w:spacing w:line="0" w:lineRule="atLeast"/>
                    <w:jc w:val="center"/>
                    <w:rPr>
                      <w:kern w:val="0"/>
                      <w:szCs w:val="21"/>
                    </w:rPr>
                  </w:pPr>
                  <w:r>
                    <w:rPr>
                      <w:rFonts w:hint="eastAsia"/>
                      <w:kern w:val="0"/>
                      <w:szCs w:val="21"/>
                    </w:rPr>
                    <w:t>1.提高工业用水重复利用率，强化再生水利用。</w:t>
                  </w:r>
                </w:p>
              </w:tc>
              <w:tc>
                <w:tcPr>
                  <w:tcW w:w="1209" w:type="pct"/>
                  <w:vAlign w:val="center"/>
                </w:tcPr>
                <w:p>
                  <w:pPr>
                    <w:autoSpaceDE w:val="0"/>
                    <w:autoSpaceDN w:val="0"/>
                    <w:adjustRightInd w:val="0"/>
                    <w:snapToGrid w:val="0"/>
                    <w:spacing w:line="0" w:lineRule="atLeast"/>
                    <w:jc w:val="center"/>
                    <w:rPr>
                      <w:kern w:val="0"/>
                      <w:szCs w:val="21"/>
                    </w:rPr>
                  </w:pPr>
                  <w:r>
                    <w:rPr>
                      <w:rFonts w:hint="eastAsia"/>
                      <w:kern w:val="0"/>
                      <w:szCs w:val="21"/>
                    </w:rPr>
                    <w:t>项目冷却水循环使用，定期排放少量废水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一般管控</w:t>
                  </w:r>
                </w:p>
              </w:tc>
              <w:tc>
                <w:tcPr>
                  <w:tcW w:w="700" w:type="pct"/>
                  <w:vAlign w:val="center"/>
                </w:tcPr>
                <w:p>
                  <w:pPr>
                    <w:widowControl/>
                    <w:jc w:val="center"/>
                    <w:rPr>
                      <w:rFonts w:ascii="宋体" w:hAnsi="宋体" w:cs="宋体"/>
                      <w:kern w:val="0"/>
                      <w:szCs w:val="21"/>
                    </w:rPr>
                  </w:pPr>
                  <w:r>
                    <w:rPr>
                      <w:rFonts w:hint="eastAsia" w:ascii="宋体" w:hAnsi="宋体" w:cs="宋体"/>
                      <w:kern w:val="0"/>
                      <w:szCs w:val="21"/>
                    </w:rPr>
                    <w:t>0</w:t>
                  </w:r>
                </w:p>
              </w:tc>
              <w:tc>
                <w:tcPr>
                  <w:tcW w:w="461" w:type="pct"/>
                  <w:vAlign w:val="center"/>
                </w:tcPr>
                <w:p>
                  <w:pPr>
                    <w:widowControl/>
                    <w:jc w:val="center"/>
                    <w:rPr>
                      <w:rFonts w:ascii="宋体" w:hAnsi="宋体" w:cs="宋体"/>
                      <w:kern w:val="0"/>
                      <w:szCs w:val="21"/>
                    </w:rPr>
                  </w:pPr>
                  <w:r>
                    <w:rPr>
                      <w:rFonts w:hint="eastAsia" w:ascii="宋体" w:hAnsi="宋体" w:cs="宋体"/>
                      <w:kern w:val="0"/>
                      <w:szCs w:val="21"/>
                    </w:rPr>
                    <w:t>/</w:t>
                  </w:r>
                </w:p>
              </w:tc>
              <w:tc>
                <w:tcPr>
                  <w:tcW w:w="455" w:type="pct"/>
                  <w:vAlign w:val="center"/>
                </w:tcPr>
                <w:p>
                  <w:pPr>
                    <w:widowControl/>
                    <w:jc w:val="center"/>
                    <w:rPr>
                      <w:rFonts w:ascii="宋体" w:hAnsi="宋体" w:cs="宋体"/>
                      <w:kern w:val="0"/>
                      <w:szCs w:val="21"/>
                    </w:rPr>
                  </w:pPr>
                  <w:r>
                    <w:rPr>
                      <w:rFonts w:hint="eastAsia" w:ascii="宋体" w:hAnsi="宋体" w:cs="宋体"/>
                      <w:kern w:val="0"/>
                      <w:szCs w:val="21"/>
                    </w:rPr>
                    <w:t>/</w:t>
                  </w:r>
                </w:p>
              </w:tc>
              <w:tc>
                <w:tcPr>
                  <w:tcW w:w="1675" w:type="pct"/>
                  <w:vAlign w:val="center"/>
                </w:tcPr>
                <w:p>
                  <w:pPr>
                    <w:autoSpaceDE w:val="0"/>
                    <w:autoSpaceDN w:val="0"/>
                    <w:adjustRightInd w:val="0"/>
                    <w:snapToGrid w:val="0"/>
                    <w:spacing w:line="0" w:lineRule="atLeast"/>
                    <w:jc w:val="center"/>
                    <w:rPr>
                      <w:kern w:val="0"/>
                      <w:szCs w:val="21"/>
                    </w:rPr>
                  </w:pPr>
                  <w:r>
                    <w:rPr>
                      <w:rFonts w:hint="eastAsia"/>
                      <w:kern w:val="0"/>
                      <w:szCs w:val="21"/>
                    </w:rPr>
                    <w:t>/</w:t>
                  </w:r>
                </w:p>
              </w:tc>
              <w:tc>
                <w:tcPr>
                  <w:tcW w:w="1209" w:type="pct"/>
                  <w:vAlign w:val="center"/>
                </w:tcPr>
                <w:p>
                  <w:pPr>
                    <w:autoSpaceDE w:val="0"/>
                    <w:autoSpaceDN w:val="0"/>
                    <w:adjustRightInd w:val="0"/>
                    <w:snapToGrid w:val="0"/>
                    <w:spacing w:line="0" w:lineRule="atLeast"/>
                    <w:jc w:val="center"/>
                    <w:rPr>
                      <w:kern w:val="0"/>
                      <w:szCs w:val="21"/>
                    </w:rPr>
                  </w:pPr>
                  <w:r>
                    <w:rPr>
                      <w:rFonts w:hint="eastAsia"/>
                      <w:kern w:val="0"/>
                      <w:szCs w:val="21"/>
                    </w:rPr>
                    <w:t>/</w:t>
                  </w:r>
                </w:p>
              </w:tc>
            </w:tr>
          </w:tbl>
          <w:p>
            <w:pPr>
              <w:widowControl/>
              <w:shd w:val="clear" w:color="auto" w:fill="FFFFFF"/>
              <w:spacing w:line="360" w:lineRule="auto"/>
              <w:ind w:firstLine="420" w:firstLineChars="200"/>
              <w:jc w:val="left"/>
              <w:rPr>
                <w:bCs/>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p>
            <w:pPr>
              <w:autoSpaceDE w:val="0"/>
              <w:autoSpaceDN w:val="0"/>
              <w:adjustRightInd w:val="0"/>
              <w:snapToGrid w:val="0"/>
              <w:rPr>
                <w:kern w:val="0"/>
                <w:szCs w:val="21"/>
              </w:rPr>
            </w:pPr>
          </w:p>
        </w:tc>
      </w:tr>
    </w:tbl>
    <w:p>
      <w:pPr>
        <w:spacing w:line="360" w:lineRule="auto"/>
        <w:ind w:firstLine="600"/>
        <w:outlineLvl w:val="0"/>
        <w:rPr>
          <w:rFonts w:eastAsia="黑体"/>
          <w:sz w:val="30"/>
        </w:rPr>
        <w:sectPr>
          <w:footerReference r:id="rId5" w:type="default"/>
          <w:pgSz w:w="11906" w:h="16838"/>
          <w:pgMar w:top="1701" w:right="1531" w:bottom="1701" w:left="1531" w:header="851" w:footer="1077" w:gutter="0"/>
          <w:pgNumType w:start="1"/>
          <w:cols w:space="720" w:num="1"/>
          <w:docGrid w:linePitch="312" w:charSpace="0"/>
        </w:sectPr>
      </w:pPr>
    </w:p>
    <w:p>
      <w:pPr>
        <w:pStyle w:val="26"/>
        <w:jc w:val="center"/>
        <w:outlineLvl w:val="0"/>
        <w:rPr>
          <w:rFonts w:ascii="Times New Roman" w:hAnsi="Times New Roman"/>
          <w:b/>
          <w:bCs/>
          <w:snapToGrid w:val="0"/>
          <w:sz w:val="30"/>
          <w:szCs w:val="30"/>
        </w:rPr>
      </w:pPr>
      <w:bookmarkStart w:id="7" w:name="_Toc28834"/>
      <w:bookmarkStart w:id="8" w:name="_Toc26758"/>
      <w:r>
        <w:rPr>
          <w:rFonts w:ascii="Times New Roman" w:hAnsi="Times New Roman"/>
          <w:b/>
          <w:bCs/>
          <w:snapToGrid w:val="0"/>
          <w:sz w:val="30"/>
          <w:szCs w:val="30"/>
        </w:rPr>
        <w:t>二、建设项目工程分析</w:t>
      </w:r>
      <w:bookmarkEnd w:id="7"/>
      <w:bookmarkEnd w:id="8"/>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6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7" w:type="dxa"/>
            <w:vAlign w:val="center"/>
          </w:tcPr>
          <w:p>
            <w:pPr>
              <w:pStyle w:val="26"/>
              <w:spacing w:before="0" w:beforeAutospacing="0" w:after="0" w:afterAutospacing="0"/>
              <w:jc w:val="center"/>
              <w:rPr>
                <w:rFonts w:ascii="Times New Roman" w:hAnsi="Times New Roman"/>
                <w:b/>
                <w:bCs/>
                <w:sz w:val="21"/>
                <w:szCs w:val="21"/>
              </w:rPr>
            </w:pPr>
            <w:r>
              <w:rPr>
                <w:rFonts w:ascii="Times New Roman" w:hAnsi="Times New Roman"/>
                <w:b/>
                <w:bCs/>
                <w:sz w:val="21"/>
                <w:szCs w:val="21"/>
              </w:rPr>
              <w:t>建设</w:t>
            </w:r>
          </w:p>
          <w:p>
            <w:pPr>
              <w:pStyle w:val="26"/>
              <w:spacing w:before="0" w:beforeAutospacing="0" w:after="0" w:afterAutospacing="0"/>
              <w:jc w:val="center"/>
              <w:rPr>
                <w:rFonts w:ascii="Times New Roman" w:hAnsi="Times New Roman"/>
                <w:sz w:val="21"/>
                <w:szCs w:val="21"/>
              </w:rPr>
            </w:pPr>
            <w:r>
              <w:rPr>
                <w:rFonts w:ascii="Times New Roman" w:hAnsi="Times New Roman"/>
                <w:b/>
                <w:bCs/>
                <w:sz w:val="21"/>
                <w:szCs w:val="21"/>
              </w:rPr>
              <w:t>内容</w:t>
            </w:r>
          </w:p>
        </w:tc>
        <w:tc>
          <w:tcPr>
            <w:tcW w:w="8267" w:type="dxa"/>
            <w:vAlign w:val="center"/>
          </w:tcPr>
          <w:p>
            <w:pPr>
              <w:spacing w:line="360" w:lineRule="auto"/>
              <w:ind w:left="630"/>
              <w:rPr>
                <w:b/>
                <w:bCs/>
                <w:sz w:val="24"/>
              </w:rPr>
            </w:pPr>
            <w:r>
              <w:rPr>
                <w:rFonts w:hint="eastAsia"/>
                <w:b/>
                <w:bCs/>
                <w:sz w:val="24"/>
              </w:rPr>
              <w:t>1、</w:t>
            </w:r>
            <w:r>
              <w:rPr>
                <w:b/>
                <w:bCs/>
                <w:sz w:val="24"/>
              </w:rPr>
              <w:t>项目地理位置与周边环境</w:t>
            </w:r>
          </w:p>
          <w:p>
            <w:pPr>
              <w:spacing w:line="360" w:lineRule="auto"/>
              <w:ind w:firstLine="480" w:firstLineChars="200"/>
              <w:rPr>
                <w:sz w:val="24"/>
              </w:rPr>
            </w:pPr>
            <w:r>
              <w:rPr>
                <w:sz w:val="24"/>
              </w:rPr>
              <w:t>项目位于</w:t>
            </w:r>
            <w:r>
              <w:rPr>
                <w:rFonts w:hint="eastAsia"/>
                <w:sz w:val="24"/>
              </w:rPr>
              <w:t>靖边县经济技术开发区创业创新园科技四路</w:t>
            </w:r>
            <w:r>
              <w:rPr>
                <w:sz w:val="24"/>
              </w:rPr>
              <w:t>，项目厂址中心地理坐标为：</w:t>
            </w:r>
            <w:r>
              <w:rPr>
                <w:rFonts w:hint="eastAsia"/>
                <w:sz w:val="24"/>
              </w:rPr>
              <w:t>东经109°00′1.4926″，北纬37°37′10.99″</w:t>
            </w:r>
            <w:r>
              <w:rPr>
                <w:sz w:val="24"/>
              </w:rPr>
              <w:t>，占地</w:t>
            </w:r>
            <w:r>
              <w:rPr>
                <w:rFonts w:hint="eastAsia"/>
                <w:sz w:val="24"/>
              </w:rPr>
              <w:t>面积67334m</w:t>
            </w:r>
            <w:r>
              <w:rPr>
                <w:sz w:val="24"/>
                <w:vertAlign w:val="superscript"/>
              </w:rPr>
              <w:t>2</w:t>
            </w:r>
            <w:r>
              <w:rPr>
                <w:sz w:val="24"/>
              </w:rPr>
              <w:t>。</w:t>
            </w:r>
            <w:r>
              <w:rPr>
                <w:rFonts w:hint="eastAsia"/>
                <w:sz w:val="24"/>
              </w:rPr>
              <w:t>项目北临科技四路，东、南、西侧均为空地，区域有青银高速和204省道，交通便捷，项目地理位置及交通见附图1，项目周边环境关系见附图2。</w:t>
            </w:r>
          </w:p>
          <w:p>
            <w:pPr>
              <w:spacing w:line="360" w:lineRule="auto"/>
              <w:ind w:left="630"/>
              <w:rPr>
                <w:b/>
                <w:bCs/>
                <w:sz w:val="24"/>
              </w:rPr>
            </w:pPr>
            <w:r>
              <w:rPr>
                <w:rFonts w:hint="eastAsia"/>
                <w:b/>
                <w:bCs/>
                <w:sz w:val="24"/>
              </w:rPr>
              <w:t>2、</w:t>
            </w:r>
            <w:r>
              <w:rPr>
                <w:b/>
                <w:bCs/>
                <w:sz w:val="24"/>
              </w:rPr>
              <w:t>项目组成及建设内容</w:t>
            </w:r>
          </w:p>
          <w:p>
            <w:pPr>
              <w:spacing w:line="360" w:lineRule="auto"/>
              <w:ind w:firstLine="480" w:firstLineChars="200"/>
              <w:rPr>
                <w:sz w:val="24"/>
              </w:rPr>
            </w:pPr>
            <w:bookmarkStart w:id="9" w:name="_Hlk107824433"/>
            <w:r>
              <w:rPr>
                <w:rFonts w:hint="eastAsia"/>
                <w:sz w:val="24"/>
              </w:rPr>
              <w:t>项目建设内容为：新建拉丝车间4800</w:t>
            </w:r>
            <w:r>
              <w:rPr>
                <w:sz w:val="24"/>
              </w:rPr>
              <w:t>m</w:t>
            </w:r>
            <w:r>
              <w:rPr>
                <w:sz w:val="24"/>
                <w:vertAlign w:val="superscript"/>
              </w:rPr>
              <w:t>2</w:t>
            </w:r>
            <w:r>
              <w:rPr>
                <w:rFonts w:hint="eastAsia"/>
                <w:sz w:val="24"/>
              </w:rPr>
              <w:t>、络纱车间5700</w:t>
            </w:r>
            <w:r>
              <w:rPr>
                <w:sz w:val="24"/>
              </w:rPr>
              <w:t>m</w:t>
            </w:r>
            <w:r>
              <w:rPr>
                <w:sz w:val="24"/>
                <w:vertAlign w:val="superscript"/>
              </w:rPr>
              <w:t>2</w:t>
            </w:r>
            <w:r>
              <w:rPr>
                <w:rFonts w:hint="eastAsia"/>
                <w:sz w:val="24"/>
              </w:rPr>
              <w:t>、拉挤型材车间6000</w:t>
            </w:r>
            <w:r>
              <w:rPr>
                <w:sz w:val="24"/>
              </w:rPr>
              <w:t>m</w:t>
            </w:r>
            <w:r>
              <w:rPr>
                <w:sz w:val="24"/>
                <w:vertAlign w:val="superscript"/>
              </w:rPr>
              <w:t>2</w:t>
            </w:r>
            <w:r>
              <w:rPr>
                <w:rFonts w:hint="eastAsia"/>
                <w:sz w:val="24"/>
              </w:rPr>
              <w:t>、成品库房5760</w:t>
            </w:r>
            <w:r>
              <w:rPr>
                <w:sz w:val="24"/>
              </w:rPr>
              <w:t>m</w:t>
            </w:r>
            <w:r>
              <w:rPr>
                <w:sz w:val="24"/>
                <w:vertAlign w:val="superscript"/>
              </w:rPr>
              <w:t>2</w:t>
            </w:r>
            <w:r>
              <w:rPr>
                <w:rFonts w:hint="eastAsia"/>
                <w:sz w:val="24"/>
              </w:rPr>
              <w:t>、辅助房2750</w:t>
            </w:r>
            <w:r>
              <w:rPr>
                <w:sz w:val="24"/>
              </w:rPr>
              <w:t>m</w:t>
            </w:r>
            <w:r>
              <w:rPr>
                <w:sz w:val="24"/>
                <w:vertAlign w:val="superscript"/>
              </w:rPr>
              <w:t>2</w:t>
            </w:r>
            <w:r>
              <w:rPr>
                <w:rFonts w:hint="eastAsia"/>
                <w:sz w:val="24"/>
              </w:rPr>
              <w:t>、综合办公楼等生活用房3180</w:t>
            </w:r>
            <w:r>
              <w:rPr>
                <w:sz w:val="24"/>
              </w:rPr>
              <w:t>m</w:t>
            </w:r>
            <w:r>
              <w:rPr>
                <w:sz w:val="24"/>
                <w:vertAlign w:val="superscript"/>
              </w:rPr>
              <w:t>2</w:t>
            </w:r>
            <w:r>
              <w:rPr>
                <w:rFonts w:hint="eastAsia"/>
                <w:sz w:val="24"/>
              </w:rPr>
              <w:t>，主要用于生产玄武岩纤维及制品，项目生产规模为年产玄武岩纤维及制品1</w:t>
            </w:r>
            <w:r>
              <w:rPr>
                <w:sz w:val="24"/>
              </w:rPr>
              <w:t>.5</w:t>
            </w:r>
            <w:r>
              <w:rPr>
                <w:rFonts w:hint="eastAsia"/>
                <w:sz w:val="24"/>
              </w:rPr>
              <w:t>万t/a。</w:t>
            </w:r>
            <w:bookmarkEnd w:id="9"/>
          </w:p>
          <w:p>
            <w:pPr>
              <w:spacing w:line="360" w:lineRule="auto"/>
              <w:ind w:firstLine="480" w:firstLineChars="200"/>
              <w:rPr>
                <w:sz w:val="24"/>
              </w:rPr>
            </w:pPr>
            <w:r>
              <w:rPr>
                <w:sz w:val="24"/>
              </w:rPr>
              <w:t>项目主要建设内容见表</w:t>
            </w:r>
            <w:r>
              <w:rPr>
                <w:rFonts w:hint="eastAsia"/>
                <w:sz w:val="24"/>
              </w:rPr>
              <w:t>2-1</w:t>
            </w:r>
            <w:r>
              <w:rPr>
                <w:sz w:val="24"/>
              </w:rPr>
              <w:t>。</w:t>
            </w:r>
          </w:p>
          <w:p>
            <w:pPr>
              <w:pStyle w:val="5"/>
              <w:adjustRightInd/>
              <w:snapToGrid/>
              <w:ind w:firstLine="0"/>
              <w:rPr>
                <w:rFonts w:ascii="Times New Roman" w:hAnsi="Times New Roman" w:eastAsia="宋体"/>
                <w:b/>
                <w:bCs/>
                <w:color w:val="auto"/>
                <w:szCs w:val="21"/>
              </w:rPr>
            </w:pPr>
            <w:bookmarkStart w:id="10" w:name="_Toc12563"/>
            <w:bookmarkStart w:id="11" w:name="_Toc4232"/>
            <w:bookmarkStart w:id="12" w:name="_Toc30263"/>
            <w:bookmarkStart w:id="13" w:name="_Toc9259"/>
            <w:bookmarkStart w:id="14" w:name="_Toc21102"/>
            <w:bookmarkStart w:id="15" w:name="_Toc22198"/>
            <w:bookmarkStart w:id="16" w:name="_Toc6504"/>
            <w:bookmarkStart w:id="17" w:name="_Toc17980"/>
            <w:bookmarkStart w:id="18" w:name="_Toc19721"/>
            <w:bookmarkStart w:id="19" w:name="_Toc22090"/>
            <w:bookmarkStart w:id="20" w:name="_Toc8151"/>
            <w:bookmarkStart w:id="21" w:name="_Toc9519"/>
            <w:bookmarkStart w:id="22" w:name="_Toc1606"/>
            <w:bookmarkStart w:id="23" w:name="_Toc28949"/>
            <w:r>
              <w:rPr>
                <w:rFonts w:ascii="Times New Roman" w:hAnsi="Times New Roman" w:eastAsia="宋体"/>
                <w:b/>
                <w:bCs/>
                <w:color w:val="auto"/>
                <w:szCs w:val="21"/>
              </w:rPr>
              <w:t>表</w:t>
            </w:r>
            <w:r>
              <w:rPr>
                <w:rFonts w:hint="eastAsia" w:ascii="Times New Roman" w:hAnsi="Times New Roman" w:eastAsia="宋体"/>
                <w:b/>
                <w:bCs/>
                <w:color w:val="auto"/>
                <w:szCs w:val="21"/>
              </w:rPr>
              <w:t>2-1</w:t>
            </w:r>
            <w:r>
              <w:rPr>
                <w:rFonts w:ascii="Times New Roman" w:hAnsi="Times New Roman" w:eastAsia="宋体"/>
                <w:b/>
                <w:bCs/>
                <w:color w:val="auto"/>
                <w:szCs w:val="21"/>
              </w:rPr>
              <w:t>项目组成主要建设内容表</w:t>
            </w:r>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1846"/>
              <w:gridCol w:w="5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Align w:val="center"/>
                </w:tcPr>
                <w:p>
                  <w:pPr>
                    <w:snapToGrid w:val="0"/>
                    <w:spacing w:line="360" w:lineRule="exact"/>
                    <w:jc w:val="center"/>
                    <w:rPr>
                      <w:b/>
                      <w:bCs/>
                      <w:szCs w:val="21"/>
                    </w:rPr>
                  </w:pPr>
                  <w:r>
                    <w:rPr>
                      <w:b/>
                      <w:bCs/>
                      <w:szCs w:val="21"/>
                    </w:rPr>
                    <w:t>工程名称</w:t>
                  </w:r>
                </w:p>
              </w:tc>
              <w:tc>
                <w:tcPr>
                  <w:tcW w:w="1098" w:type="pct"/>
                  <w:vAlign w:val="center"/>
                </w:tcPr>
                <w:p>
                  <w:pPr>
                    <w:snapToGrid w:val="0"/>
                    <w:spacing w:line="360" w:lineRule="exact"/>
                    <w:jc w:val="center"/>
                    <w:rPr>
                      <w:b/>
                      <w:bCs/>
                      <w:szCs w:val="21"/>
                    </w:rPr>
                  </w:pPr>
                  <w:r>
                    <w:rPr>
                      <w:b/>
                      <w:bCs/>
                      <w:szCs w:val="21"/>
                    </w:rPr>
                    <w:t>主要组成</w:t>
                  </w:r>
                </w:p>
              </w:tc>
              <w:tc>
                <w:tcPr>
                  <w:tcW w:w="3412" w:type="pct"/>
                  <w:vAlign w:val="center"/>
                </w:tcPr>
                <w:p>
                  <w:pPr>
                    <w:snapToGrid w:val="0"/>
                    <w:spacing w:line="360" w:lineRule="exact"/>
                    <w:jc w:val="center"/>
                    <w:rPr>
                      <w:b/>
                      <w:bCs/>
                      <w:szCs w:val="21"/>
                    </w:rPr>
                  </w:pPr>
                  <w:r>
                    <w:rPr>
                      <w:b/>
                      <w:bCs/>
                      <w:szCs w:val="21"/>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restart"/>
                  <w:vAlign w:val="center"/>
                </w:tcPr>
                <w:p>
                  <w:pPr>
                    <w:snapToGrid w:val="0"/>
                    <w:spacing w:line="360" w:lineRule="exact"/>
                    <w:jc w:val="center"/>
                    <w:rPr>
                      <w:szCs w:val="21"/>
                    </w:rPr>
                  </w:pPr>
                  <w:r>
                    <w:rPr>
                      <w:szCs w:val="21"/>
                    </w:rPr>
                    <w:t>主体工程</w:t>
                  </w:r>
                </w:p>
              </w:tc>
              <w:tc>
                <w:tcPr>
                  <w:tcW w:w="1098" w:type="pct"/>
                  <w:vAlign w:val="center"/>
                </w:tcPr>
                <w:p>
                  <w:pPr>
                    <w:snapToGrid w:val="0"/>
                    <w:spacing w:line="360" w:lineRule="exact"/>
                    <w:jc w:val="center"/>
                    <w:rPr>
                      <w:szCs w:val="21"/>
                    </w:rPr>
                  </w:pPr>
                  <w:r>
                    <w:rPr>
                      <w:rFonts w:hint="eastAsia"/>
                      <w:szCs w:val="21"/>
                    </w:rPr>
                    <w:t>1</w:t>
                  </w:r>
                  <w:r>
                    <w:rPr>
                      <w:szCs w:val="21"/>
                    </w:rPr>
                    <w:t>#拉丝车间</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w:t>
                  </w:r>
                  <w:r>
                    <w:rPr>
                      <w:rFonts w:hint="eastAsia"/>
                      <w:szCs w:val="21"/>
                    </w:rPr>
                    <w:t>28</w:t>
                  </w:r>
                  <w:r>
                    <w:rPr>
                      <w:szCs w:val="21"/>
                    </w:rPr>
                    <w:t>00m</w:t>
                  </w:r>
                  <w:r>
                    <w:rPr>
                      <w:szCs w:val="21"/>
                      <w:vertAlign w:val="superscript"/>
                    </w:rPr>
                    <w:t>2</w:t>
                  </w:r>
                  <w:r>
                    <w:rPr>
                      <w:szCs w:val="21"/>
                    </w:rPr>
                    <w:t>，</w:t>
                  </w:r>
                  <w:r>
                    <w:rPr>
                      <w:rFonts w:hint="eastAsia"/>
                      <w:szCs w:val="21"/>
                    </w:rPr>
                    <w:t>用于玄武岩纤维熔炼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2#拉丝车间</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封闭钢结构，建筑面积2</w:t>
                  </w:r>
                  <w:r>
                    <w:rPr>
                      <w:rFonts w:hint="eastAsia"/>
                      <w:szCs w:val="21"/>
                    </w:rPr>
                    <w:t>0</w:t>
                  </w:r>
                  <w:r>
                    <w:rPr>
                      <w:szCs w:val="21"/>
                    </w:rPr>
                    <w:t>00m</w:t>
                  </w:r>
                  <w:r>
                    <w:rPr>
                      <w:szCs w:val="21"/>
                      <w:vertAlign w:val="superscript"/>
                    </w:rPr>
                    <w:t>2</w:t>
                  </w:r>
                  <w:r>
                    <w:rPr>
                      <w:szCs w:val="21"/>
                    </w:rPr>
                    <w:t>，</w:t>
                  </w:r>
                  <w:r>
                    <w:rPr>
                      <w:rFonts w:hint="eastAsia"/>
                      <w:szCs w:val="21"/>
                    </w:rPr>
                    <w:t>用于玄武岩纤维熔炼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rFonts w:hint="eastAsia"/>
                      <w:szCs w:val="21"/>
                    </w:rPr>
                    <w:t>1</w:t>
                  </w:r>
                  <w:r>
                    <w:rPr>
                      <w:szCs w:val="21"/>
                    </w:rPr>
                    <w:t>#络纱车间</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w:t>
                  </w:r>
                  <w:r>
                    <w:rPr>
                      <w:rFonts w:hint="eastAsia"/>
                      <w:szCs w:val="21"/>
                    </w:rPr>
                    <w:t>1425</w:t>
                  </w:r>
                  <w:r>
                    <w:rPr>
                      <w:szCs w:val="21"/>
                    </w:rPr>
                    <w:t>m</w:t>
                  </w:r>
                  <w:r>
                    <w:rPr>
                      <w:szCs w:val="21"/>
                      <w:vertAlign w:val="superscript"/>
                    </w:rPr>
                    <w:t>2</w:t>
                  </w:r>
                  <w:r>
                    <w:rPr>
                      <w:szCs w:val="21"/>
                    </w:rPr>
                    <w:t>，</w:t>
                  </w:r>
                  <w:r>
                    <w:rPr>
                      <w:rFonts w:hint="eastAsia"/>
                      <w:szCs w:val="21"/>
                    </w:rPr>
                    <w:t>用于短切纱生产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2#络纱车间</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w:t>
                  </w:r>
                  <w:r>
                    <w:rPr>
                      <w:rFonts w:hint="eastAsia"/>
                      <w:szCs w:val="21"/>
                    </w:rPr>
                    <w:t>1425</w:t>
                  </w:r>
                  <w:r>
                    <w:rPr>
                      <w:szCs w:val="21"/>
                    </w:rPr>
                    <w:t>m</w:t>
                  </w:r>
                  <w:r>
                    <w:rPr>
                      <w:szCs w:val="21"/>
                      <w:vertAlign w:val="superscript"/>
                    </w:rPr>
                    <w:t>2</w:t>
                  </w:r>
                  <w:r>
                    <w:rPr>
                      <w:szCs w:val="21"/>
                    </w:rPr>
                    <w:t>，</w:t>
                  </w:r>
                  <w:r>
                    <w:rPr>
                      <w:rFonts w:hint="eastAsia"/>
                      <w:szCs w:val="21"/>
                    </w:rPr>
                    <w:t>用于短切纱生产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rFonts w:hint="eastAsia"/>
                      <w:szCs w:val="21"/>
                    </w:rPr>
                    <w:t>3</w:t>
                  </w:r>
                  <w:r>
                    <w:rPr>
                      <w:szCs w:val="21"/>
                    </w:rPr>
                    <w:t>#络纱车间</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w:t>
                  </w:r>
                  <w:r>
                    <w:rPr>
                      <w:rFonts w:hint="eastAsia"/>
                      <w:szCs w:val="21"/>
                    </w:rPr>
                    <w:t>1425</w:t>
                  </w:r>
                  <w:r>
                    <w:rPr>
                      <w:szCs w:val="21"/>
                    </w:rPr>
                    <w:t>m</w:t>
                  </w:r>
                  <w:r>
                    <w:rPr>
                      <w:szCs w:val="21"/>
                      <w:vertAlign w:val="superscript"/>
                    </w:rPr>
                    <w:t>2</w:t>
                  </w:r>
                  <w:r>
                    <w:rPr>
                      <w:szCs w:val="21"/>
                    </w:rPr>
                    <w:t>，</w:t>
                  </w:r>
                  <w:r>
                    <w:rPr>
                      <w:rFonts w:hint="eastAsia"/>
                      <w:szCs w:val="21"/>
                    </w:rPr>
                    <w:t>用于无捻粗纱生产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rFonts w:hint="eastAsia"/>
                      <w:szCs w:val="21"/>
                    </w:rPr>
                    <w:t>4</w:t>
                  </w:r>
                  <w:r>
                    <w:rPr>
                      <w:szCs w:val="21"/>
                    </w:rPr>
                    <w:t>#络纱车间</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w:t>
                  </w:r>
                  <w:r>
                    <w:rPr>
                      <w:rFonts w:hint="eastAsia"/>
                      <w:szCs w:val="21"/>
                    </w:rPr>
                    <w:t>1425</w:t>
                  </w:r>
                  <w:r>
                    <w:rPr>
                      <w:szCs w:val="21"/>
                    </w:rPr>
                    <w:t>m</w:t>
                  </w:r>
                  <w:r>
                    <w:rPr>
                      <w:szCs w:val="21"/>
                      <w:vertAlign w:val="superscript"/>
                    </w:rPr>
                    <w:t>2</w:t>
                  </w:r>
                  <w:r>
                    <w:rPr>
                      <w:szCs w:val="21"/>
                    </w:rPr>
                    <w:t>，</w:t>
                  </w:r>
                  <w:r>
                    <w:rPr>
                      <w:rFonts w:hint="eastAsia"/>
                      <w:szCs w:val="21"/>
                    </w:rPr>
                    <w:t>用于纺织纱生产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1#拉挤型材车间</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封闭钢结构，建筑面积3</w:t>
                  </w:r>
                  <w:r>
                    <w:rPr>
                      <w:rFonts w:hint="eastAsia"/>
                      <w:szCs w:val="21"/>
                    </w:rPr>
                    <w:t>2</w:t>
                  </w:r>
                  <w:r>
                    <w:rPr>
                      <w:szCs w:val="21"/>
                    </w:rPr>
                    <w:t>00m</w:t>
                  </w:r>
                  <w:r>
                    <w:rPr>
                      <w:szCs w:val="21"/>
                      <w:vertAlign w:val="superscript"/>
                    </w:rPr>
                    <w:t>2</w:t>
                  </w:r>
                  <w:r>
                    <w:rPr>
                      <w:szCs w:val="21"/>
                    </w:rPr>
                    <w:t>，</w:t>
                  </w:r>
                  <w:r>
                    <w:rPr>
                      <w:rFonts w:hint="eastAsia"/>
                      <w:szCs w:val="21"/>
                    </w:rPr>
                    <w:t>用于生产玄武岩纤维型材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2#拉挤型材车间</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w:t>
                  </w:r>
                  <w:r>
                    <w:rPr>
                      <w:rFonts w:hint="eastAsia"/>
                      <w:szCs w:val="21"/>
                    </w:rPr>
                    <w:t>28</w:t>
                  </w:r>
                  <w:r>
                    <w:rPr>
                      <w:szCs w:val="21"/>
                    </w:rPr>
                    <w:t>00m</w:t>
                  </w:r>
                  <w:r>
                    <w:rPr>
                      <w:szCs w:val="21"/>
                      <w:vertAlign w:val="superscript"/>
                    </w:rPr>
                    <w:t>2</w:t>
                  </w:r>
                  <w:r>
                    <w:rPr>
                      <w:szCs w:val="21"/>
                    </w:rPr>
                    <w:t>，</w:t>
                  </w:r>
                  <w:r>
                    <w:rPr>
                      <w:rFonts w:hint="eastAsia"/>
                      <w:szCs w:val="21"/>
                    </w:rPr>
                    <w:t>用于生产玄武岩纤维型材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restart"/>
                  <w:vAlign w:val="center"/>
                </w:tcPr>
                <w:p>
                  <w:pPr>
                    <w:snapToGrid w:val="0"/>
                    <w:spacing w:line="360" w:lineRule="exact"/>
                    <w:jc w:val="center"/>
                    <w:rPr>
                      <w:szCs w:val="21"/>
                    </w:rPr>
                  </w:pPr>
                  <w:r>
                    <w:rPr>
                      <w:rFonts w:hint="eastAsia"/>
                      <w:szCs w:val="21"/>
                    </w:rPr>
                    <w:t>辅助工程</w:t>
                  </w:r>
                </w:p>
              </w:tc>
              <w:tc>
                <w:tcPr>
                  <w:tcW w:w="1098" w:type="pct"/>
                  <w:vAlign w:val="center"/>
                </w:tcPr>
                <w:p>
                  <w:pPr>
                    <w:snapToGrid w:val="0"/>
                    <w:spacing w:line="360" w:lineRule="exact"/>
                    <w:jc w:val="center"/>
                    <w:rPr>
                      <w:szCs w:val="21"/>
                    </w:rPr>
                  </w:pPr>
                  <w:r>
                    <w:rPr>
                      <w:szCs w:val="21"/>
                    </w:rPr>
                    <w:t>1#</w:t>
                  </w:r>
                  <w:r>
                    <w:rPr>
                      <w:rFonts w:hint="eastAsia"/>
                      <w:szCs w:val="21"/>
                    </w:rPr>
                    <w:t>成品车间</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w:t>
                  </w:r>
                  <w:r>
                    <w:rPr>
                      <w:rFonts w:hint="eastAsia"/>
                      <w:szCs w:val="21"/>
                    </w:rPr>
                    <w:t>320</w:t>
                  </w:r>
                  <w:r>
                    <w:rPr>
                      <w:szCs w:val="21"/>
                    </w:rPr>
                    <w:t>0m</w:t>
                  </w:r>
                  <w:r>
                    <w:rPr>
                      <w:szCs w:val="21"/>
                      <w:vertAlign w:val="superscript"/>
                    </w:rPr>
                    <w:t>2</w:t>
                  </w:r>
                  <w:r>
                    <w:rPr>
                      <w:szCs w:val="21"/>
                    </w:rPr>
                    <w:t>，</w:t>
                  </w:r>
                  <w:r>
                    <w:rPr>
                      <w:rFonts w:hint="eastAsia"/>
                      <w:szCs w:val="21"/>
                    </w:rPr>
                    <w:t>用于玄武岩纤维及制品储存。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2#</w:t>
                  </w:r>
                  <w:r>
                    <w:rPr>
                      <w:rFonts w:hint="eastAsia"/>
                      <w:szCs w:val="21"/>
                    </w:rPr>
                    <w:t>成品车间</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封闭钢结构，建筑面积2</w:t>
                  </w:r>
                  <w:r>
                    <w:rPr>
                      <w:rFonts w:hint="eastAsia"/>
                      <w:szCs w:val="21"/>
                    </w:rPr>
                    <w:t>56</w:t>
                  </w:r>
                  <w:r>
                    <w:rPr>
                      <w:szCs w:val="21"/>
                    </w:rPr>
                    <w:t>0m</w:t>
                  </w:r>
                  <w:r>
                    <w:rPr>
                      <w:szCs w:val="21"/>
                      <w:vertAlign w:val="superscript"/>
                    </w:rPr>
                    <w:t>2</w:t>
                  </w:r>
                  <w:r>
                    <w:rPr>
                      <w:szCs w:val="21"/>
                    </w:rPr>
                    <w:t>，</w:t>
                  </w:r>
                  <w:r>
                    <w:rPr>
                      <w:rFonts w:hint="eastAsia"/>
                      <w:szCs w:val="21"/>
                    </w:rPr>
                    <w:t>用于玄武岩纤维及制品储存。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1#生产</w:t>
                  </w:r>
                  <w:r>
                    <w:rPr>
                      <w:rFonts w:hint="eastAsia"/>
                      <w:szCs w:val="21"/>
                    </w:rPr>
                    <w:t>辅助用房</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封闭钢结构，建筑面积1</w:t>
                  </w:r>
                  <w:r>
                    <w:rPr>
                      <w:rFonts w:hint="eastAsia"/>
                      <w:szCs w:val="21"/>
                    </w:rPr>
                    <w:t>53</w:t>
                  </w:r>
                  <w:r>
                    <w:rPr>
                      <w:szCs w:val="21"/>
                    </w:rPr>
                    <w:t>0m</w:t>
                  </w:r>
                  <w:r>
                    <w:rPr>
                      <w:szCs w:val="21"/>
                      <w:vertAlign w:val="superscript"/>
                    </w:rPr>
                    <w:t>2</w:t>
                  </w:r>
                  <w:r>
                    <w:rPr>
                      <w:szCs w:val="21"/>
                    </w:rPr>
                    <w:t>，</w:t>
                  </w:r>
                  <w:r>
                    <w:rPr>
                      <w:rFonts w:hint="eastAsia"/>
                      <w:szCs w:val="21"/>
                    </w:rPr>
                    <w:t>用于辅料储存。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2#生产</w:t>
                  </w:r>
                  <w:r>
                    <w:rPr>
                      <w:rFonts w:hint="eastAsia"/>
                      <w:szCs w:val="21"/>
                    </w:rPr>
                    <w:t>辅助用房</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封闭钢结构，建筑面积1</w:t>
                  </w:r>
                  <w:r>
                    <w:rPr>
                      <w:rFonts w:hint="eastAsia"/>
                      <w:szCs w:val="21"/>
                    </w:rPr>
                    <w:t>22</w:t>
                  </w:r>
                  <w:r>
                    <w:rPr>
                      <w:szCs w:val="21"/>
                    </w:rPr>
                    <w:t>0m</w:t>
                  </w:r>
                  <w:r>
                    <w:rPr>
                      <w:szCs w:val="21"/>
                      <w:vertAlign w:val="superscript"/>
                    </w:rPr>
                    <w:t>2</w:t>
                  </w:r>
                  <w:r>
                    <w:rPr>
                      <w:szCs w:val="21"/>
                    </w:rPr>
                    <w:t>，</w:t>
                  </w:r>
                  <w:r>
                    <w:rPr>
                      <w:rFonts w:hint="eastAsia"/>
                      <w:szCs w:val="21"/>
                    </w:rPr>
                    <w:t>用于辅料储存。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rFonts w:hint="eastAsia"/>
                      <w:szCs w:val="21"/>
                    </w:rPr>
                    <w:t>原料库</w:t>
                  </w:r>
                </w:p>
              </w:tc>
              <w:tc>
                <w:tcPr>
                  <w:tcW w:w="3412" w:type="pct"/>
                  <w:vAlign w:val="center"/>
                </w:tcPr>
                <w:p>
                  <w:pPr>
                    <w:snapToGrid w:val="0"/>
                    <w:spacing w:line="360" w:lineRule="exact"/>
                    <w:rPr>
                      <w:szCs w:val="21"/>
                    </w:rPr>
                  </w:pPr>
                  <w:r>
                    <w:rPr>
                      <w:szCs w:val="21"/>
                    </w:rPr>
                    <w:t>1F，</w:t>
                  </w:r>
                  <w:r>
                    <w:rPr>
                      <w:rFonts w:hint="eastAsia"/>
                      <w:szCs w:val="21"/>
                    </w:rPr>
                    <w:t>全</w:t>
                  </w:r>
                  <w:r>
                    <w:rPr>
                      <w:szCs w:val="21"/>
                    </w:rPr>
                    <w:t>封闭钢结构，建筑面积</w:t>
                  </w:r>
                  <w:r>
                    <w:rPr>
                      <w:rFonts w:hint="eastAsia"/>
                      <w:szCs w:val="21"/>
                    </w:rPr>
                    <w:t>268</w:t>
                  </w:r>
                  <w:r>
                    <w:rPr>
                      <w:szCs w:val="21"/>
                    </w:rPr>
                    <w:t>0m</w:t>
                  </w:r>
                  <w:r>
                    <w:rPr>
                      <w:szCs w:val="21"/>
                      <w:vertAlign w:val="superscript"/>
                    </w:rPr>
                    <w:t>2</w:t>
                  </w:r>
                  <w:r>
                    <w:rPr>
                      <w:szCs w:val="21"/>
                    </w:rPr>
                    <w:t>，</w:t>
                  </w:r>
                  <w:r>
                    <w:rPr>
                      <w:rFonts w:hint="eastAsia"/>
                      <w:szCs w:val="21"/>
                    </w:rPr>
                    <w:t>用于原料储存。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rFonts w:hint="eastAsia"/>
                      <w:szCs w:val="21"/>
                    </w:rPr>
                    <w:t>办公楼</w:t>
                  </w:r>
                </w:p>
              </w:tc>
              <w:tc>
                <w:tcPr>
                  <w:tcW w:w="3412" w:type="pct"/>
                  <w:vAlign w:val="center"/>
                </w:tcPr>
                <w:p>
                  <w:pPr>
                    <w:snapToGrid w:val="0"/>
                    <w:spacing w:line="360" w:lineRule="exact"/>
                    <w:rPr>
                      <w:szCs w:val="21"/>
                    </w:rPr>
                  </w:pPr>
                  <w:r>
                    <w:rPr>
                      <w:szCs w:val="21"/>
                    </w:rPr>
                    <w:t>3F，</w:t>
                  </w:r>
                  <w:r>
                    <w:rPr>
                      <w:rFonts w:hint="eastAsia"/>
                      <w:szCs w:val="21"/>
                    </w:rPr>
                    <w:t>钢筋混凝土</w:t>
                  </w:r>
                  <w:r>
                    <w:rPr>
                      <w:szCs w:val="21"/>
                    </w:rPr>
                    <w:t>结构，建筑面积3</w:t>
                  </w:r>
                  <w:r>
                    <w:rPr>
                      <w:rFonts w:hint="eastAsia"/>
                      <w:szCs w:val="21"/>
                    </w:rPr>
                    <w:t>18</w:t>
                  </w:r>
                  <w:r>
                    <w:rPr>
                      <w:szCs w:val="21"/>
                    </w:rPr>
                    <w:t>0m</w:t>
                  </w:r>
                  <w:r>
                    <w:rPr>
                      <w:szCs w:val="21"/>
                      <w:vertAlign w:val="superscript"/>
                    </w:rPr>
                    <w:t>2</w:t>
                  </w:r>
                  <w:r>
                    <w:rPr>
                      <w:szCs w:val="21"/>
                    </w:rPr>
                    <w:t>，</w:t>
                  </w:r>
                  <w:r>
                    <w:rPr>
                      <w:rFonts w:hint="eastAsia"/>
                      <w:szCs w:val="21"/>
                    </w:rPr>
                    <w:t>用于办公和生活。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rFonts w:hint="eastAsia"/>
                      <w:szCs w:val="21"/>
                    </w:rPr>
                    <w:t>危废暂存间</w:t>
                  </w:r>
                </w:p>
              </w:tc>
              <w:tc>
                <w:tcPr>
                  <w:tcW w:w="3412" w:type="pct"/>
                  <w:vAlign w:val="center"/>
                </w:tcPr>
                <w:p>
                  <w:pPr>
                    <w:snapToGrid w:val="0"/>
                    <w:spacing w:line="360" w:lineRule="exact"/>
                    <w:rPr>
                      <w:szCs w:val="21"/>
                    </w:rPr>
                  </w:pPr>
                  <w:r>
                    <w:rPr>
                      <w:rFonts w:hint="eastAsia"/>
                      <w:szCs w:val="21"/>
                    </w:rPr>
                    <w:t>位于</w:t>
                  </w:r>
                  <w:r>
                    <w:rPr>
                      <w:szCs w:val="21"/>
                    </w:rPr>
                    <w:t>1#生产</w:t>
                  </w:r>
                  <w:r>
                    <w:rPr>
                      <w:rFonts w:hint="eastAsia"/>
                      <w:szCs w:val="21"/>
                    </w:rPr>
                    <w:t>辅助用房</w:t>
                  </w:r>
                  <w:r>
                    <w:rPr>
                      <w:szCs w:val="21"/>
                    </w:rPr>
                    <w:t>，建筑面积</w:t>
                  </w:r>
                  <w:r>
                    <w:rPr>
                      <w:rFonts w:hint="eastAsia"/>
                      <w:szCs w:val="21"/>
                    </w:rPr>
                    <w:t>2</w:t>
                  </w:r>
                  <w:r>
                    <w:rPr>
                      <w:szCs w:val="21"/>
                    </w:rPr>
                    <w:t>0m</w:t>
                  </w:r>
                  <w:r>
                    <w:rPr>
                      <w:szCs w:val="21"/>
                      <w:vertAlign w:val="superscript"/>
                    </w:rPr>
                    <w:t>2</w:t>
                  </w:r>
                  <w:r>
                    <w:rPr>
                      <w:szCs w:val="21"/>
                    </w:rPr>
                    <w:t>，</w:t>
                  </w:r>
                  <w:r>
                    <w:rPr>
                      <w:rFonts w:hint="eastAsia"/>
                      <w:szCs w:val="21"/>
                    </w:rPr>
                    <w:t>用于危险废物暂存。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rFonts w:hint="eastAsia"/>
                      <w:szCs w:val="21"/>
                    </w:rPr>
                    <w:t>一般固废间</w:t>
                  </w:r>
                </w:p>
              </w:tc>
              <w:tc>
                <w:tcPr>
                  <w:tcW w:w="3412" w:type="pct"/>
                  <w:vAlign w:val="center"/>
                </w:tcPr>
                <w:p>
                  <w:pPr>
                    <w:snapToGrid w:val="0"/>
                    <w:spacing w:line="360" w:lineRule="exact"/>
                    <w:rPr>
                      <w:szCs w:val="21"/>
                    </w:rPr>
                  </w:pPr>
                  <w:r>
                    <w:rPr>
                      <w:rFonts w:hint="eastAsia"/>
                      <w:szCs w:val="21"/>
                    </w:rPr>
                    <w:t>位于</w:t>
                  </w:r>
                  <w:r>
                    <w:rPr>
                      <w:szCs w:val="21"/>
                    </w:rPr>
                    <w:t>1#生产</w:t>
                  </w:r>
                  <w:r>
                    <w:rPr>
                      <w:rFonts w:hint="eastAsia"/>
                      <w:szCs w:val="21"/>
                    </w:rPr>
                    <w:t>辅助用房</w:t>
                  </w:r>
                  <w:r>
                    <w:rPr>
                      <w:szCs w:val="21"/>
                    </w:rPr>
                    <w:t>，建筑面积</w:t>
                  </w:r>
                  <w:r>
                    <w:rPr>
                      <w:rFonts w:hint="eastAsia"/>
                      <w:szCs w:val="21"/>
                    </w:rPr>
                    <w:t>2</w:t>
                  </w:r>
                  <w:r>
                    <w:rPr>
                      <w:szCs w:val="21"/>
                    </w:rPr>
                    <w:t>0m</w:t>
                  </w:r>
                  <w:r>
                    <w:rPr>
                      <w:szCs w:val="21"/>
                      <w:vertAlign w:val="superscript"/>
                    </w:rPr>
                    <w:t>2</w:t>
                  </w:r>
                  <w:r>
                    <w:rPr>
                      <w:szCs w:val="21"/>
                    </w:rPr>
                    <w:t>，</w:t>
                  </w:r>
                  <w:r>
                    <w:rPr>
                      <w:rFonts w:hint="eastAsia"/>
                      <w:szCs w:val="21"/>
                    </w:rPr>
                    <w:t>用于一般固废暂存。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地磅</w:t>
                  </w:r>
                </w:p>
              </w:tc>
              <w:tc>
                <w:tcPr>
                  <w:tcW w:w="3412" w:type="pct"/>
                  <w:vAlign w:val="center"/>
                </w:tcPr>
                <w:p>
                  <w:pPr>
                    <w:snapToGrid w:val="0"/>
                    <w:spacing w:line="360" w:lineRule="exact"/>
                    <w:rPr>
                      <w:szCs w:val="21"/>
                    </w:rPr>
                  </w:pPr>
                  <w:r>
                    <w:rPr>
                      <w:szCs w:val="21"/>
                    </w:rPr>
                    <w:t>厂区</w:t>
                  </w:r>
                  <w:r>
                    <w:rPr>
                      <w:rFonts w:hint="eastAsia"/>
                      <w:szCs w:val="21"/>
                    </w:rPr>
                    <w:t>内设置1</w:t>
                  </w:r>
                  <w:r>
                    <w:rPr>
                      <w:szCs w:val="21"/>
                    </w:rPr>
                    <w:t>座地磅。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restart"/>
                  <w:vAlign w:val="center"/>
                </w:tcPr>
                <w:p>
                  <w:pPr>
                    <w:snapToGrid w:val="0"/>
                    <w:spacing w:line="360" w:lineRule="exact"/>
                    <w:jc w:val="center"/>
                    <w:rPr>
                      <w:szCs w:val="21"/>
                    </w:rPr>
                  </w:pPr>
                  <w:r>
                    <w:rPr>
                      <w:szCs w:val="21"/>
                    </w:rPr>
                    <w:t>公用工程</w:t>
                  </w:r>
                </w:p>
              </w:tc>
              <w:tc>
                <w:tcPr>
                  <w:tcW w:w="1098" w:type="pct"/>
                  <w:vAlign w:val="center"/>
                </w:tcPr>
                <w:p>
                  <w:pPr>
                    <w:snapToGrid w:val="0"/>
                    <w:spacing w:line="360" w:lineRule="exact"/>
                    <w:jc w:val="center"/>
                    <w:rPr>
                      <w:szCs w:val="21"/>
                    </w:rPr>
                  </w:pPr>
                  <w:r>
                    <w:rPr>
                      <w:szCs w:val="21"/>
                    </w:rPr>
                    <w:t>给水</w:t>
                  </w:r>
                </w:p>
              </w:tc>
              <w:tc>
                <w:tcPr>
                  <w:tcW w:w="3412" w:type="pct"/>
                  <w:vAlign w:val="center"/>
                </w:tcPr>
                <w:p>
                  <w:pPr>
                    <w:snapToGrid w:val="0"/>
                    <w:spacing w:line="360" w:lineRule="exact"/>
                    <w:rPr>
                      <w:szCs w:val="21"/>
                    </w:rPr>
                  </w:pPr>
                  <w:r>
                    <w:rPr>
                      <w:rFonts w:hint="eastAsia"/>
                      <w:kern w:val="0"/>
                      <w:szCs w:val="21"/>
                    </w:rPr>
                    <w:t>由园区供水管网</w:t>
                  </w:r>
                  <w:r>
                    <w:rPr>
                      <w:szCs w:val="21"/>
                    </w:rPr>
                    <w:t>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排水</w:t>
                  </w:r>
                </w:p>
              </w:tc>
              <w:tc>
                <w:tcPr>
                  <w:tcW w:w="3412" w:type="pct"/>
                  <w:vAlign w:val="center"/>
                </w:tcPr>
                <w:p>
                  <w:pPr>
                    <w:snapToGrid w:val="0"/>
                    <w:spacing w:line="360" w:lineRule="exact"/>
                    <w:rPr>
                      <w:szCs w:val="21"/>
                    </w:rPr>
                  </w:pPr>
                  <w:r>
                    <w:rPr>
                      <w:szCs w:val="21"/>
                    </w:rPr>
                    <w:t>雨污分流，</w:t>
                  </w:r>
                  <w:r>
                    <w:rPr>
                      <w:rFonts w:hint="eastAsia"/>
                      <w:szCs w:val="21"/>
                    </w:rPr>
                    <w:t>生活污水经园区污水管网排入园区污水处理厂处理，雨水经园区雨水收集</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供暖</w:t>
                  </w:r>
                </w:p>
              </w:tc>
              <w:tc>
                <w:tcPr>
                  <w:tcW w:w="3412" w:type="pct"/>
                  <w:vAlign w:val="center"/>
                </w:tcPr>
                <w:p>
                  <w:pPr>
                    <w:autoSpaceDE w:val="0"/>
                    <w:autoSpaceDN w:val="0"/>
                    <w:adjustRightInd w:val="0"/>
                    <w:jc w:val="left"/>
                    <w:rPr>
                      <w:szCs w:val="21"/>
                    </w:rPr>
                  </w:pPr>
                  <w:r>
                    <w:rPr>
                      <w:rFonts w:hint="eastAsia" w:ascii="宋体" w:cs="宋体"/>
                      <w:kern w:val="0"/>
                      <w:szCs w:val="21"/>
                    </w:rPr>
                    <w:t>采用园区市政管网供热，规划在能源化工园煤制油项目区内新建一座换热站，供商贸物流园和创业创新园采暖用热水，剩余蒸汽进煤制油项目余热发电机组。规划在创业创新园内北部建设一座采暖锅炉房，站内设</w:t>
                  </w:r>
                  <w:r>
                    <w:rPr>
                      <w:rFonts w:ascii="TimesNewRomanPSMT" w:eastAsia="TimesNewRomanPSMT" w:cs="TimesNewRomanPSMT"/>
                      <w:kern w:val="0"/>
                      <w:szCs w:val="21"/>
                    </w:rPr>
                    <w:t>4</w:t>
                  </w:r>
                  <w:r>
                    <w:rPr>
                      <w:rFonts w:hint="eastAsia" w:ascii="宋体" w:cs="宋体"/>
                      <w:kern w:val="0"/>
                      <w:szCs w:val="21"/>
                    </w:rPr>
                    <w:t>台</w:t>
                  </w:r>
                  <w:r>
                    <w:rPr>
                      <w:rFonts w:ascii="TimesNewRomanPSMT" w:eastAsia="TimesNewRomanPSMT" w:cs="TimesNewRomanPSMT"/>
                      <w:kern w:val="0"/>
                      <w:szCs w:val="21"/>
                    </w:rPr>
                    <w:t>8MW</w:t>
                  </w:r>
                  <w:r>
                    <w:rPr>
                      <w:rFonts w:hint="eastAsia" w:ascii="宋体" w:cs="宋体"/>
                      <w:kern w:val="0"/>
                      <w:szCs w:val="21"/>
                    </w:rPr>
                    <w:t>热水锅炉供居民采暖，作为调峰锅炉。正常工况下，利用能源化工园煤制油项目区换热站供创业创新园采暖用热水。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供电</w:t>
                  </w:r>
                </w:p>
              </w:tc>
              <w:tc>
                <w:tcPr>
                  <w:tcW w:w="3412" w:type="pct"/>
                  <w:vAlign w:val="center"/>
                </w:tcPr>
                <w:p>
                  <w:pPr>
                    <w:snapToGrid w:val="0"/>
                    <w:spacing w:line="360" w:lineRule="exact"/>
                    <w:rPr>
                      <w:szCs w:val="21"/>
                    </w:rPr>
                  </w:pPr>
                  <w:r>
                    <w:rPr>
                      <w:rFonts w:hint="eastAsia"/>
                      <w:kern w:val="0"/>
                      <w:szCs w:val="21"/>
                    </w:rPr>
                    <w:t>由园区供电线路</w:t>
                  </w:r>
                  <w:r>
                    <w:rPr>
                      <w:szCs w:val="21"/>
                    </w:rPr>
                    <w:t>供给，厂内设1台变压器。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restart"/>
                  <w:vAlign w:val="center"/>
                </w:tcPr>
                <w:p>
                  <w:pPr>
                    <w:snapToGrid w:val="0"/>
                    <w:spacing w:line="360" w:lineRule="exact"/>
                    <w:jc w:val="center"/>
                    <w:rPr>
                      <w:szCs w:val="21"/>
                    </w:rPr>
                  </w:pPr>
                  <w:r>
                    <w:rPr>
                      <w:szCs w:val="21"/>
                    </w:rPr>
                    <w:t>环保工程</w:t>
                  </w:r>
                </w:p>
              </w:tc>
              <w:tc>
                <w:tcPr>
                  <w:tcW w:w="1098" w:type="pct"/>
                  <w:vMerge w:val="restart"/>
                  <w:vAlign w:val="center"/>
                </w:tcPr>
                <w:p>
                  <w:pPr>
                    <w:snapToGrid w:val="0"/>
                    <w:spacing w:line="360" w:lineRule="exact"/>
                    <w:jc w:val="center"/>
                    <w:rPr>
                      <w:szCs w:val="21"/>
                    </w:rPr>
                  </w:pPr>
                  <w:r>
                    <w:rPr>
                      <w:szCs w:val="21"/>
                    </w:rPr>
                    <w:t>废气</w:t>
                  </w:r>
                </w:p>
              </w:tc>
              <w:tc>
                <w:tcPr>
                  <w:tcW w:w="3412" w:type="pct"/>
                  <w:vAlign w:val="center"/>
                </w:tcPr>
                <w:p>
                  <w:pPr>
                    <w:snapToGrid w:val="0"/>
                    <w:spacing w:line="360" w:lineRule="exact"/>
                    <w:rPr>
                      <w:szCs w:val="21"/>
                      <w:highlight w:val="yellow"/>
                    </w:rPr>
                  </w:pPr>
                  <w:r>
                    <w:rPr>
                      <w:rFonts w:hint="eastAsia"/>
                      <w:szCs w:val="21"/>
                    </w:rPr>
                    <w:t>熔炼烟尘：烟道口颗粒物经集气罩+高温布袋除尘器+高15m排气筒，除尘效率99.5%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Merge w:val="continue"/>
                  <w:vAlign w:val="center"/>
                </w:tcPr>
                <w:p>
                  <w:pPr>
                    <w:snapToGrid w:val="0"/>
                    <w:spacing w:line="360" w:lineRule="exact"/>
                    <w:jc w:val="center"/>
                    <w:rPr>
                      <w:szCs w:val="21"/>
                    </w:rPr>
                  </w:pPr>
                </w:p>
              </w:tc>
              <w:tc>
                <w:tcPr>
                  <w:tcW w:w="3412" w:type="pct"/>
                  <w:vAlign w:val="center"/>
                </w:tcPr>
                <w:p>
                  <w:pPr>
                    <w:snapToGrid w:val="0"/>
                    <w:spacing w:line="360" w:lineRule="exact"/>
                    <w:rPr>
                      <w:szCs w:val="21"/>
                      <w:highlight w:val="yellow"/>
                    </w:rPr>
                  </w:pPr>
                  <w:r>
                    <w:rPr>
                      <w:rFonts w:hint="eastAsia"/>
                      <w:szCs w:val="21"/>
                    </w:rPr>
                    <w:t>烘干有机废气：非甲烷总烃经两级活性炭吸附+15m高排气筒，吸附效率75%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Merge w:val="continue"/>
                  <w:vAlign w:val="center"/>
                </w:tcPr>
                <w:p>
                  <w:pPr>
                    <w:snapToGrid w:val="0"/>
                    <w:spacing w:line="360" w:lineRule="exact"/>
                    <w:jc w:val="center"/>
                    <w:rPr>
                      <w:szCs w:val="21"/>
                    </w:rPr>
                  </w:pPr>
                </w:p>
              </w:tc>
              <w:tc>
                <w:tcPr>
                  <w:tcW w:w="3412" w:type="pct"/>
                  <w:vAlign w:val="center"/>
                </w:tcPr>
                <w:p>
                  <w:pPr>
                    <w:snapToGrid w:val="0"/>
                    <w:spacing w:line="360" w:lineRule="exact"/>
                    <w:rPr>
                      <w:szCs w:val="21"/>
                      <w:highlight w:val="yellow"/>
                    </w:rPr>
                  </w:pPr>
                  <w:r>
                    <w:rPr>
                      <w:rFonts w:hint="eastAsia"/>
                      <w:szCs w:val="21"/>
                    </w:rPr>
                    <w:t>固化有机废气：甲烷总烃经两级活性炭吸附+15m高排气筒，吸附效率75%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Merge w:val="continue"/>
                  <w:vAlign w:val="center"/>
                </w:tcPr>
                <w:p>
                  <w:pPr>
                    <w:snapToGrid w:val="0"/>
                    <w:spacing w:line="360" w:lineRule="exact"/>
                    <w:jc w:val="center"/>
                    <w:rPr>
                      <w:szCs w:val="21"/>
                    </w:rPr>
                  </w:pPr>
                </w:p>
              </w:tc>
              <w:tc>
                <w:tcPr>
                  <w:tcW w:w="3412" w:type="pct"/>
                  <w:vAlign w:val="center"/>
                </w:tcPr>
                <w:p>
                  <w:pPr>
                    <w:snapToGrid w:val="0"/>
                    <w:spacing w:line="360" w:lineRule="exact"/>
                    <w:rPr>
                      <w:szCs w:val="21"/>
                      <w:highlight w:val="yellow"/>
                    </w:rPr>
                  </w:pPr>
                  <w:r>
                    <w:rPr>
                      <w:rFonts w:hint="eastAsia"/>
                      <w:szCs w:val="21"/>
                    </w:rPr>
                    <w:t>食堂油烟排气筒：油烟经油烟净化器处理后引至楼顶排放，净化效率85%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废水</w:t>
                  </w:r>
                </w:p>
              </w:tc>
              <w:tc>
                <w:tcPr>
                  <w:tcW w:w="3412" w:type="pct"/>
                  <w:vAlign w:val="center"/>
                </w:tcPr>
                <w:p>
                  <w:pPr>
                    <w:snapToGrid w:val="0"/>
                    <w:spacing w:line="360" w:lineRule="exact"/>
                    <w:rPr>
                      <w:szCs w:val="21"/>
                    </w:rPr>
                  </w:pPr>
                  <w:r>
                    <w:rPr>
                      <w:rFonts w:hint="eastAsia"/>
                      <w:szCs w:val="21"/>
                    </w:rPr>
                    <w:t>项目</w:t>
                  </w:r>
                  <w:r>
                    <w:rPr>
                      <w:szCs w:val="21"/>
                    </w:rPr>
                    <w:t>无生产废水，冷却水排水和</w:t>
                  </w:r>
                  <w:r>
                    <w:rPr>
                      <w:rFonts w:hint="eastAsia"/>
                      <w:szCs w:val="21"/>
                    </w:rPr>
                    <w:t>生活污水采用化粪池处理，经园区污水管网排入园区污水处理厂处理达标后排放</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噪声</w:t>
                  </w:r>
                </w:p>
              </w:tc>
              <w:tc>
                <w:tcPr>
                  <w:tcW w:w="3412" w:type="pct"/>
                  <w:vAlign w:val="center"/>
                </w:tcPr>
                <w:p>
                  <w:pPr>
                    <w:snapToGrid w:val="0"/>
                    <w:spacing w:line="360" w:lineRule="exact"/>
                    <w:rPr>
                      <w:szCs w:val="21"/>
                    </w:rPr>
                  </w:pPr>
                  <w:r>
                    <w:rPr>
                      <w:szCs w:val="21"/>
                    </w:rPr>
                    <w:t>设备均布置在厂房内，设备采取基础减振、柔性连接、消声等降噪措施。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9" w:type="pct"/>
                  <w:vMerge w:val="continue"/>
                  <w:vAlign w:val="center"/>
                </w:tcPr>
                <w:p>
                  <w:pPr>
                    <w:snapToGrid w:val="0"/>
                    <w:spacing w:line="360" w:lineRule="exact"/>
                    <w:jc w:val="center"/>
                    <w:rPr>
                      <w:szCs w:val="21"/>
                    </w:rPr>
                  </w:pPr>
                </w:p>
              </w:tc>
              <w:tc>
                <w:tcPr>
                  <w:tcW w:w="1098" w:type="pct"/>
                  <w:vAlign w:val="center"/>
                </w:tcPr>
                <w:p>
                  <w:pPr>
                    <w:snapToGrid w:val="0"/>
                    <w:spacing w:line="360" w:lineRule="exact"/>
                    <w:jc w:val="center"/>
                    <w:rPr>
                      <w:szCs w:val="21"/>
                    </w:rPr>
                  </w:pPr>
                  <w:r>
                    <w:rPr>
                      <w:szCs w:val="21"/>
                    </w:rPr>
                    <w:t>固废</w:t>
                  </w:r>
                </w:p>
              </w:tc>
              <w:tc>
                <w:tcPr>
                  <w:tcW w:w="3412" w:type="pct"/>
                  <w:vAlign w:val="center"/>
                </w:tcPr>
                <w:p>
                  <w:pPr>
                    <w:snapToGrid w:val="0"/>
                    <w:spacing w:line="360" w:lineRule="exact"/>
                    <w:rPr>
                      <w:szCs w:val="21"/>
                      <w:highlight w:val="yellow"/>
                    </w:rPr>
                  </w:pPr>
                  <w:r>
                    <w:rPr>
                      <w:rFonts w:hint="eastAsia"/>
                      <w:bCs/>
                      <w:szCs w:val="21"/>
                    </w:rPr>
                    <w:t>不合格成品和除尘灰回用生产；生活垃圾</w:t>
                  </w:r>
                  <w:r>
                    <w:rPr>
                      <w:rFonts w:hint="eastAsia"/>
                    </w:rPr>
                    <w:t>分类</w:t>
                  </w:r>
                  <w:r>
                    <w:rPr>
                      <w:rFonts w:hint="eastAsia"/>
                      <w:lang w:val="zh-CN"/>
                    </w:rPr>
                    <w:t>收集后，</w:t>
                  </w:r>
                  <w:r>
                    <w:rPr>
                      <w:rFonts w:hint="eastAsia"/>
                    </w:rPr>
                    <w:t>由环卫部门清运处置</w:t>
                  </w:r>
                  <w:r>
                    <w:rPr>
                      <w:rFonts w:hint="eastAsia"/>
                      <w:bCs/>
                      <w:szCs w:val="21"/>
                    </w:rPr>
                    <w:t>；废包装桶由厂家回收利用，废成品包装纸箱由废品回收站回收利用；废润滑油和废活性炭</w:t>
                  </w:r>
                  <w:r>
                    <w:rPr>
                      <w:bCs/>
                      <w:szCs w:val="21"/>
                    </w:rPr>
                    <w:t>暂存于危废</w:t>
                  </w:r>
                  <w:r>
                    <w:rPr>
                      <w:rFonts w:hint="eastAsia"/>
                      <w:bCs/>
                      <w:szCs w:val="21"/>
                    </w:rPr>
                    <w:t>暂存间</w:t>
                  </w:r>
                  <w:r>
                    <w:rPr>
                      <w:bCs/>
                      <w:szCs w:val="21"/>
                    </w:rPr>
                    <w:t>，</w:t>
                  </w:r>
                  <w:r>
                    <w:rPr>
                      <w:rFonts w:hint="eastAsia"/>
                      <w:bCs/>
                      <w:szCs w:val="21"/>
                    </w:rPr>
                    <w:t>委托有资质单位处置。</w:t>
                  </w:r>
                </w:p>
              </w:tc>
            </w:tr>
          </w:tbl>
          <w:p>
            <w:pPr>
              <w:spacing w:line="360" w:lineRule="auto"/>
              <w:ind w:left="630"/>
              <w:rPr>
                <w:b/>
                <w:bCs/>
                <w:sz w:val="24"/>
              </w:rPr>
            </w:pPr>
            <w:r>
              <w:rPr>
                <w:rFonts w:hint="eastAsia"/>
                <w:b/>
                <w:bCs/>
                <w:sz w:val="24"/>
              </w:rPr>
              <w:t>3、</w:t>
            </w:r>
            <w:r>
              <w:rPr>
                <w:b/>
                <w:bCs/>
                <w:sz w:val="24"/>
              </w:rPr>
              <w:t>项目设备</w:t>
            </w:r>
          </w:p>
          <w:p>
            <w:pPr>
              <w:spacing w:line="360" w:lineRule="auto"/>
              <w:ind w:firstLine="480" w:firstLineChars="200"/>
              <w:rPr>
                <w:sz w:val="24"/>
              </w:rPr>
            </w:pPr>
            <w:r>
              <w:rPr>
                <w:rFonts w:hint="eastAsia"/>
                <w:sz w:val="24"/>
              </w:rPr>
              <w:t>项目</w:t>
            </w:r>
            <w:r>
              <w:rPr>
                <w:sz w:val="24"/>
              </w:rPr>
              <w:t>主要设备见表</w:t>
            </w:r>
            <w:r>
              <w:rPr>
                <w:rFonts w:hint="eastAsia"/>
                <w:sz w:val="24"/>
              </w:rPr>
              <w:t>2-2</w:t>
            </w:r>
            <w:r>
              <w:rPr>
                <w:sz w:val="24"/>
              </w:rPr>
              <w:t>。</w:t>
            </w:r>
          </w:p>
          <w:p>
            <w:pPr>
              <w:ind w:firstLine="422" w:firstLineChars="200"/>
              <w:jc w:val="center"/>
            </w:pPr>
            <w:r>
              <w:rPr>
                <w:b/>
                <w:bCs/>
                <w:szCs w:val="21"/>
              </w:rPr>
              <w:t>表</w:t>
            </w:r>
            <w:r>
              <w:rPr>
                <w:rFonts w:hint="eastAsia"/>
                <w:b/>
                <w:bCs/>
                <w:szCs w:val="21"/>
              </w:rPr>
              <w:t>2-2  项目</w:t>
            </w:r>
            <w:r>
              <w:rPr>
                <w:b/>
                <w:bCs/>
                <w:szCs w:val="21"/>
              </w:rPr>
              <w:t>主要设备清单</w:t>
            </w:r>
          </w:p>
          <w:tbl>
            <w:tblPr>
              <w:tblStyle w:val="31"/>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964"/>
              <w:gridCol w:w="2796"/>
              <w:gridCol w:w="969"/>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序号</w:t>
                  </w:r>
                </w:p>
              </w:tc>
              <w:tc>
                <w:tcPr>
                  <w:tcW w:w="2964" w:type="dxa"/>
                  <w:vAlign w:val="center"/>
                </w:tcPr>
                <w:p>
                  <w:pPr>
                    <w:adjustRightInd w:val="0"/>
                    <w:snapToGrid w:val="0"/>
                    <w:jc w:val="center"/>
                    <w:rPr>
                      <w:kern w:val="0"/>
                      <w:szCs w:val="21"/>
                    </w:rPr>
                  </w:pPr>
                  <w:r>
                    <w:rPr>
                      <w:rFonts w:hint="eastAsia"/>
                      <w:szCs w:val="21"/>
                    </w:rPr>
                    <w:t>设备名称</w:t>
                  </w:r>
                </w:p>
              </w:tc>
              <w:tc>
                <w:tcPr>
                  <w:tcW w:w="2796" w:type="dxa"/>
                  <w:vAlign w:val="center"/>
                </w:tcPr>
                <w:p>
                  <w:pPr>
                    <w:adjustRightInd w:val="0"/>
                    <w:snapToGrid w:val="0"/>
                    <w:jc w:val="center"/>
                    <w:rPr>
                      <w:kern w:val="0"/>
                      <w:szCs w:val="21"/>
                    </w:rPr>
                  </w:pPr>
                  <w:r>
                    <w:rPr>
                      <w:rFonts w:hint="eastAsia"/>
                      <w:szCs w:val="21"/>
                    </w:rPr>
                    <w:t>型号</w:t>
                  </w:r>
                </w:p>
              </w:tc>
              <w:tc>
                <w:tcPr>
                  <w:tcW w:w="969" w:type="dxa"/>
                  <w:vAlign w:val="center"/>
                </w:tcPr>
                <w:p>
                  <w:pPr>
                    <w:adjustRightInd w:val="0"/>
                    <w:snapToGrid w:val="0"/>
                    <w:jc w:val="center"/>
                    <w:rPr>
                      <w:kern w:val="0"/>
                      <w:szCs w:val="21"/>
                    </w:rPr>
                  </w:pPr>
                  <w:r>
                    <w:rPr>
                      <w:rFonts w:hint="eastAsia"/>
                      <w:szCs w:val="21"/>
                    </w:rPr>
                    <w:t>单位</w:t>
                  </w:r>
                </w:p>
              </w:tc>
              <w:tc>
                <w:tcPr>
                  <w:tcW w:w="969" w:type="dxa"/>
                  <w:vAlign w:val="center"/>
                </w:tcPr>
                <w:p>
                  <w:pPr>
                    <w:adjustRightInd w:val="0"/>
                    <w:snapToGrid w:val="0"/>
                    <w:jc w:val="center"/>
                    <w:rPr>
                      <w:kern w:val="0"/>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21" w:type="dxa"/>
                  <w:vAlign w:val="center"/>
                </w:tcPr>
                <w:p>
                  <w:pPr>
                    <w:adjustRightInd w:val="0"/>
                    <w:snapToGrid w:val="0"/>
                    <w:jc w:val="center"/>
                    <w:rPr>
                      <w:szCs w:val="21"/>
                    </w:rPr>
                  </w:pPr>
                  <w:r>
                    <w:rPr>
                      <w:rFonts w:hint="eastAsia"/>
                      <w:szCs w:val="21"/>
                    </w:rPr>
                    <w:t>一</w:t>
                  </w:r>
                </w:p>
              </w:tc>
              <w:tc>
                <w:tcPr>
                  <w:tcW w:w="2964" w:type="dxa"/>
                  <w:vAlign w:val="center"/>
                </w:tcPr>
                <w:p>
                  <w:pPr>
                    <w:adjustRightInd w:val="0"/>
                    <w:snapToGrid w:val="0"/>
                    <w:jc w:val="center"/>
                    <w:rPr>
                      <w:szCs w:val="21"/>
                    </w:rPr>
                  </w:pPr>
                  <w:r>
                    <w:rPr>
                      <w:b/>
                    </w:rPr>
                    <w:t>池窑及其配套设备</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1</w:t>
                  </w:r>
                </w:p>
              </w:tc>
              <w:tc>
                <w:tcPr>
                  <w:tcW w:w="2964" w:type="dxa"/>
                  <w:vAlign w:val="center"/>
                </w:tcPr>
                <w:p>
                  <w:pPr>
                    <w:pStyle w:val="101"/>
                    <w:spacing w:before="61"/>
                    <w:ind w:left="519" w:right="513"/>
                    <w:jc w:val="center"/>
                    <w:rPr>
                      <w:sz w:val="21"/>
                    </w:rPr>
                  </w:pPr>
                  <w:r>
                    <w:rPr>
                      <w:sz w:val="21"/>
                    </w:rPr>
                    <w:t>池窑</w:t>
                  </w:r>
                </w:p>
              </w:tc>
              <w:tc>
                <w:tcPr>
                  <w:tcW w:w="2796" w:type="dxa"/>
                  <w:vAlign w:val="center"/>
                </w:tcPr>
                <w:p>
                  <w:pPr>
                    <w:adjustRightInd w:val="0"/>
                    <w:snapToGrid w:val="0"/>
                    <w:jc w:val="center"/>
                    <w:rPr>
                      <w:szCs w:val="21"/>
                    </w:rPr>
                  </w:pPr>
                  <w:r>
                    <w:rPr>
                      <w:szCs w:val="21"/>
                    </w:rPr>
                    <w:t>3000t/a，采用电加热</w:t>
                  </w:r>
                </w:p>
              </w:tc>
              <w:tc>
                <w:tcPr>
                  <w:tcW w:w="969" w:type="dxa"/>
                  <w:vAlign w:val="center"/>
                </w:tcPr>
                <w:p>
                  <w:pPr>
                    <w:adjustRightInd w:val="0"/>
                    <w:snapToGrid w:val="0"/>
                    <w:jc w:val="center"/>
                    <w:rPr>
                      <w:szCs w:val="21"/>
                    </w:rPr>
                  </w:pPr>
                  <w:r>
                    <w:rPr>
                      <w:rFonts w:hint="eastAsia"/>
                      <w:szCs w:val="21"/>
                    </w:rPr>
                    <w:t>套</w:t>
                  </w:r>
                </w:p>
              </w:tc>
              <w:tc>
                <w:tcPr>
                  <w:tcW w:w="969" w:type="dxa"/>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2</w:t>
                  </w:r>
                </w:p>
              </w:tc>
              <w:tc>
                <w:tcPr>
                  <w:tcW w:w="2964" w:type="dxa"/>
                  <w:vAlign w:val="center"/>
                </w:tcPr>
                <w:p>
                  <w:pPr>
                    <w:pStyle w:val="101"/>
                    <w:spacing w:before="62"/>
                    <w:ind w:left="521" w:right="513"/>
                    <w:jc w:val="center"/>
                    <w:rPr>
                      <w:sz w:val="21"/>
                    </w:rPr>
                  </w:pPr>
                  <w:r>
                    <w:rPr>
                      <w:sz w:val="21"/>
                    </w:rPr>
                    <w:t>电助熔系统</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套</w:t>
                  </w:r>
                </w:p>
              </w:tc>
              <w:tc>
                <w:tcPr>
                  <w:tcW w:w="969" w:type="dxa"/>
                </w:tcPr>
                <w:p>
                  <w:pPr>
                    <w:jc w:val="cente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3</w:t>
                  </w:r>
                </w:p>
              </w:tc>
              <w:tc>
                <w:tcPr>
                  <w:tcW w:w="2964" w:type="dxa"/>
                  <w:vAlign w:val="center"/>
                </w:tcPr>
                <w:p>
                  <w:pPr>
                    <w:pStyle w:val="101"/>
                    <w:spacing w:before="61"/>
                    <w:ind w:right="513"/>
                    <w:jc w:val="center"/>
                    <w:rPr>
                      <w:sz w:val="21"/>
                    </w:rPr>
                  </w:pPr>
                  <w:r>
                    <w:rPr>
                      <w:sz w:val="21"/>
                    </w:rPr>
                    <w:t>风机、烟囱及</w:t>
                  </w:r>
                  <w:r>
                    <w:rPr>
                      <w:rFonts w:hint="eastAsia" w:ascii="宋体" w:hAnsi="宋体" w:eastAsia="宋体"/>
                      <w:sz w:val="21"/>
                    </w:rPr>
                    <w:t>除尘器</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套</w:t>
                  </w:r>
                </w:p>
              </w:tc>
              <w:tc>
                <w:tcPr>
                  <w:tcW w:w="969" w:type="dxa"/>
                </w:tcPr>
                <w:p>
                  <w:pPr>
                    <w:jc w:val="cente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4</w:t>
                  </w:r>
                </w:p>
              </w:tc>
              <w:tc>
                <w:tcPr>
                  <w:tcW w:w="2964" w:type="dxa"/>
                  <w:vAlign w:val="center"/>
                </w:tcPr>
                <w:p>
                  <w:pPr>
                    <w:pStyle w:val="101"/>
                    <w:spacing w:before="62"/>
                    <w:ind w:left="519" w:right="513"/>
                    <w:jc w:val="center"/>
                    <w:rPr>
                      <w:sz w:val="21"/>
                    </w:rPr>
                  </w:pPr>
                  <w:r>
                    <w:rPr>
                      <w:sz w:val="21"/>
                    </w:rPr>
                    <w:t>加料机</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台</w:t>
                  </w:r>
                </w:p>
              </w:tc>
              <w:tc>
                <w:tcPr>
                  <w:tcW w:w="969" w:type="dxa"/>
                </w:tcPr>
                <w:p>
                  <w:pPr>
                    <w:jc w:val="cente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5</w:t>
                  </w:r>
                </w:p>
              </w:tc>
              <w:tc>
                <w:tcPr>
                  <w:tcW w:w="2964" w:type="dxa"/>
                  <w:vAlign w:val="center"/>
                </w:tcPr>
                <w:p>
                  <w:pPr>
                    <w:pStyle w:val="101"/>
                    <w:spacing w:before="61"/>
                    <w:ind w:left="519" w:right="513"/>
                    <w:jc w:val="center"/>
                    <w:rPr>
                      <w:sz w:val="21"/>
                    </w:rPr>
                  </w:pPr>
                  <w:r>
                    <w:rPr>
                      <w:sz w:val="21"/>
                    </w:rPr>
                    <w:t>上料机</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台</w:t>
                  </w:r>
                </w:p>
              </w:tc>
              <w:tc>
                <w:tcPr>
                  <w:tcW w:w="969" w:type="dxa"/>
                </w:tcPr>
                <w:p>
                  <w:pPr>
                    <w:jc w:val="cente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6</w:t>
                  </w:r>
                </w:p>
              </w:tc>
              <w:tc>
                <w:tcPr>
                  <w:tcW w:w="2964" w:type="dxa"/>
                  <w:vAlign w:val="center"/>
                </w:tcPr>
                <w:p>
                  <w:pPr>
                    <w:pStyle w:val="101"/>
                    <w:spacing w:before="62"/>
                    <w:ind w:left="519" w:right="513"/>
                    <w:jc w:val="center"/>
                    <w:rPr>
                      <w:rFonts w:eastAsia="宋体"/>
                      <w:sz w:val="21"/>
                    </w:rPr>
                  </w:pPr>
                  <w:r>
                    <w:rPr>
                      <w:rFonts w:hint="eastAsia" w:eastAsia="宋体"/>
                      <w:sz w:val="21"/>
                    </w:rPr>
                    <w:t>窑前料仓</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套</w:t>
                  </w:r>
                </w:p>
              </w:tc>
              <w:tc>
                <w:tcPr>
                  <w:tcW w:w="969" w:type="dxa"/>
                </w:tcPr>
                <w:p>
                  <w:pPr>
                    <w:jc w:val="cente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szCs w:val="21"/>
                    </w:rPr>
                  </w:pPr>
                  <w:r>
                    <w:rPr>
                      <w:rFonts w:hint="eastAsia"/>
                      <w:szCs w:val="21"/>
                    </w:rPr>
                    <w:t>7</w:t>
                  </w:r>
                </w:p>
              </w:tc>
              <w:tc>
                <w:tcPr>
                  <w:tcW w:w="2964" w:type="dxa"/>
                  <w:vAlign w:val="center"/>
                </w:tcPr>
                <w:p>
                  <w:pPr>
                    <w:pStyle w:val="101"/>
                    <w:spacing w:before="62"/>
                    <w:ind w:left="519" w:right="513"/>
                    <w:jc w:val="center"/>
                    <w:rPr>
                      <w:sz w:val="21"/>
                    </w:rPr>
                  </w:pPr>
                  <w:r>
                    <w:rPr>
                      <w:sz w:val="21"/>
                    </w:rPr>
                    <w:t>漏板控制系统</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套</w:t>
                  </w:r>
                </w:p>
              </w:tc>
              <w:tc>
                <w:tcPr>
                  <w:tcW w:w="969" w:type="dxa"/>
                </w:tcPr>
                <w:p>
                  <w:pPr>
                    <w:jc w:val="cente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szCs w:val="21"/>
                    </w:rPr>
                  </w:pPr>
                  <w:r>
                    <w:rPr>
                      <w:rFonts w:hint="eastAsia"/>
                      <w:szCs w:val="21"/>
                    </w:rPr>
                    <w:t>二</w:t>
                  </w:r>
                </w:p>
              </w:tc>
              <w:tc>
                <w:tcPr>
                  <w:tcW w:w="2964" w:type="dxa"/>
                  <w:vAlign w:val="center"/>
                </w:tcPr>
                <w:p>
                  <w:pPr>
                    <w:adjustRightInd w:val="0"/>
                    <w:snapToGrid w:val="0"/>
                    <w:jc w:val="center"/>
                    <w:rPr>
                      <w:szCs w:val="21"/>
                    </w:rPr>
                  </w:pPr>
                  <w:r>
                    <w:rPr>
                      <w:b/>
                    </w:rPr>
                    <w:t>纤维</w:t>
                  </w:r>
                  <w:r>
                    <w:rPr>
                      <w:rFonts w:hint="eastAsia"/>
                      <w:b/>
                    </w:rPr>
                    <w:t>及</w:t>
                  </w:r>
                  <w:r>
                    <w:rPr>
                      <w:b/>
                    </w:rPr>
                    <w:t>制品生产</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1</w:t>
                  </w:r>
                </w:p>
              </w:tc>
              <w:tc>
                <w:tcPr>
                  <w:tcW w:w="2964" w:type="dxa"/>
                  <w:vAlign w:val="center"/>
                </w:tcPr>
                <w:p>
                  <w:pPr>
                    <w:pStyle w:val="101"/>
                    <w:spacing w:before="61"/>
                    <w:ind w:left="519" w:right="513"/>
                    <w:jc w:val="center"/>
                    <w:rPr>
                      <w:sz w:val="21"/>
                    </w:rPr>
                  </w:pPr>
                  <w:r>
                    <w:rPr>
                      <w:sz w:val="21"/>
                    </w:rPr>
                    <w:t>铂铑合金漏板</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套</w:t>
                  </w:r>
                </w:p>
              </w:tc>
              <w:tc>
                <w:tcPr>
                  <w:tcW w:w="969" w:type="dxa"/>
                  <w:vAlign w:val="center"/>
                </w:tcPr>
                <w:p>
                  <w:pPr>
                    <w:adjustRightInd w:val="0"/>
                    <w:snapToGrid w:val="0"/>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2</w:t>
                  </w:r>
                </w:p>
              </w:tc>
              <w:tc>
                <w:tcPr>
                  <w:tcW w:w="2964" w:type="dxa"/>
                  <w:vAlign w:val="center"/>
                </w:tcPr>
                <w:p>
                  <w:pPr>
                    <w:pStyle w:val="101"/>
                    <w:spacing w:before="62"/>
                    <w:ind w:left="521" w:right="513"/>
                    <w:jc w:val="center"/>
                    <w:rPr>
                      <w:sz w:val="21"/>
                    </w:rPr>
                  </w:pPr>
                  <w:r>
                    <w:rPr>
                      <w:sz w:val="21"/>
                    </w:rPr>
                    <w:t>漏板变压器</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台</w:t>
                  </w:r>
                </w:p>
              </w:tc>
              <w:tc>
                <w:tcPr>
                  <w:tcW w:w="969" w:type="dxa"/>
                  <w:vAlign w:val="center"/>
                </w:tcPr>
                <w:p>
                  <w:pPr>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3</w:t>
                  </w:r>
                </w:p>
              </w:tc>
              <w:tc>
                <w:tcPr>
                  <w:tcW w:w="2964" w:type="dxa"/>
                  <w:vAlign w:val="center"/>
                </w:tcPr>
                <w:p>
                  <w:pPr>
                    <w:pStyle w:val="101"/>
                    <w:spacing w:before="61"/>
                    <w:ind w:left="519" w:right="513"/>
                    <w:jc w:val="center"/>
                    <w:rPr>
                      <w:sz w:val="21"/>
                    </w:rPr>
                  </w:pPr>
                  <w:r>
                    <w:rPr>
                      <w:sz w:val="21"/>
                    </w:rPr>
                    <w:t>漏板控制仪表</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台</w:t>
                  </w:r>
                </w:p>
              </w:tc>
              <w:tc>
                <w:tcPr>
                  <w:tcW w:w="969" w:type="dxa"/>
                  <w:vAlign w:val="center"/>
                </w:tcPr>
                <w:p>
                  <w:pPr>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4</w:t>
                  </w:r>
                </w:p>
              </w:tc>
              <w:tc>
                <w:tcPr>
                  <w:tcW w:w="2964" w:type="dxa"/>
                  <w:vAlign w:val="center"/>
                </w:tcPr>
                <w:p>
                  <w:pPr>
                    <w:pStyle w:val="101"/>
                    <w:spacing w:before="62"/>
                    <w:ind w:left="519" w:right="513"/>
                    <w:jc w:val="center"/>
                    <w:rPr>
                      <w:sz w:val="21"/>
                    </w:rPr>
                  </w:pPr>
                  <w:r>
                    <w:rPr>
                      <w:sz w:val="21"/>
                    </w:rPr>
                    <w:t>拉丝机</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台</w:t>
                  </w:r>
                </w:p>
              </w:tc>
              <w:tc>
                <w:tcPr>
                  <w:tcW w:w="969" w:type="dxa"/>
                  <w:vAlign w:val="center"/>
                </w:tcPr>
                <w:p>
                  <w:pPr>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5</w:t>
                  </w:r>
                </w:p>
              </w:tc>
              <w:tc>
                <w:tcPr>
                  <w:tcW w:w="2964" w:type="dxa"/>
                  <w:vAlign w:val="center"/>
                </w:tcPr>
                <w:p>
                  <w:pPr>
                    <w:pStyle w:val="101"/>
                    <w:spacing w:before="63"/>
                    <w:ind w:left="519" w:right="513"/>
                    <w:jc w:val="center"/>
                    <w:rPr>
                      <w:sz w:val="21"/>
                    </w:rPr>
                  </w:pPr>
                  <w:r>
                    <w:rPr>
                      <w:sz w:val="21"/>
                    </w:rPr>
                    <w:t>拉丝机组平台</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套</w:t>
                  </w:r>
                </w:p>
              </w:tc>
              <w:tc>
                <w:tcPr>
                  <w:tcW w:w="969" w:type="dxa"/>
                  <w:vAlign w:val="center"/>
                </w:tcPr>
                <w:p>
                  <w:pPr>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6</w:t>
                  </w:r>
                </w:p>
              </w:tc>
              <w:tc>
                <w:tcPr>
                  <w:tcW w:w="2964" w:type="dxa"/>
                  <w:vAlign w:val="center"/>
                </w:tcPr>
                <w:p>
                  <w:pPr>
                    <w:pStyle w:val="101"/>
                    <w:spacing w:before="63"/>
                    <w:ind w:right="513"/>
                    <w:jc w:val="center"/>
                    <w:rPr>
                      <w:sz w:val="21"/>
                    </w:rPr>
                  </w:pPr>
                  <w:r>
                    <w:rPr>
                      <w:rFonts w:hint="eastAsia" w:eastAsia="宋体"/>
                      <w:sz w:val="21"/>
                    </w:rPr>
                    <w:t xml:space="preserve">    </w:t>
                  </w:r>
                  <w:r>
                    <w:rPr>
                      <w:sz w:val="21"/>
                    </w:rPr>
                    <w:t>涂油系统</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台</w:t>
                  </w:r>
                </w:p>
              </w:tc>
              <w:tc>
                <w:tcPr>
                  <w:tcW w:w="969" w:type="dxa"/>
                  <w:vAlign w:val="center"/>
                </w:tcPr>
                <w:p>
                  <w:pPr>
                    <w:adjustRightInd w:val="0"/>
                    <w:snapToGrid w:val="0"/>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kern w:val="0"/>
                      <w:szCs w:val="21"/>
                    </w:rPr>
                  </w:pPr>
                  <w:r>
                    <w:rPr>
                      <w:rFonts w:hint="eastAsia"/>
                      <w:szCs w:val="21"/>
                    </w:rPr>
                    <w:t>7</w:t>
                  </w:r>
                </w:p>
              </w:tc>
              <w:tc>
                <w:tcPr>
                  <w:tcW w:w="2964" w:type="dxa"/>
                  <w:vAlign w:val="center"/>
                </w:tcPr>
                <w:p>
                  <w:pPr>
                    <w:pStyle w:val="101"/>
                    <w:spacing w:before="63"/>
                    <w:ind w:right="513"/>
                    <w:jc w:val="center"/>
                    <w:rPr>
                      <w:sz w:val="21"/>
                    </w:rPr>
                  </w:pPr>
                  <w:r>
                    <w:rPr>
                      <w:rFonts w:hint="eastAsia" w:eastAsia="宋体"/>
                      <w:sz w:val="21"/>
                    </w:rPr>
                    <w:t xml:space="preserve">    </w:t>
                  </w:r>
                  <w:r>
                    <w:rPr>
                      <w:sz w:val="21"/>
                    </w:rPr>
                    <w:t>烘箱</w:t>
                  </w:r>
                </w:p>
              </w:tc>
              <w:tc>
                <w:tcPr>
                  <w:tcW w:w="2796" w:type="dxa"/>
                  <w:vAlign w:val="center"/>
                </w:tcPr>
                <w:p>
                  <w:pPr>
                    <w:adjustRightInd w:val="0"/>
                    <w:snapToGrid w:val="0"/>
                    <w:jc w:val="center"/>
                    <w:rPr>
                      <w:szCs w:val="21"/>
                    </w:rPr>
                  </w:pPr>
                  <w:r>
                    <w:rPr>
                      <w:rFonts w:hint="eastAsia"/>
                      <w:szCs w:val="21"/>
                    </w:rPr>
                    <w:t>电加热</w:t>
                  </w:r>
                </w:p>
              </w:tc>
              <w:tc>
                <w:tcPr>
                  <w:tcW w:w="969" w:type="dxa"/>
                  <w:vAlign w:val="center"/>
                </w:tcPr>
                <w:p>
                  <w:pPr>
                    <w:adjustRightInd w:val="0"/>
                    <w:snapToGrid w:val="0"/>
                    <w:jc w:val="center"/>
                    <w:rPr>
                      <w:szCs w:val="21"/>
                    </w:rPr>
                  </w:pPr>
                  <w:r>
                    <w:rPr>
                      <w:rFonts w:hint="eastAsia"/>
                      <w:szCs w:val="21"/>
                    </w:rPr>
                    <w:t>台</w:t>
                  </w:r>
                </w:p>
              </w:tc>
              <w:tc>
                <w:tcPr>
                  <w:tcW w:w="969" w:type="dxa"/>
                  <w:vAlign w:val="center"/>
                </w:tcPr>
                <w:p>
                  <w:pPr>
                    <w:adjustRightInd w:val="0"/>
                    <w:snapToGrid w:val="0"/>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szCs w:val="21"/>
                    </w:rPr>
                  </w:pPr>
                  <w:r>
                    <w:rPr>
                      <w:rFonts w:hint="eastAsia"/>
                      <w:szCs w:val="21"/>
                    </w:rPr>
                    <w:t>8</w:t>
                  </w:r>
                </w:p>
              </w:tc>
              <w:tc>
                <w:tcPr>
                  <w:tcW w:w="2964" w:type="dxa"/>
                  <w:vAlign w:val="center"/>
                </w:tcPr>
                <w:p>
                  <w:pPr>
                    <w:adjustRightInd w:val="0"/>
                    <w:snapToGrid w:val="0"/>
                    <w:jc w:val="center"/>
                    <w:rPr>
                      <w:rFonts w:ascii="宋体" w:hAnsi="宋体"/>
                      <w:szCs w:val="21"/>
                    </w:rPr>
                  </w:pPr>
                  <w:r>
                    <w:t>络纱机</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台</w:t>
                  </w:r>
                </w:p>
              </w:tc>
              <w:tc>
                <w:tcPr>
                  <w:tcW w:w="969" w:type="dxa"/>
                  <w:vAlign w:val="center"/>
                </w:tcPr>
                <w:p>
                  <w:pPr>
                    <w:adjustRightInd w:val="0"/>
                    <w:snapToGrid w:val="0"/>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szCs w:val="21"/>
                    </w:rPr>
                  </w:pPr>
                  <w:r>
                    <w:rPr>
                      <w:rFonts w:hint="eastAsia"/>
                      <w:szCs w:val="21"/>
                    </w:rPr>
                    <w:t>9</w:t>
                  </w:r>
                </w:p>
              </w:tc>
              <w:tc>
                <w:tcPr>
                  <w:tcW w:w="2964" w:type="dxa"/>
                  <w:vAlign w:val="center"/>
                </w:tcPr>
                <w:p>
                  <w:pPr>
                    <w:adjustRightInd w:val="0"/>
                    <w:snapToGrid w:val="0"/>
                    <w:jc w:val="center"/>
                    <w:rPr>
                      <w:rFonts w:ascii="宋体" w:hAnsi="宋体"/>
                      <w:szCs w:val="21"/>
                    </w:rPr>
                  </w:pPr>
                  <w:r>
                    <w:rPr>
                      <w:rFonts w:hint="eastAsia" w:ascii="宋体" w:hAnsi="宋体"/>
                      <w:szCs w:val="21"/>
                    </w:rPr>
                    <w:t>短切机</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台</w:t>
                  </w:r>
                </w:p>
              </w:tc>
              <w:tc>
                <w:tcPr>
                  <w:tcW w:w="969" w:type="dxa"/>
                  <w:vAlign w:val="center"/>
                </w:tcPr>
                <w:p>
                  <w:pPr>
                    <w:adjustRightInd w:val="0"/>
                    <w:snapToGrid w:val="0"/>
                    <w:jc w:val="center"/>
                    <w:rPr>
                      <w:szCs w:val="21"/>
                    </w:rPr>
                  </w:pPr>
                  <w:r>
                    <w:rPr>
                      <w:rFonts w:hint="eastAsia"/>
                      <w:szCs w:val="21"/>
                    </w:rPr>
                    <w:t>4</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szCs w:val="21"/>
                    </w:rPr>
                  </w:pPr>
                  <w:r>
                    <w:rPr>
                      <w:rFonts w:hint="eastAsia"/>
                      <w:szCs w:val="21"/>
                    </w:rPr>
                    <w:t>1</w:t>
                  </w:r>
                  <w:r>
                    <w:rPr>
                      <w:szCs w:val="21"/>
                    </w:rPr>
                    <w:t>0</w:t>
                  </w:r>
                </w:p>
              </w:tc>
              <w:tc>
                <w:tcPr>
                  <w:tcW w:w="2964" w:type="dxa"/>
                  <w:vAlign w:val="center"/>
                </w:tcPr>
                <w:p>
                  <w:pPr>
                    <w:adjustRightInd w:val="0"/>
                    <w:snapToGrid w:val="0"/>
                    <w:jc w:val="center"/>
                    <w:rPr>
                      <w:rFonts w:ascii="宋体" w:hAnsi="宋体"/>
                      <w:szCs w:val="21"/>
                    </w:rPr>
                  </w:pPr>
                  <w:r>
                    <w:rPr>
                      <w:rFonts w:hint="eastAsia" w:ascii="宋体" w:hAnsi="宋体"/>
                      <w:szCs w:val="21"/>
                    </w:rPr>
                    <w:t>纱车</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台</w:t>
                  </w:r>
                </w:p>
              </w:tc>
              <w:tc>
                <w:tcPr>
                  <w:tcW w:w="969" w:type="dxa"/>
                  <w:vAlign w:val="center"/>
                </w:tcPr>
                <w:p>
                  <w:pPr>
                    <w:adjustRightInd w:val="0"/>
                    <w:snapToGrid w:val="0"/>
                    <w:jc w:val="center"/>
                    <w:rPr>
                      <w:szCs w:val="21"/>
                    </w:rPr>
                  </w:pPr>
                  <w:r>
                    <w:rPr>
                      <w:rFonts w:hint="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szCs w:val="21"/>
                    </w:rPr>
                  </w:pPr>
                  <w:r>
                    <w:rPr>
                      <w:rFonts w:hint="eastAsia"/>
                      <w:szCs w:val="21"/>
                    </w:rPr>
                    <w:t>1</w:t>
                  </w:r>
                  <w:r>
                    <w:rPr>
                      <w:szCs w:val="21"/>
                    </w:rPr>
                    <w:t>1</w:t>
                  </w:r>
                </w:p>
              </w:tc>
              <w:tc>
                <w:tcPr>
                  <w:tcW w:w="2964" w:type="dxa"/>
                  <w:vAlign w:val="center"/>
                </w:tcPr>
                <w:p>
                  <w:pPr>
                    <w:adjustRightInd w:val="0"/>
                    <w:snapToGrid w:val="0"/>
                    <w:jc w:val="center"/>
                    <w:rPr>
                      <w:rFonts w:ascii="宋体" w:hAnsi="宋体"/>
                      <w:szCs w:val="21"/>
                    </w:rPr>
                  </w:pPr>
                  <w:r>
                    <w:rPr>
                      <w:rFonts w:hint="eastAsia" w:ascii="宋体" w:hAnsi="宋体"/>
                      <w:szCs w:val="21"/>
                    </w:rPr>
                    <w:t>拉挤型材生产线</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套</w:t>
                  </w:r>
                </w:p>
              </w:tc>
              <w:tc>
                <w:tcPr>
                  <w:tcW w:w="969"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Align w:val="center"/>
                </w:tcPr>
                <w:p>
                  <w:pPr>
                    <w:adjustRightInd w:val="0"/>
                    <w:snapToGrid w:val="0"/>
                    <w:jc w:val="center"/>
                    <w:rPr>
                      <w:szCs w:val="21"/>
                    </w:rPr>
                  </w:pPr>
                  <w:r>
                    <w:rPr>
                      <w:rFonts w:hint="eastAsia"/>
                      <w:szCs w:val="21"/>
                    </w:rPr>
                    <w:t>1</w:t>
                  </w:r>
                  <w:r>
                    <w:rPr>
                      <w:szCs w:val="21"/>
                    </w:rPr>
                    <w:t>2</w:t>
                  </w:r>
                </w:p>
              </w:tc>
              <w:tc>
                <w:tcPr>
                  <w:tcW w:w="2964" w:type="dxa"/>
                  <w:vAlign w:val="center"/>
                </w:tcPr>
                <w:p>
                  <w:pPr>
                    <w:adjustRightInd w:val="0"/>
                    <w:snapToGrid w:val="0"/>
                    <w:jc w:val="center"/>
                    <w:rPr>
                      <w:rFonts w:ascii="宋体" w:hAnsi="宋体"/>
                      <w:szCs w:val="21"/>
                    </w:rPr>
                  </w:pPr>
                  <w:r>
                    <w:rPr>
                      <w:rFonts w:hint="eastAsia" w:ascii="宋体" w:hAnsi="宋体"/>
                      <w:szCs w:val="21"/>
                    </w:rPr>
                    <w:t>无捻粗纱机</w:t>
                  </w:r>
                </w:p>
              </w:tc>
              <w:tc>
                <w:tcPr>
                  <w:tcW w:w="2796" w:type="dxa"/>
                  <w:vAlign w:val="center"/>
                </w:tcPr>
                <w:p>
                  <w:pPr>
                    <w:adjustRightInd w:val="0"/>
                    <w:snapToGrid w:val="0"/>
                    <w:jc w:val="center"/>
                    <w:rPr>
                      <w:szCs w:val="21"/>
                    </w:rPr>
                  </w:pPr>
                </w:p>
              </w:tc>
              <w:tc>
                <w:tcPr>
                  <w:tcW w:w="969" w:type="dxa"/>
                  <w:vAlign w:val="center"/>
                </w:tcPr>
                <w:p>
                  <w:pPr>
                    <w:adjustRightInd w:val="0"/>
                    <w:snapToGrid w:val="0"/>
                    <w:jc w:val="center"/>
                    <w:rPr>
                      <w:szCs w:val="21"/>
                    </w:rPr>
                  </w:pPr>
                  <w:r>
                    <w:rPr>
                      <w:rFonts w:hint="eastAsia"/>
                      <w:szCs w:val="21"/>
                    </w:rPr>
                    <w:t>台</w:t>
                  </w:r>
                </w:p>
              </w:tc>
              <w:tc>
                <w:tcPr>
                  <w:tcW w:w="969" w:type="dxa"/>
                  <w:vAlign w:val="center"/>
                </w:tcPr>
                <w:p>
                  <w:pPr>
                    <w:jc w:val="center"/>
                    <w:rPr>
                      <w:szCs w:val="21"/>
                    </w:rPr>
                  </w:pPr>
                  <w:r>
                    <w:rPr>
                      <w:rFonts w:hint="eastAsia"/>
                      <w:szCs w:val="21"/>
                    </w:rPr>
                    <w:t>2</w:t>
                  </w:r>
                  <w:r>
                    <w:rPr>
                      <w:szCs w:val="21"/>
                    </w:rPr>
                    <w:t>0</w:t>
                  </w:r>
                </w:p>
              </w:tc>
            </w:tr>
          </w:tbl>
          <w:p>
            <w:pPr>
              <w:tabs>
                <w:tab w:val="left" w:pos="420"/>
              </w:tabs>
              <w:spacing w:line="360" w:lineRule="auto"/>
              <w:ind w:firstLine="482" w:firstLineChars="200"/>
              <w:rPr>
                <w:b/>
                <w:bCs/>
                <w:sz w:val="24"/>
              </w:rPr>
            </w:pPr>
            <w:r>
              <w:rPr>
                <w:b/>
                <w:bCs/>
                <w:sz w:val="24"/>
              </w:rPr>
              <w:t>4</w:t>
            </w:r>
            <w:r>
              <w:rPr>
                <w:rFonts w:hint="eastAsia"/>
                <w:b/>
                <w:bCs/>
                <w:sz w:val="24"/>
              </w:rPr>
              <w:t>、</w:t>
            </w:r>
            <w:r>
              <w:rPr>
                <w:b/>
                <w:bCs/>
                <w:sz w:val="24"/>
              </w:rPr>
              <w:t>产品方案</w:t>
            </w:r>
            <w:r>
              <w:rPr>
                <w:rFonts w:hint="eastAsia"/>
                <w:b/>
                <w:bCs/>
                <w:sz w:val="24"/>
              </w:rPr>
              <w:t>及执行标准</w:t>
            </w:r>
          </w:p>
          <w:p>
            <w:pPr>
              <w:pStyle w:val="71"/>
              <w:spacing w:line="360" w:lineRule="auto"/>
              <w:ind w:firstLine="480" w:firstLineChars="200"/>
              <w:rPr>
                <w:rFonts w:ascii="Times New Roman"/>
                <w:color w:val="auto"/>
              </w:rPr>
            </w:pPr>
            <w:bookmarkStart w:id="24" w:name="_Hlk107824324"/>
            <w:r>
              <w:rPr>
                <w:rFonts w:ascii="Times New Roman"/>
                <w:color w:val="auto"/>
              </w:rPr>
              <w:t>项</w:t>
            </w:r>
            <w:r>
              <w:rPr>
                <w:rFonts w:hint="eastAsia" w:ascii="Times New Roman"/>
                <w:color w:val="auto"/>
              </w:rPr>
              <w:t>目生产规模为</w:t>
            </w:r>
            <w:r>
              <w:rPr>
                <w:rFonts w:hint="eastAsia"/>
                <w:color w:val="auto"/>
              </w:rPr>
              <w:t>玄武岩纤维及制品1</w:t>
            </w:r>
            <w:r>
              <w:rPr>
                <w:color w:val="auto"/>
              </w:rPr>
              <w:t>.5</w:t>
            </w:r>
            <w:r>
              <w:rPr>
                <w:rFonts w:hint="eastAsia"/>
                <w:color w:val="auto"/>
              </w:rPr>
              <w:t>万t/a</w:t>
            </w:r>
            <w:r>
              <w:rPr>
                <w:rFonts w:ascii="Times New Roman"/>
                <w:color w:val="auto"/>
              </w:rPr>
              <w:t>，</w:t>
            </w:r>
            <w:r>
              <w:rPr>
                <w:rFonts w:hint="eastAsia" w:ascii="Times New Roman"/>
                <w:color w:val="auto"/>
              </w:rPr>
              <w:t>原丝经后加工处理制成短切纱、无捻粗纱、纺织纱、</w:t>
            </w:r>
            <w:r>
              <w:rPr>
                <w:rFonts w:hint="eastAsia"/>
                <w:color w:val="auto"/>
                <w:szCs w:val="21"/>
              </w:rPr>
              <w:t>拉挤型材</w:t>
            </w:r>
            <w:r>
              <w:rPr>
                <w:rFonts w:hint="eastAsia" w:ascii="Times New Roman"/>
                <w:color w:val="auto"/>
              </w:rPr>
              <w:t>。</w:t>
            </w:r>
            <w:r>
              <w:rPr>
                <w:rFonts w:ascii="Times New Roman"/>
                <w:color w:val="auto"/>
              </w:rPr>
              <w:t>产品方案见表2</w:t>
            </w:r>
            <w:r>
              <w:rPr>
                <w:rFonts w:hint="eastAsia" w:ascii="Times New Roman"/>
                <w:color w:val="auto"/>
              </w:rPr>
              <w:t>-3</w:t>
            </w:r>
            <w:r>
              <w:rPr>
                <w:rFonts w:ascii="Times New Roman"/>
                <w:color w:val="auto"/>
              </w:rPr>
              <w:t>。</w:t>
            </w:r>
          </w:p>
          <w:p>
            <w:pPr>
              <w:snapToGrid w:val="0"/>
              <w:spacing w:before="120" w:beforeLines="50"/>
              <w:jc w:val="center"/>
              <w:rPr>
                <w:b/>
                <w:bCs/>
                <w:kern w:val="0"/>
                <w:szCs w:val="21"/>
              </w:rPr>
            </w:pPr>
            <w:r>
              <w:rPr>
                <w:b/>
                <w:bCs/>
                <w:kern w:val="0"/>
                <w:szCs w:val="21"/>
              </w:rPr>
              <w:t>表2</w:t>
            </w:r>
            <w:r>
              <w:rPr>
                <w:rFonts w:hint="eastAsia"/>
                <w:b/>
                <w:bCs/>
                <w:kern w:val="0"/>
                <w:szCs w:val="21"/>
              </w:rPr>
              <w:t>-3</w:t>
            </w:r>
            <w:r>
              <w:rPr>
                <w:b/>
                <w:bCs/>
                <w:kern w:val="0"/>
                <w:szCs w:val="21"/>
              </w:rPr>
              <w:t xml:space="preserve">  项目产品</w:t>
            </w:r>
            <w:r>
              <w:rPr>
                <w:rFonts w:hint="eastAsia"/>
                <w:b/>
                <w:bCs/>
                <w:kern w:val="0"/>
                <w:szCs w:val="21"/>
              </w:rPr>
              <w:t>方案</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2961"/>
              <w:gridCol w:w="1710"/>
              <w:gridCol w:w="177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2" w:type="pct"/>
                  <w:vAlign w:val="center"/>
                </w:tcPr>
                <w:p>
                  <w:pPr>
                    <w:snapToGrid w:val="0"/>
                    <w:jc w:val="center"/>
                    <w:rPr>
                      <w:szCs w:val="21"/>
                    </w:rPr>
                  </w:pPr>
                  <w:r>
                    <w:rPr>
                      <w:szCs w:val="21"/>
                    </w:rPr>
                    <w:t>序号</w:t>
                  </w:r>
                </w:p>
              </w:tc>
              <w:tc>
                <w:tcPr>
                  <w:tcW w:w="1761" w:type="pct"/>
                  <w:vAlign w:val="center"/>
                </w:tcPr>
                <w:p>
                  <w:pPr>
                    <w:snapToGrid w:val="0"/>
                    <w:jc w:val="center"/>
                    <w:rPr>
                      <w:szCs w:val="21"/>
                    </w:rPr>
                  </w:pPr>
                  <w:r>
                    <w:rPr>
                      <w:rFonts w:hAnsi="宋体"/>
                      <w:szCs w:val="21"/>
                    </w:rPr>
                    <w:t>产品</w:t>
                  </w:r>
                </w:p>
              </w:tc>
              <w:tc>
                <w:tcPr>
                  <w:tcW w:w="1017" w:type="pct"/>
                  <w:vAlign w:val="center"/>
                </w:tcPr>
                <w:p>
                  <w:pPr>
                    <w:snapToGrid w:val="0"/>
                    <w:jc w:val="center"/>
                    <w:rPr>
                      <w:szCs w:val="21"/>
                    </w:rPr>
                  </w:pPr>
                  <w:r>
                    <w:rPr>
                      <w:rFonts w:hint="eastAsia"/>
                      <w:szCs w:val="21"/>
                    </w:rPr>
                    <w:t>产品规格</w:t>
                  </w:r>
                </w:p>
              </w:tc>
              <w:tc>
                <w:tcPr>
                  <w:tcW w:w="1056" w:type="pct"/>
                  <w:vAlign w:val="center"/>
                </w:tcPr>
                <w:p>
                  <w:pPr>
                    <w:snapToGrid w:val="0"/>
                    <w:jc w:val="center"/>
                    <w:rPr>
                      <w:rFonts w:hAnsi="宋体"/>
                      <w:szCs w:val="21"/>
                    </w:rPr>
                  </w:pPr>
                  <w:r>
                    <w:rPr>
                      <w:rFonts w:hAnsi="宋体"/>
                      <w:szCs w:val="21"/>
                    </w:rPr>
                    <w:t>年产量t/a</w:t>
                  </w:r>
                </w:p>
              </w:tc>
              <w:tc>
                <w:tcPr>
                  <w:tcW w:w="664" w:type="pct"/>
                  <w:vAlign w:val="center"/>
                </w:tcPr>
                <w:p>
                  <w:pPr>
                    <w:snapToGrid w:val="0"/>
                    <w:jc w:val="center"/>
                    <w:rPr>
                      <w:rFonts w:hAnsi="宋体"/>
                      <w:szCs w:val="21"/>
                    </w:rPr>
                  </w:pPr>
                  <w:r>
                    <w:rPr>
                      <w:rFonts w:hint="eastAsia"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2" w:type="pct"/>
                  <w:vAlign w:val="center"/>
                </w:tcPr>
                <w:p>
                  <w:pPr>
                    <w:contextualSpacing/>
                    <w:jc w:val="center"/>
                    <w:rPr>
                      <w:szCs w:val="21"/>
                    </w:rPr>
                  </w:pPr>
                  <w:r>
                    <w:rPr>
                      <w:rFonts w:hint="eastAsia"/>
                      <w:szCs w:val="21"/>
                    </w:rPr>
                    <w:t>1</w:t>
                  </w:r>
                </w:p>
              </w:tc>
              <w:tc>
                <w:tcPr>
                  <w:tcW w:w="1761" w:type="pct"/>
                  <w:vAlign w:val="center"/>
                </w:tcPr>
                <w:p>
                  <w:pPr>
                    <w:contextualSpacing/>
                    <w:jc w:val="center"/>
                    <w:rPr>
                      <w:szCs w:val="21"/>
                    </w:rPr>
                  </w:pPr>
                  <w:r>
                    <w:rPr>
                      <w:rFonts w:hint="eastAsia"/>
                      <w:szCs w:val="21"/>
                    </w:rPr>
                    <w:t>玄武岩纤维原丝</w:t>
                  </w:r>
                </w:p>
              </w:tc>
              <w:tc>
                <w:tcPr>
                  <w:tcW w:w="1017" w:type="pct"/>
                  <w:vAlign w:val="center"/>
                </w:tcPr>
                <w:p>
                  <w:pPr>
                    <w:contextualSpacing/>
                    <w:jc w:val="center"/>
                    <w:rPr>
                      <w:szCs w:val="21"/>
                    </w:rPr>
                  </w:pPr>
                  <w:r>
                    <w:rPr>
                      <w:szCs w:val="21"/>
                    </w:rPr>
                    <w:t>7~17μm</w:t>
                  </w:r>
                </w:p>
              </w:tc>
              <w:tc>
                <w:tcPr>
                  <w:tcW w:w="1056" w:type="pct"/>
                  <w:vAlign w:val="center"/>
                </w:tcPr>
                <w:p>
                  <w:pPr>
                    <w:contextualSpacing/>
                    <w:jc w:val="center"/>
                    <w:rPr>
                      <w:szCs w:val="21"/>
                    </w:rPr>
                  </w:pPr>
                  <w:r>
                    <w:rPr>
                      <w:rFonts w:hint="eastAsia"/>
                      <w:szCs w:val="21"/>
                    </w:rPr>
                    <w:t>1</w:t>
                  </w:r>
                  <w:r>
                    <w:rPr>
                      <w:szCs w:val="21"/>
                    </w:rPr>
                    <w:t>5000</w:t>
                  </w:r>
                </w:p>
              </w:tc>
              <w:tc>
                <w:tcPr>
                  <w:tcW w:w="664" w:type="pct"/>
                  <w:vAlign w:val="center"/>
                </w:tcPr>
                <w:p>
                  <w:pPr>
                    <w:contextualSpacing/>
                    <w:jc w:val="center"/>
                    <w:rPr>
                      <w:szCs w:val="21"/>
                    </w:rPr>
                  </w:pPr>
                  <w:r>
                    <w:rPr>
                      <w:szCs w:val="21"/>
                    </w:rPr>
                    <w:t>用于生产纤维制品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2" w:type="pct"/>
                  <w:vAlign w:val="center"/>
                </w:tcPr>
                <w:p>
                  <w:pPr>
                    <w:contextualSpacing/>
                    <w:jc w:val="center"/>
                    <w:rPr>
                      <w:szCs w:val="21"/>
                    </w:rPr>
                  </w:pPr>
                  <w:r>
                    <w:rPr>
                      <w:rFonts w:hint="eastAsia"/>
                      <w:szCs w:val="21"/>
                    </w:rPr>
                    <w:t>2</w:t>
                  </w:r>
                </w:p>
              </w:tc>
              <w:tc>
                <w:tcPr>
                  <w:tcW w:w="1761" w:type="pct"/>
                  <w:vAlign w:val="center"/>
                </w:tcPr>
                <w:p>
                  <w:pPr>
                    <w:contextualSpacing/>
                    <w:jc w:val="center"/>
                    <w:rPr>
                      <w:szCs w:val="21"/>
                    </w:rPr>
                  </w:pPr>
                  <w:r>
                    <w:rPr>
                      <w:rFonts w:hint="eastAsia"/>
                      <w:szCs w:val="21"/>
                    </w:rPr>
                    <w:t>短切纱</w:t>
                  </w:r>
                </w:p>
              </w:tc>
              <w:tc>
                <w:tcPr>
                  <w:tcW w:w="1017" w:type="pct"/>
                  <w:vAlign w:val="center"/>
                </w:tcPr>
                <w:p>
                  <w:pPr>
                    <w:contextualSpacing/>
                    <w:jc w:val="center"/>
                    <w:rPr>
                      <w:szCs w:val="21"/>
                    </w:rPr>
                  </w:pPr>
                  <w:r>
                    <w:rPr>
                      <w:szCs w:val="21"/>
                    </w:rPr>
                    <w:t>7~17μm</w:t>
                  </w:r>
                </w:p>
              </w:tc>
              <w:tc>
                <w:tcPr>
                  <w:tcW w:w="1056" w:type="pct"/>
                  <w:vAlign w:val="center"/>
                </w:tcPr>
                <w:p>
                  <w:pPr>
                    <w:contextualSpacing/>
                    <w:jc w:val="center"/>
                    <w:rPr>
                      <w:szCs w:val="21"/>
                    </w:rPr>
                  </w:pPr>
                  <w:r>
                    <w:rPr>
                      <w:szCs w:val="21"/>
                    </w:rPr>
                    <w:t>10</w:t>
                  </w:r>
                  <w:r>
                    <w:rPr>
                      <w:rFonts w:hint="eastAsia"/>
                      <w:szCs w:val="21"/>
                    </w:rPr>
                    <w:t>0</w:t>
                  </w:r>
                  <w:r>
                    <w:rPr>
                      <w:szCs w:val="21"/>
                    </w:rPr>
                    <w:t>00</w:t>
                  </w:r>
                </w:p>
              </w:tc>
              <w:tc>
                <w:tcPr>
                  <w:tcW w:w="664" w:type="pct"/>
                  <w:vAlign w:val="center"/>
                </w:tcPr>
                <w:p>
                  <w:pPr>
                    <w:contextualSpacing/>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2" w:type="pct"/>
                  <w:vAlign w:val="center"/>
                </w:tcPr>
                <w:p>
                  <w:pPr>
                    <w:contextualSpacing/>
                    <w:jc w:val="center"/>
                    <w:rPr>
                      <w:szCs w:val="21"/>
                    </w:rPr>
                  </w:pPr>
                  <w:r>
                    <w:rPr>
                      <w:rFonts w:hint="eastAsia"/>
                      <w:szCs w:val="21"/>
                    </w:rPr>
                    <w:t>3</w:t>
                  </w:r>
                </w:p>
              </w:tc>
              <w:tc>
                <w:tcPr>
                  <w:tcW w:w="1761" w:type="pct"/>
                </w:tcPr>
                <w:p>
                  <w:pPr>
                    <w:contextualSpacing/>
                    <w:jc w:val="center"/>
                    <w:rPr>
                      <w:szCs w:val="21"/>
                    </w:rPr>
                  </w:pPr>
                  <w:r>
                    <w:rPr>
                      <w:rFonts w:hint="eastAsia"/>
                      <w:szCs w:val="21"/>
                    </w:rPr>
                    <w:t>无捻粗纱</w:t>
                  </w:r>
                </w:p>
              </w:tc>
              <w:tc>
                <w:tcPr>
                  <w:tcW w:w="1017" w:type="pct"/>
                  <w:vAlign w:val="center"/>
                </w:tcPr>
                <w:p>
                  <w:pPr>
                    <w:contextualSpacing/>
                    <w:jc w:val="center"/>
                    <w:rPr>
                      <w:szCs w:val="21"/>
                    </w:rPr>
                  </w:pPr>
                  <w:r>
                    <w:rPr>
                      <w:szCs w:val="21"/>
                    </w:rPr>
                    <w:t>7~30μm</w:t>
                  </w:r>
                </w:p>
              </w:tc>
              <w:tc>
                <w:tcPr>
                  <w:tcW w:w="1056" w:type="pct"/>
                  <w:vAlign w:val="center"/>
                </w:tcPr>
                <w:p>
                  <w:pPr>
                    <w:contextualSpacing/>
                    <w:jc w:val="center"/>
                    <w:rPr>
                      <w:szCs w:val="21"/>
                    </w:rPr>
                  </w:pPr>
                  <w:r>
                    <w:rPr>
                      <w:rFonts w:hint="eastAsia"/>
                      <w:szCs w:val="21"/>
                    </w:rPr>
                    <w:t>2</w:t>
                  </w:r>
                  <w:r>
                    <w:rPr>
                      <w:szCs w:val="21"/>
                    </w:rPr>
                    <w:t>000</w:t>
                  </w:r>
                </w:p>
              </w:tc>
              <w:tc>
                <w:tcPr>
                  <w:tcW w:w="664" w:type="pct"/>
                  <w:vAlign w:val="center"/>
                </w:tcPr>
                <w:p>
                  <w:pPr>
                    <w:contextualSpacing/>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2" w:type="pct"/>
                  <w:vAlign w:val="center"/>
                </w:tcPr>
                <w:p>
                  <w:pPr>
                    <w:contextualSpacing/>
                    <w:jc w:val="center"/>
                    <w:rPr>
                      <w:szCs w:val="21"/>
                    </w:rPr>
                  </w:pPr>
                  <w:r>
                    <w:rPr>
                      <w:rFonts w:hint="eastAsia"/>
                      <w:szCs w:val="21"/>
                    </w:rPr>
                    <w:t>4</w:t>
                  </w:r>
                </w:p>
              </w:tc>
              <w:tc>
                <w:tcPr>
                  <w:tcW w:w="1761" w:type="pct"/>
                </w:tcPr>
                <w:p>
                  <w:pPr>
                    <w:contextualSpacing/>
                    <w:jc w:val="center"/>
                    <w:rPr>
                      <w:szCs w:val="21"/>
                    </w:rPr>
                  </w:pPr>
                  <w:r>
                    <w:rPr>
                      <w:rFonts w:hint="eastAsia"/>
                      <w:szCs w:val="21"/>
                    </w:rPr>
                    <w:t>纺织纱</w:t>
                  </w:r>
                </w:p>
              </w:tc>
              <w:tc>
                <w:tcPr>
                  <w:tcW w:w="1017" w:type="pct"/>
                  <w:vAlign w:val="center"/>
                </w:tcPr>
                <w:p>
                  <w:pPr>
                    <w:contextualSpacing/>
                    <w:jc w:val="center"/>
                    <w:rPr>
                      <w:szCs w:val="21"/>
                    </w:rPr>
                  </w:pPr>
                  <w:r>
                    <w:rPr>
                      <w:szCs w:val="21"/>
                    </w:rPr>
                    <w:t>7~11μm</w:t>
                  </w:r>
                </w:p>
              </w:tc>
              <w:tc>
                <w:tcPr>
                  <w:tcW w:w="1056" w:type="pct"/>
                  <w:vAlign w:val="center"/>
                </w:tcPr>
                <w:p>
                  <w:pPr>
                    <w:contextualSpacing/>
                    <w:jc w:val="center"/>
                    <w:rPr>
                      <w:szCs w:val="21"/>
                    </w:rPr>
                  </w:pPr>
                  <w:r>
                    <w:rPr>
                      <w:rFonts w:hint="eastAsia"/>
                      <w:szCs w:val="21"/>
                    </w:rPr>
                    <w:t>2</w:t>
                  </w:r>
                  <w:r>
                    <w:rPr>
                      <w:szCs w:val="21"/>
                    </w:rPr>
                    <w:t>000</w:t>
                  </w:r>
                </w:p>
              </w:tc>
              <w:tc>
                <w:tcPr>
                  <w:tcW w:w="664" w:type="pct"/>
                  <w:vAlign w:val="center"/>
                </w:tcPr>
                <w:p>
                  <w:pPr>
                    <w:contextualSpacing/>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2" w:type="pct"/>
                  <w:vAlign w:val="center"/>
                </w:tcPr>
                <w:p>
                  <w:pPr>
                    <w:contextualSpacing/>
                    <w:jc w:val="center"/>
                    <w:rPr>
                      <w:szCs w:val="21"/>
                    </w:rPr>
                  </w:pPr>
                  <w:r>
                    <w:rPr>
                      <w:rFonts w:hint="eastAsia"/>
                      <w:szCs w:val="21"/>
                    </w:rPr>
                    <w:t>5</w:t>
                  </w:r>
                </w:p>
              </w:tc>
              <w:tc>
                <w:tcPr>
                  <w:tcW w:w="1761" w:type="pct"/>
                </w:tcPr>
                <w:p>
                  <w:pPr>
                    <w:contextualSpacing/>
                    <w:jc w:val="center"/>
                    <w:rPr>
                      <w:szCs w:val="21"/>
                    </w:rPr>
                  </w:pPr>
                  <w:r>
                    <w:rPr>
                      <w:rFonts w:hint="eastAsia"/>
                      <w:szCs w:val="21"/>
                    </w:rPr>
                    <w:t>玄武岩拉挤型材</w:t>
                  </w:r>
                </w:p>
              </w:tc>
              <w:tc>
                <w:tcPr>
                  <w:tcW w:w="1017" w:type="pct"/>
                  <w:vAlign w:val="center"/>
                </w:tcPr>
                <w:p>
                  <w:pPr>
                    <w:contextualSpacing/>
                    <w:jc w:val="center"/>
                    <w:rPr>
                      <w:szCs w:val="21"/>
                    </w:rPr>
                  </w:pPr>
                </w:p>
              </w:tc>
              <w:tc>
                <w:tcPr>
                  <w:tcW w:w="1056" w:type="pct"/>
                  <w:vAlign w:val="center"/>
                </w:tcPr>
                <w:p>
                  <w:pPr>
                    <w:contextualSpacing/>
                    <w:jc w:val="center"/>
                    <w:rPr>
                      <w:szCs w:val="21"/>
                    </w:rPr>
                  </w:pPr>
                  <w:r>
                    <w:rPr>
                      <w:szCs w:val="21"/>
                    </w:rPr>
                    <w:t>1000</w:t>
                  </w:r>
                </w:p>
              </w:tc>
              <w:tc>
                <w:tcPr>
                  <w:tcW w:w="664" w:type="pct"/>
                  <w:vAlign w:val="center"/>
                </w:tcPr>
                <w:p>
                  <w:pPr>
                    <w:contextualSpacing/>
                    <w:jc w:val="center"/>
                    <w:rPr>
                      <w:szCs w:val="21"/>
                    </w:rPr>
                  </w:pPr>
                </w:p>
              </w:tc>
            </w:tr>
            <w:bookmarkEnd w:id="24"/>
          </w:tbl>
          <w:p>
            <w:pPr>
              <w:pStyle w:val="71"/>
              <w:spacing w:line="360" w:lineRule="auto"/>
              <w:ind w:firstLine="480" w:firstLineChars="200"/>
              <w:rPr>
                <w:rFonts w:ascii="Times New Roman"/>
                <w:color w:val="auto"/>
              </w:rPr>
            </w:pPr>
            <w:r>
              <w:rPr>
                <w:rFonts w:hint="eastAsia" w:ascii="Times New Roman"/>
                <w:color w:val="auto"/>
              </w:rPr>
              <w:t>短切纱、纺织纱执行《水泥混凝土和砂浆用短切玄武岩纤维》（GB∕T 23265-2009），</w:t>
            </w:r>
            <w:r>
              <w:rPr>
                <w:rFonts w:ascii="Times New Roman"/>
                <w:color w:val="auto"/>
              </w:rPr>
              <w:t>产品</w:t>
            </w:r>
            <w:r>
              <w:rPr>
                <w:rFonts w:hint="eastAsia" w:ascii="Times New Roman"/>
                <w:color w:val="auto"/>
              </w:rPr>
              <w:t>标准</w:t>
            </w:r>
            <w:r>
              <w:rPr>
                <w:rFonts w:ascii="Times New Roman"/>
                <w:color w:val="auto"/>
              </w:rPr>
              <w:t>见表2</w:t>
            </w:r>
            <w:r>
              <w:rPr>
                <w:rFonts w:hint="eastAsia" w:ascii="Times New Roman"/>
                <w:color w:val="auto"/>
              </w:rPr>
              <w:t>-4，</w:t>
            </w:r>
            <w:r>
              <w:rPr>
                <w:rFonts w:hint="eastAsia"/>
                <w:color w:val="auto"/>
                <w:szCs w:val="21"/>
              </w:rPr>
              <w:t>无捻粗纱</w:t>
            </w:r>
            <w:r>
              <w:rPr>
                <w:rFonts w:hint="eastAsia" w:ascii="Times New Roman"/>
                <w:color w:val="auto"/>
              </w:rPr>
              <w:t>执行《玄武岩纤维</w:t>
            </w:r>
            <w:r>
              <w:rPr>
                <w:rFonts w:hint="eastAsia"/>
                <w:color w:val="auto"/>
                <w:szCs w:val="21"/>
              </w:rPr>
              <w:t>无捻粗纱</w:t>
            </w:r>
            <w:r>
              <w:rPr>
                <w:rFonts w:hint="eastAsia" w:ascii="Times New Roman"/>
                <w:color w:val="auto"/>
              </w:rPr>
              <w:t>》（GB/T 25045-2010），</w:t>
            </w:r>
            <w:r>
              <w:rPr>
                <w:rFonts w:ascii="Times New Roman"/>
                <w:color w:val="auto"/>
              </w:rPr>
              <w:t>产品</w:t>
            </w:r>
            <w:r>
              <w:rPr>
                <w:rFonts w:hint="eastAsia" w:ascii="Times New Roman"/>
                <w:color w:val="auto"/>
              </w:rPr>
              <w:t>标准</w:t>
            </w:r>
            <w:r>
              <w:rPr>
                <w:rFonts w:ascii="Times New Roman"/>
                <w:color w:val="auto"/>
              </w:rPr>
              <w:t>见表2</w:t>
            </w:r>
            <w:r>
              <w:rPr>
                <w:rFonts w:hint="eastAsia" w:ascii="Times New Roman"/>
                <w:color w:val="auto"/>
              </w:rPr>
              <w:t xml:space="preserve">-5， </w:t>
            </w:r>
            <w:r>
              <w:rPr>
                <w:rFonts w:hint="eastAsia"/>
                <w:color w:val="auto"/>
                <w:szCs w:val="21"/>
              </w:rPr>
              <w:t>玄武岩拉挤型材执行</w:t>
            </w:r>
            <w:r>
              <w:rPr>
                <w:rFonts w:hint="eastAsia" w:ascii="Times New Roman"/>
                <w:color w:val="auto"/>
              </w:rPr>
              <w:t>《公路工程 玄武岩纤维及其制品 第4部分:玄武岩纤维复合筋》（JT∕T 776.4-2010），</w:t>
            </w:r>
            <w:r>
              <w:rPr>
                <w:rFonts w:ascii="Times New Roman"/>
                <w:color w:val="auto"/>
              </w:rPr>
              <w:t>产品</w:t>
            </w:r>
            <w:r>
              <w:rPr>
                <w:rFonts w:hint="eastAsia" w:ascii="Times New Roman"/>
                <w:color w:val="auto"/>
              </w:rPr>
              <w:t>标准</w:t>
            </w:r>
            <w:r>
              <w:rPr>
                <w:rFonts w:ascii="Times New Roman"/>
                <w:color w:val="auto"/>
              </w:rPr>
              <w:t>见表2</w:t>
            </w:r>
            <w:r>
              <w:rPr>
                <w:rFonts w:hint="eastAsia" w:ascii="Times New Roman"/>
                <w:color w:val="auto"/>
              </w:rPr>
              <w:t>-6</w:t>
            </w:r>
            <w:r>
              <w:rPr>
                <w:rFonts w:ascii="Times New Roman"/>
                <w:color w:val="auto"/>
              </w:rPr>
              <w:t>。</w:t>
            </w:r>
          </w:p>
          <w:p>
            <w:pPr>
              <w:snapToGrid w:val="0"/>
              <w:spacing w:before="120" w:beforeLines="50"/>
              <w:jc w:val="center"/>
              <w:rPr>
                <w:b/>
                <w:bCs/>
                <w:kern w:val="0"/>
                <w:szCs w:val="21"/>
              </w:rPr>
            </w:pPr>
            <w:r>
              <w:rPr>
                <w:b/>
                <w:bCs/>
                <w:kern w:val="0"/>
                <w:szCs w:val="21"/>
              </w:rPr>
              <w:t>表2</w:t>
            </w:r>
            <w:r>
              <w:rPr>
                <w:rFonts w:hint="eastAsia"/>
                <w:b/>
                <w:bCs/>
                <w:kern w:val="0"/>
                <w:szCs w:val="21"/>
              </w:rPr>
              <w:t>-4</w:t>
            </w:r>
            <w:r>
              <w:rPr>
                <w:b/>
                <w:bCs/>
                <w:kern w:val="0"/>
                <w:szCs w:val="21"/>
              </w:rPr>
              <w:t xml:space="preserve">  项目</w:t>
            </w:r>
            <w:r>
              <w:rPr>
                <w:rFonts w:hint="eastAsia"/>
                <w:b/>
                <w:bCs/>
                <w:kern w:val="0"/>
                <w:szCs w:val="21"/>
              </w:rPr>
              <w:t>短切纱、纺织纱</w:t>
            </w:r>
            <w:r>
              <w:rPr>
                <w:b/>
                <w:bCs/>
                <w:kern w:val="0"/>
                <w:szCs w:val="21"/>
              </w:rPr>
              <w:t>产品</w:t>
            </w:r>
            <w:r>
              <w:rPr>
                <w:rFonts w:hint="eastAsia"/>
                <w:b/>
                <w:bCs/>
                <w:kern w:val="0"/>
                <w:szCs w:val="21"/>
              </w:rPr>
              <w:t>标准</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1909"/>
              <w:gridCol w:w="1919"/>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602" w:type="pct"/>
                  <w:vMerge w:val="restart"/>
                  <w:vAlign w:val="center"/>
                </w:tcPr>
                <w:p>
                  <w:pPr>
                    <w:contextualSpacing/>
                    <w:jc w:val="center"/>
                    <w:rPr>
                      <w:szCs w:val="21"/>
                    </w:rPr>
                  </w:pPr>
                  <w:r>
                    <w:rPr>
                      <w:rFonts w:hint="eastAsia"/>
                      <w:szCs w:val="21"/>
                    </w:rPr>
                    <w:t>试验项目</w:t>
                  </w:r>
                </w:p>
              </w:tc>
              <w:tc>
                <w:tcPr>
                  <w:tcW w:w="2278" w:type="pct"/>
                  <w:gridSpan w:val="2"/>
                  <w:vAlign w:val="center"/>
                </w:tcPr>
                <w:p>
                  <w:pPr>
                    <w:snapToGrid w:val="0"/>
                    <w:jc w:val="center"/>
                    <w:rPr>
                      <w:szCs w:val="21"/>
                    </w:rPr>
                  </w:pPr>
                  <w:r>
                    <w:rPr>
                      <w:rFonts w:hint="eastAsia"/>
                      <w:szCs w:val="21"/>
                    </w:rPr>
                    <w:t>用于混凝土的短切玄武岩纤维</w:t>
                  </w:r>
                </w:p>
              </w:tc>
              <w:tc>
                <w:tcPr>
                  <w:tcW w:w="1119" w:type="pct"/>
                  <w:vAlign w:val="center"/>
                </w:tcPr>
                <w:p>
                  <w:pPr>
                    <w:contextualSpacing/>
                    <w:jc w:val="center"/>
                    <w:rPr>
                      <w:rFonts w:hAnsi="宋体"/>
                      <w:szCs w:val="21"/>
                    </w:rPr>
                  </w:pPr>
                  <w:r>
                    <w:rPr>
                      <w:rFonts w:hint="eastAsia"/>
                      <w:szCs w:val="21"/>
                    </w:rPr>
                    <w:t>用于砂浆的短切玄武岩纤维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602" w:type="pct"/>
                  <w:vMerge w:val="continue"/>
                  <w:vAlign w:val="center"/>
                </w:tcPr>
                <w:p>
                  <w:pPr>
                    <w:contextualSpacing/>
                    <w:jc w:val="center"/>
                    <w:rPr>
                      <w:szCs w:val="21"/>
                    </w:rPr>
                  </w:pPr>
                </w:p>
              </w:tc>
              <w:tc>
                <w:tcPr>
                  <w:tcW w:w="1136" w:type="pct"/>
                  <w:vAlign w:val="center"/>
                </w:tcPr>
                <w:p>
                  <w:pPr>
                    <w:contextualSpacing/>
                    <w:jc w:val="center"/>
                    <w:rPr>
                      <w:szCs w:val="21"/>
                    </w:rPr>
                  </w:pPr>
                  <w:r>
                    <w:rPr>
                      <w:rFonts w:hint="eastAsia"/>
                      <w:szCs w:val="21"/>
                    </w:rPr>
                    <w:t>防裂抗裂纤维(BF)</w:t>
                  </w:r>
                </w:p>
              </w:tc>
              <w:tc>
                <w:tcPr>
                  <w:tcW w:w="1141" w:type="pct"/>
                  <w:vAlign w:val="center"/>
                </w:tcPr>
                <w:p>
                  <w:pPr>
                    <w:contextualSpacing/>
                    <w:jc w:val="center"/>
                    <w:rPr>
                      <w:szCs w:val="21"/>
                    </w:rPr>
                  </w:pPr>
                  <w:r>
                    <w:rPr>
                      <w:rFonts w:hint="eastAsia"/>
                      <w:szCs w:val="21"/>
                    </w:rPr>
                    <w:t>增韧增强纤维(BZ)</w:t>
                  </w:r>
                </w:p>
              </w:tc>
              <w:tc>
                <w:tcPr>
                  <w:tcW w:w="1119" w:type="pct"/>
                  <w:vAlign w:val="center"/>
                </w:tcPr>
                <w:p>
                  <w:pPr>
                    <w:contextualSpacing/>
                    <w:jc w:val="center"/>
                    <w:rPr>
                      <w:szCs w:val="21"/>
                    </w:rPr>
                  </w:pPr>
                  <w:r>
                    <w:rPr>
                      <w:rFonts w:hint="eastAsia"/>
                      <w:szCs w:val="21"/>
                    </w:rPr>
                    <w:t>防裂抗裂纤维(BSF)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602" w:type="pct"/>
                  <w:vAlign w:val="center"/>
                </w:tcPr>
                <w:p>
                  <w:pPr>
                    <w:contextualSpacing/>
                    <w:jc w:val="center"/>
                    <w:rPr>
                      <w:szCs w:val="21"/>
                    </w:rPr>
                  </w:pPr>
                  <w:r>
                    <w:rPr>
                      <w:rFonts w:hint="eastAsia"/>
                      <w:szCs w:val="21"/>
                    </w:rPr>
                    <w:t>拉伸强度</w:t>
                  </w:r>
                  <w:r>
                    <w:rPr>
                      <w:rFonts w:hint="eastAsia"/>
                      <w:szCs w:val="21"/>
                      <w:vertAlign w:val="superscript"/>
                    </w:rPr>
                    <w:t>a</w:t>
                  </w:r>
                  <w:r>
                    <w:rPr>
                      <w:rFonts w:hint="eastAsia"/>
                      <w:szCs w:val="21"/>
                    </w:rPr>
                    <w:t>/MPa</w:t>
                  </w:r>
                </w:p>
              </w:tc>
              <w:tc>
                <w:tcPr>
                  <w:tcW w:w="1136" w:type="pct"/>
                  <w:vAlign w:val="center"/>
                </w:tcPr>
                <w:p>
                  <w:pPr>
                    <w:contextualSpacing/>
                    <w:jc w:val="center"/>
                    <w:rPr>
                      <w:szCs w:val="21"/>
                    </w:rPr>
                  </w:pPr>
                  <w:r>
                    <w:rPr>
                      <w:rFonts w:hint="eastAsia"/>
                      <w:szCs w:val="21"/>
                    </w:rPr>
                    <w:t>1050</w:t>
                  </w:r>
                </w:p>
              </w:tc>
              <w:tc>
                <w:tcPr>
                  <w:tcW w:w="1141" w:type="pct"/>
                  <w:vAlign w:val="center"/>
                </w:tcPr>
                <w:p>
                  <w:pPr>
                    <w:contextualSpacing/>
                    <w:jc w:val="center"/>
                    <w:rPr>
                      <w:szCs w:val="21"/>
                    </w:rPr>
                  </w:pPr>
                  <w:r>
                    <w:rPr>
                      <w:rFonts w:hint="eastAsia"/>
                      <w:szCs w:val="21"/>
                    </w:rPr>
                    <w:t>1250</w:t>
                  </w:r>
                </w:p>
              </w:tc>
              <w:tc>
                <w:tcPr>
                  <w:tcW w:w="1119" w:type="pct"/>
                  <w:vAlign w:val="center"/>
                </w:tcPr>
                <w:p>
                  <w:pPr>
                    <w:contextualSpacing/>
                    <w:jc w:val="center"/>
                    <w:rPr>
                      <w:szCs w:val="21"/>
                    </w:rPr>
                  </w:pPr>
                  <w:r>
                    <w:rPr>
                      <w:rFonts w:hint="eastAsia"/>
                      <w:szCs w:val="21"/>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602" w:type="pct"/>
                  <w:vAlign w:val="center"/>
                </w:tcPr>
                <w:p>
                  <w:pPr>
                    <w:contextualSpacing/>
                    <w:jc w:val="center"/>
                    <w:rPr>
                      <w:szCs w:val="21"/>
                    </w:rPr>
                  </w:pPr>
                  <w:r>
                    <w:rPr>
                      <w:rFonts w:hint="eastAsia"/>
                      <w:szCs w:val="21"/>
                    </w:rPr>
                    <w:t>弹性模量</w:t>
                  </w:r>
                  <w:r>
                    <w:rPr>
                      <w:rFonts w:hint="eastAsia"/>
                      <w:szCs w:val="21"/>
                      <w:vertAlign w:val="superscript"/>
                    </w:rPr>
                    <w:t>a</w:t>
                  </w:r>
                  <w:r>
                    <w:rPr>
                      <w:rFonts w:hint="eastAsia"/>
                      <w:szCs w:val="21"/>
                    </w:rPr>
                    <w:t>/GPa</w:t>
                  </w:r>
                </w:p>
              </w:tc>
              <w:tc>
                <w:tcPr>
                  <w:tcW w:w="1136" w:type="pct"/>
                </w:tcPr>
                <w:p>
                  <w:pPr>
                    <w:contextualSpacing/>
                    <w:jc w:val="center"/>
                    <w:rPr>
                      <w:szCs w:val="21"/>
                    </w:rPr>
                  </w:pPr>
                  <w:r>
                    <w:rPr>
                      <w:rFonts w:hint="eastAsia"/>
                      <w:szCs w:val="21"/>
                    </w:rPr>
                    <w:t>34</w:t>
                  </w:r>
                </w:p>
              </w:tc>
              <w:tc>
                <w:tcPr>
                  <w:tcW w:w="1141" w:type="pct"/>
                  <w:vAlign w:val="center"/>
                </w:tcPr>
                <w:p>
                  <w:pPr>
                    <w:contextualSpacing/>
                    <w:jc w:val="center"/>
                    <w:rPr>
                      <w:szCs w:val="21"/>
                    </w:rPr>
                  </w:pPr>
                  <w:r>
                    <w:rPr>
                      <w:rFonts w:hint="eastAsia"/>
                      <w:szCs w:val="21"/>
                    </w:rPr>
                    <w:t>40</w:t>
                  </w:r>
                </w:p>
              </w:tc>
              <w:tc>
                <w:tcPr>
                  <w:tcW w:w="1119" w:type="pct"/>
                  <w:vAlign w:val="center"/>
                </w:tcPr>
                <w:p>
                  <w:pPr>
                    <w:contextualSpacing/>
                    <w:jc w:val="center"/>
                    <w:rPr>
                      <w:szCs w:val="21"/>
                    </w:rPr>
                  </w:pPr>
                  <w:r>
                    <w:rPr>
                      <w:rFonts w:hint="eastAsia"/>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602" w:type="pct"/>
                  <w:vAlign w:val="center"/>
                </w:tcPr>
                <w:p>
                  <w:pPr>
                    <w:contextualSpacing/>
                    <w:jc w:val="center"/>
                    <w:rPr>
                      <w:szCs w:val="21"/>
                    </w:rPr>
                  </w:pPr>
                  <w:r>
                    <w:rPr>
                      <w:rFonts w:hint="eastAsia"/>
                      <w:szCs w:val="21"/>
                    </w:rPr>
                    <w:t>断裂伸长率</w:t>
                  </w:r>
                  <w:r>
                    <w:rPr>
                      <w:rFonts w:hint="eastAsia"/>
                      <w:szCs w:val="21"/>
                      <w:vertAlign w:val="superscript"/>
                    </w:rPr>
                    <w:t>a</w:t>
                  </w:r>
                  <w:r>
                    <w:rPr>
                      <w:rFonts w:hint="eastAsia"/>
                      <w:szCs w:val="21"/>
                    </w:rPr>
                    <w:t>/%</w:t>
                  </w:r>
                </w:p>
              </w:tc>
              <w:tc>
                <w:tcPr>
                  <w:tcW w:w="3397" w:type="pct"/>
                  <w:gridSpan w:val="3"/>
                  <w:vAlign w:val="center"/>
                </w:tcPr>
                <w:p>
                  <w:pPr>
                    <w:contextualSpacing/>
                    <w:jc w:val="center"/>
                    <w:rPr>
                      <w:szCs w:val="21"/>
                    </w:rPr>
                  </w:pPr>
                  <w:r>
                    <w:rPr>
                      <w:rFonts w:hint="eastAsia"/>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602" w:type="pct"/>
                  <w:vAlign w:val="center"/>
                </w:tcPr>
                <w:p>
                  <w:pPr>
                    <w:contextualSpacing/>
                    <w:jc w:val="center"/>
                    <w:rPr>
                      <w:szCs w:val="21"/>
                    </w:rPr>
                  </w:pPr>
                  <w:r>
                    <w:rPr>
                      <w:rFonts w:hint="eastAsia"/>
                      <w:szCs w:val="21"/>
                    </w:rPr>
                    <w:t>耐性能，单丝断裂强保率/%</w:t>
                  </w:r>
                </w:p>
              </w:tc>
              <w:tc>
                <w:tcPr>
                  <w:tcW w:w="3397" w:type="pct"/>
                  <w:gridSpan w:val="3"/>
                  <w:vAlign w:val="center"/>
                </w:tcPr>
                <w:p>
                  <w:pPr>
                    <w:contextualSpacing/>
                    <w:jc w:val="center"/>
                    <w:rPr>
                      <w:szCs w:val="21"/>
                    </w:rPr>
                  </w:pPr>
                  <w:r>
                    <w:rPr>
                      <w:rFonts w:hint="eastAsia"/>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00" w:type="pct"/>
                  <w:gridSpan w:val="4"/>
                  <w:vAlign w:val="center"/>
                </w:tcPr>
                <w:p>
                  <w:pPr>
                    <w:contextualSpacing/>
                    <w:rPr>
                      <w:szCs w:val="21"/>
                    </w:rPr>
                  </w:pPr>
                  <w:r>
                    <w:rPr>
                      <w:rFonts w:hint="eastAsia"/>
                      <w:szCs w:val="21"/>
                      <w:vertAlign w:val="superscript"/>
                    </w:rPr>
                    <w:t>a</w:t>
                  </w:r>
                  <w:r>
                    <w:rPr>
                      <w:rFonts w:hint="eastAsia"/>
                      <w:szCs w:val="21"/>
                    </w:rPr>
                    <w:t>三项试验值的变异系数不得大于5%</w:t>
                  </w:r>
                </w:p>
              </w:tc>
            </w:tr>
          </w:tbl>
          <w:p>
            <w:pPr>
              <w:snapToGrid w:val="0"/>
              <w:spacing w:before="120" w:beforeLines="50"/>
              <w:jc w:val="center"/>
              <w:rPr>
                <w:b/>
                <w:bCs/>
                <w:kern w:val="0"/>
                <w:szCs w:val="21"/>
              </w:rPr>
            </w:pPr>
            <w:r>
              <w:rPr>
                <w:b/>
                <w:bCs/>
                <w:kern w:val="0"/>
                <w:szCs w:val="21"/>
              </w:rPr>
              <w:t>表2</w:t>
            </w:r>
            <w:r>
              <w:rPr>
                <w:rFonts w:hint="eastAsia"/>
                <w:b/>
                <w:bCs/>
                <w:kern w:val="0"/>
                <w:szCs w:val="21"/>
              </w:rPr>
              <w:t>-5</w:t>
            </w:r>
            <w:r>
              <w:rPr>
                <w:b/>
                <w:bCs/>
                <w:kern w:val="0"/>
                <w:szCs w:val="21"/>
              </w:rPr>
              <w:t xml:space="preserve">  项目</w:t>
            </w:r>
            <w:r>
              <w:rPr>
                <w:rFonts w:hint="eastAsia"/>
                <w:b/>
                <w:bCs/>
                <w:kern w:val="0"/>
                <w:szCs w:val="21"/>
              </w:rPr>
              <w:t>无捻粗纱</w:t>
            </w:r>
            <w:r>
              <w:rPr>
                <w:b/>
                <w:bCs/>
                <w:kern w:val="0"/>
                <w:szCs w:val="21"/>
              </w:rPr>
              <w:t>产品</w:t>
            </w:r>
            <w:r>
              <w:rPr>
                <w:rFonts w:hint="eastAsia"/>
                <w:b/>
                <w:bCs/>
                <w:kern w:val="0"/>
                <w:szCs w:val="21"/>
              </w:rPr>
              <w:t>标准</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6"/>
              <w:gridCol w:w="2419"/>
              <w:gridCol w:w="1918"/>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89" w:type="pct"/>
                  <w:vAlign w:val="center"/>
                </w:tcPr>
                <w:p>
                  <w:pPr>
                    <w:contextualSpacing/>
                    <w:jc w:val="center"/>
                    <w:rPr>
                      <w:szCs w:val="21"/>
                    </w:rPr>
                  </w:pPr>
                  <w:r>
                    <w:rPr>
                      <w:rFonts w:hint="eastAsia"/>
                      <w:szCs w:val="21"/>
                    </w:rPr>
                    <w:t>用途</w:t>
                  </w:r>
                </w:p>
              </w:tc>
              <w:tc>
                <w:tcPr>
                  <w:tcW w:w="1439" w:type="pct"/>
                  <w:vAlign w:val="center"/>
                </w:tcPr>
                <w:p>
                  <w:pPr>
                    <w:contextualSpacing/>
                    <w:jc w:val="center"/>
                    <w:rPr>
                      <w:szCs w:val="21"/>
                    </w:rPr>
                  </w:pPr>
                  <w:r>
                    <w:rPr>
                      <w:rFonts w:hint="eastAsia"/>
                      <w:szCs w:val="21"/>
                    </w:rPr>
                    <w:t>项目</w:t>
                  </w:r>
                </w:p>
              </w:tc>
              <w:tc>
                <w:tcPr>
                  <w:tcW w:w="2270" w:type="pct"/>
                  <w:gridSpan w:val="2"/>
                  <w:vAlign w:val="center"/>
                </w:tcPr>
                <w:p>
                  <w:pPr>
                    <w:contextualSpacing/>
                    <w:jc w:val="center"/>
                    <w:rPr>
                      <w:szCs w:val="21"/>
                    </w:rPr>
                  </w:pPr>
                  <w:r>
                    <w:rPr>
                      <w:rFonts w:hint="eastAsia"/>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89" w:type="pct"/>
                  <w:vAlign w:val="center"/>
                </w:tcPr>
                <w:p>
                  <w:pPr>
                    <w:contextualSpacing/>
                    <w:jc w:val="center"/>
                    <w:rPr>
                      <w:szCs w:val="21"/>
                    </w:rPr>
                  </w:pPr>
                  <w:r>
                    <w:rPr>
                      <w:rFonts w:hint="eastAsia"/>
                      <w:szCs w:val="21"/>
                    </w:rPr>
                    <w:t>喷射、模塑料</w:t>
                  </w:r>
                </w:p>
              </w:tc>
              <w:tc>
                <w:tcPr>
                  <w:tcW w:w="1439" w:type="pct"/>
                  <w:vAlign w:val="center"/>
                </w:tcPr>
                <w:p>
                  <w:pPr>
                    <w:contextualSpacing/>
                    <w:jc w:val="center"/>
                    <w:rPr>
                      <w:szCs w:val="21"/>
                    </w:rPr>
                  </w:pPr>
                  <w:r>
                    <w:rPr>
                      <w:rFonts w:hint="eastAsia"/>
                      <w:szCs w:val="21"/>
                    </w:rPr>
                    <w:t>浸胶后丙酬解度/%</w:t>
                  </w:r>
                </w:p>
              </w:tc>
              <w:tc>
                <w:tcPr>
                  <w:tcW w:w="2270" w:type="pct"/>
                  <w:gridSpan w:val="2"/>
                  <w:vAlign w:val="center"/>
                </w:tcPr>
                <w:p>
                  <w:pPr>
                    <w:contextualSpacing/>
                    <w:jc w:val="center"/>
                    <w:rPr>
                      <w:szCs w:val="21"/>
                    </w:rPr>
                  </w:pPr>
                  <w:r>
                    <w:rPr>
                      <w:rFonts w:hint="eastAsia"/>
                      <w:szCs w:val="21"/>
                    </w:rPr>
                    <w:t>标称值的±20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89" w:type="pct"/>
                  <w:vMerge w:val="restart"/>
                  <w:vAlign w:val="center"/>
                </w:tcPr>
                <w:p>
                  <w:pPr>
                    <w:contextualSpacing/>
                    <w:jc w:val="center"/>
                    <w:rPr>
                      <w:szCs w:val="21"/>
                    </w:rPr>
                  </w:pPr>
                  <w:r>
                    <w:rPr>
                      <w:rFonts w:hint="eastAsia"/>
                      <w:szCs w:val="21"/>
                    </w:rPr>
                    <w:t>拉挤、缠绕</w:t>
                  </w:r>
                </w:p>
              </w:tc>
              <w:tc>
                <w:tcPr>
                  <w:tcW w:w="1439" w:type="pct"/>
                  <w:vMerge w:val="restart"/>
                  <w:vAlign w:val="center"/>
                </w:tcPr>
                <w:p>
                  <w:pPr>
                    <w:contextualSpacing/>
                    <w:jc w:val="center"/>
                    <w:rPr>
                      <w:szCs w:val="21"/>
                    </w:rPr>
                  </w:pPr>
                  <w:r>
                    <w:rPr>
                      <w:rFonts w:hint="eastAsia"/>
                      <w:szCs w:val="21"/>
                    </w:rPr>
                    <w:t>浸胶纱力学性能</w:t>
                  </w:r>
                </w:p>
              </w:tc>
              <w:tc>
                <w:tcPr>
                  <w:tcW w:w="1141" w:type="pct"/>
                  <w:vAlign w:val="center"/>
                </w:tcPr>
                <w:p>
                  <w:pPr>
                    <w:contextualSpacing/>
                    <w:jc w:val="center"/>
                    <w:rPr>
                      <w:szCs w:val="21"/>
                    </w:rPr>
                  </w:pPr>
                  <w:r>
                    <w:rPr>
                      <w:rFonts w:hint="eastAsia"/>
                      <w:szCs w:val="21"/>
                    </w:rPr>
                    <w:t>拉伸强度/MPa</w:t>
                  </w:r>
                </w:p>
              </w:tc>
              <w:tc>
                <w:tcPr>
                  <w:tcW w:w="1129" w:type="pct"/>
                  <w:vAlign w:val="center"/>
                </w:tcPr>
                <w:p>
                  <w:pPr>
                    <w:contextualSpacing/>
                    <w:jc w:val="center"/>
                    <w:rPr>
                      <w:szCs w:val="21"/>
                    </w:rPr>
                  </w:pPr>
                  <w:r>
                    <w:rPr>
                      <w:szCs w:val="21"/>
                    </w:rPr>
                    <w:t>≥</w:t>
                  </w:r>
                  <w:r>
                    <w:rPr>
                      <w:rFonts w:hint="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1289" w:type="pct"/>
                  <w:vMerge w:val="continue"/>
                  <w:vAlign w:val="center"/>
                </w:tcPr>
                <w:p>
                  <w:pPr>
                    <w:contextualSpacing/>
                    <w:jc w:val="center"/>
                    <w:rPr>
                      <w:szCs w:val="21"/>
                    </w:rPr>
                  </w:pPr>
                </w:p>
              </w:tc>
              <w:tc>
                <w:tcPr>
                  <w:tcW w:w="1439" w:type="pct"/>
                  <w:vMerge w:val="continue"/>
                  <w:vAlign w:val="center"/>
                </w:tcPr>
                <w:p>
                  <w:pPr>
                    <w:contextualSpacing/>
                    <w:jc w:val="center"/>
                    <w:rPr>
                      <w:szCs w:val="21"/>
                    </w:rPr>
                  </w:pPr>
                </w:p>
              </w:tc>
              <w:tc>
                <w:tcPr>
                  <w:tcW w:w="1141" w:type="pct"/>
                  <w:vAlign w:val="center"/>
                </w:tcPr>
                <w:p>
                  <w:pPr>
                    <w:contextualSpacing/>
                    <w:jc w:val="center"/>
                    <w:rPr>
                      <w:szCs w:val="21"/>
                    </w:rPr>
                  </w:pPr>
                  <w:r>
                    <w:rPr>
                      <w:rFonts w:hint="eastAsia"/>
                      <w:szCs w:val="21"/>
                    </w:rPr>
                    <w:t>弹性模量/GPa</w:t>
                  </w:r>
                </w:p>
              </w:tc>
              <w:tc>
                <w:tcPr>
                  <w:tcW w:w="1129" w:type="pct"/>
                  <w:vAlign w:val="center"/>
                </w:tcPr>
                <w:p>
                  <w:pPr>
                    <w:contextualSpacing/>
                    <w:jc w:val="center"/>
                    <w:rPr>
                      <w:szCs w:val="21"/>
                    </w:rPr>
                  </w:pPr>
                  <w:r>
                    <w:rPr>
                      <w:szCs w:val="21"/>
                    </w:rPr>
                    <w:t>≥</w:t>
                  </w:r>
                  <w:r>
                    <w:rPr>
                      <w:rFonts w:hint="eastAsia"/>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1289" w:type="pct"/>
                  <w:vMerge w:val="continue"/>
                  <w:vAlign w:val="center"/>
                </w:tcPr>
                <w:p>
                  <w:pPr>
                    <w:contextualSpacing/>
                    <w:jc w:val="center"/>
                    <w:rPr>
                      <w:szCs w:val="21"/>
                    </w:rPr>
                  </w:pPr>
                </w:p>
              </w:tc>
              <w:tc>
                <w:tcPr>
                  <w:tcW w:w="1439" w:type="pct"/>
                  <w:vMerge w:val="continue"/>
                  <w:vAlign w:val="center"/>
                </w:tcPr>
                <w:p>
                  <w:pPr>
                    <w:contextualSpacing/>
                    <w:jc w:val="center"/>
                    <w:rPr>
                      <w:szCs w:val="21"/>
                    </w:rPr>
                  </w:pPr>
                </w:p>
              </w:tc>
              <w:tc>
                <w:tcPr>
                  <w:tcW w:w="1141" w:type="pct"/>
                  <w:vAlign w:val="center"/>
                </w:tcPr>
                <w:p>
                  <w:pPr>
                    <w:contextualSpacing/>
                    <w:jc w:val="center"/>
                    <w:rPr>
                      <w:szCs w:val="21"/>
                    </w:rPr>
                  </w:pPr>
                  <w:r>
                    <w:rPr>
                      <w:rFonts w:hint="eastAsia"/>
                      <w:szCs w:val="21"/>
                    </w:rPr>
                    <w:t>断裂伸长率/%</w:t>
                  </w:r>
                </w:p>
              </w:tc>
              <w:tc>
                <w:tcPr>
                  <w:tcW w:w="1129" w:type="pct"/>
                  <w:vAlign w:val="center"/>
                </w:tcPr>
                <w:p>
                  <w:pPr>
                    <w:contextualSpacing/>
                    <w:jc w:val="center"/>
                    <w:rPr>
                      <w:szCs w:val="21"/>
                    </w:rPr>
                  </w:pPr>
                  <w:r>
                    <w:rPr>
                      <w:szCs w:val="21"/>
                    </w:rPr>
                    <w:t>≥</w:t>
                  </w: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1289" w:type="pct"/>
                  <w:vMerge w:val="restart"/>
                  <w:vAlign w:val="center"/>
                </w:tcPr>
                <w:p>
                  <w:pPr>
                    <w:contextualSpacing/>
                    <w:jc w:val="center"/>
                    <w:rPr>
                      <w:szCs w:val="21"/>
                    </w:rPr>
                  </w:pPr>
                  <w:r>
                    <w:rPr>
                      <w:rFonts w:hint="eastAsia"/>
                      <w:szCs w:val="21"/>
                    </w:rPr>
                    <w:t>织造、拉挤、缠绕</w:t>
                  </w:r>
                </w:p>
              </w:tc>
              <w:tc>
                <w:tcPr>
                  <w:tcW w:w="1439" w:type="pct"/>
                  <w:vMerge w:val="restart"/>
                  <w:vAlign w:val="center"/>
                </w:tcPr>
                <w:p>
                  <w:pPr>
                    <w:contextualSpacing/>
                    <w:jc w:val="center"/>
                    <w:rPr>
                      <w:szCs w:val="21"/>
                    </w:rPr>
                  </w:pPr>
                  <w:r>
                    <w:rPr>
                      <w:rFonts w:hint="eastAsia"/>
                      <w:szCs w:val="21"/>
                    </w:rPr>
                    <w:t>棒状复合材料</w:t>
                  </w:r>
                  <w:r>
                    <w:rPr>
                      <w:rFonts w:hint="eastAsia"/>
                      <w:szCs w:val="21"/>
                      <w:vertAlign w:val="superscript"/>
                    </w:rPr>
                    <w:t>a</w:t>
                  </w:r>
                  <w:r>
                    <w:rPr>
                      <w:rFonts w:hint="eastAsia"/>
                      <w:szCs w:val="21"/>
                    </w:rPr>
                    <w:t>·弯曲强度/MPa</w:t>
                  </w:r>
                </w:p>
              </w:tc>
              <w:tc>
                <w:tcPr>
                  <w:tcW w:w="1141" w:type="pct"/>
                  <w:vAlign w:val="center"/>
                </w:tcPr>
                <w:p>
                  <w:pPr>
                    <w:contextualSpacing/>
                    <w:jc w:val="center"/>
                    <w:rPr>
                      <w:szCs w:val="21"/>
                    </w:rPr>
                  </w:pPr>
                  <w:r>
                    <w:rPr>
                      <w:rFonts w:hint="eastAsia"/>
                      <w:szCs w:val="21"/>
                    </w:rPr>
                    <w:t>标准状态</w:t>
                  </w:r>
                </w:p>
              </w:tc>
              <w:tc>
                <w:tcPr>
                  <w:tcW w:w="1129" w:type="pct"/>
                  <w:vAlign w:val="center"/>
                </w:tcPr>
                <w:p>
                  <w:pPr>
                    <w:contextualSpacing/>
                    <w:jc w:val="center"/>
                    <w:rPr>
                      <w:szCs w:val="21"/>
                    </w:rPr>
                  </w:pPr>
                  <w:r>
                    <w:rPr>
                      <w:szCs w:val="21"/>
                    </w:rPr>
                    <w:t>≥</w:t>
                  </w:r>
                  <w:r>
                    <w:rPr>
                      <w:rFonts w:hint="eastAsia"/>
                      <w:szCs w:val="21"/>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89" w:type="pct"/>
                  <w:vMerge w:val="continue"/>
                  <w:vAlign w:val="center"/>
                </w:tcPr>
                <w:p>
                  <w:pPr>
                    <w:contextualSpacing/>
                    <w:jc w:val="center"/>
                    <w:rPr>
                      <w:szCs w:val="21"/>
                    </w:rPr>
                  </w:pPr>
                </w:p>
              </w:tc>
              <w:tc>
                <w:tcPr>
                  <w:tcW w:w="1439" w:type="pct"/>
                  <w:vMerge w:val="continue"/>
                </w:tcPr>
                <w:p>
                  <w:pPr>
                    <w:contextualSpacing/>
                    <w:jc w:val="center"/>
                    <w:rPr>
                      <w:szCs w:val="21"/>
                    </w:rPr>
                  </w:pPr>
                </w:p>
              </w:tc>
              <w:tc>
                <w:tcPr>
                  <w:tcW w:w="1141" w:type="pct"/>
                  <w:vAlign w:val="center"/>
                </w:tcPr>
                <w:p>
                  <w:pPr>
                    <w:contextualSpacing/>
                    <w:jc w:val="center"/>
                    <w:rPr>
                      <w:szCs w:val="21"/>
                    </w:rPr>
                  </w:pPr>
                  <w:r>
                    <w:rPr>
                      <w:rFonts w:hint="eastAsia"/>
                      <w:szCs w:val="21"/>
                    </w:rPr>
                    <w:t>潮湿状态</w:t>
                  </w:r>
                  <w:r>
                    <w:rPr>
                      <w:rFonts w:hint="eastAsia"/>
                      <w:szCs w:val="21"/>
                      <w:vertAlign w:val="superscript"/>
                    </w:rPr>
                    <w:t>b</w:t>
                  </w:r>
                </w:p>
              </w:tc>
              <w:tc>
                <w:tcPr>
                  <w:tcW w:w="1129" w:type="pct"/>
                  <w:vAlign w:val="center"/>
                </w:tcPr>
                <w:p>
                  <w:pPr>
                    <w:contextualSpacing/>
                    <w:jc w:val="center"/>
                    <w:rPr>
                      <w:szCs w:val="21"/>
                    </w:rPr>
                  </w:pPr>
                  <w:r>
                    <w:rPr>
                      <w:szCs w:val="21"/>
                    </w:rPr>
                    <w:t>≥</w:t>
                  </w:r>
                  <w:r>
                    <w:rPr>
                      <w:rFonts w:hint="eastAsia"/>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00" w:type="pct"/>
                  <w:gridSpan w:val="4"/>
                  <w:vAlign w:val="center"/>
                </w:tcPr>
                <w:p>
                  <w:pPr>
                    <w:contextualSpacing/>
                    <w:rPr>
                      <w:szCs w:val="21"/>
                    </w:rPr>
                  </w:pPr>
                  <w:r>
                    <w:rPr>
                      <w:rFonts w:hint="eastAsia"/>
                      <w:szCs w:val="21"/>
                      <w:vertAlign w:val="superscript"/>
                    </w:rPr>
                    <w:t>a</w:t>
                  </w:r>
                  <w:r>
                    <w:rPr>
                      <w:rFonts w:hint="eastAsia"/>
                      <w:szCs w:val="21"/>
                    </w:rPr>
                    <w:t>棒状复合材料树脂基材包括不饱和聚酯树脂、乙烯基树脂、环氧树脂。</w:t>
                  </w:r>
                </w:p>
                <w:p>
                  <w:pPr>
                    <w:contextualSpacing/>
                    <w:rPr>
                      <w:szCs w:val="21"/>
                    </w:rPr>
                  </w:pPr>
                  <w:r>
                    <w:rPr>
                      <w:rFonts w:hint="eastAsia"/>
                      <w:szCs w:val="21"/>
                      <w:vertAlign w:val="superscript"/>
                    </w:rPr>
                    <w:t>b</w:t>
                  </w:r>
                  <w:r>
                    <w:rPr>
                      <w:rFonts w:hint="eastAsia"/>
                      <w:szCs w:val="21"/>
                    </w:rPr>
                    <w:t>潮湿状态指 100℃沸水煮 2 h。</w:t>
                  </w:r>
                </w:p>
              </w:tc>
            </w:tr>
          </w:tbl>
          <w:p>
            <w:pPr>
              <w:snapToGrid w:val="0"/>
              <w:spacing w:before="120" w:beforeLines="50"/>
              <w:jc w:val="center"/>
              <w:rPr>
                <w:b/>
                <w:bCs/>
                <w:kern w:val="0"/>
                <w:szCs w:val="21"/>
              </w:rPr>
            </w:pPr>
            <w:r>
              <w:rPr>
                <w:b/>
                <w:bCs/>
                <w:kern w:val="0"/>
                <w:szCs w:val="21"/>
              </w:rPr>
              <w:t>表2</w:t>
            </w:r>
            <w:r>
              <w:rPr>
                <w:rFonts w:hint="eastAsia"/>
                <w:b/>
                <w:bCs/>
                <w:kern w:val="0"/>
                <w:szCs w:val="21"/>
              </w:rPr>
              <w:t>-6</w:t>
            </w:r>
            <w:r>
              <w:rPr>
                <w:b/>
                <w:bCs/>
                <w:kern w:val="0"/>
                <w:szCs w:val="21"/>
              </w:rPr>
              <w:t xml:space="preserve">  项目</w:t>
            </w:r>
            <w:r>
              <w:rPr>
                <w:rFonts w:hint="eastAsia"/>
                <w:b/>
                <w:bCs/>
                <w:kern w:val="0"/>
                <w:szCs w:val="21"/>
              </w:rPr>
              <w:t>玄武岩拉挤型材</w:t>
            </w:r>
            <w:r>
              <w:rPr>
                <w:b/>
                <w:bCs/>
                <w:kern w:val="0"/>
                <w:szCs w:val="21"/>
              </w:rPr>
              <w:t>产品</w:t>
            </w:r>
            <w:r>
              <w:rPr>
                <w:rFonts w:hint="eastAsia"/>
                <w:b/>
                <w:bCs/>
                <w:kern w:val="0"/>
                <w:szCs w:val="21"/>
              </w:rPr>
              <w:t>标准</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8"/>
              <w:gridCol w:w="2009"/>
              <w:gridCol w:w="3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2711" w:type="pct"/>
                  <w:gridSpan w:val="2"/>
                  <w:vAlign w:val="center"/>
                </w:tcPr>
                <w:p>
                  <w:pPr>
                    <w:contextualSpacing/>
                    <w:jc w:val="center"/>
                    <w:rPr>
                      <w:szCs w:val="21"/>
                    </w:rPr>
                  </w:pPr>
                  <w:r>
                    <w:rPr>
                      <w:rFonts w:hint="eastAsia"/>
                      <w:szCs w:val="21"/>
                    </w:rPr>
                    <w:t>名称</w:t>
                  </w:r>
                </w:p>
              </w:tc>
              <w:tc>
                <w:tcPr>
                  <w:tcW w:w="2288" w:type="pct"/>
                  <w:vAlign w:val="center"/>
                </w:tcPr>
                <w:p>
                  <w:pPr>
                    <w:contextualSpacing/>
                    <w:jc w:val="center"/>
                    <w:rPr>
                      <w:szCs w:val="21"/>
                    </w:rPr>
                  </w:pPr>
                  <w:r>
                    <w:rPr>
                      <w:rFonts w:hint="eastAsia"/>
                    </w:rPr>
                    <w:t>玄武岩纤维筋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2711" w:type="pct"/>
                  <w:gridSpan w:val="2"/>
                  <w:vAlign w:val="center"/>
                </w:tcPr>
                <w:p>
                  <w:pPr>
                    <w:contextualSpacing/>
                    <w:jc w:val="center"/>
                    <w:rPr>
                      <w:szCs w:val="21"/>
                    </w:rPr>
                  </w:pPr>
                  <w:r>
                    <w:rPr>
                      <w:rFonts w:hint="eastAsia"/>
                      <w:szCs w:val="21"/>
                    </w:rPr>
                    <w:t>密度（mg/cm</w:t>
                  </w:r>
                  <w:r>
                    <w:rPr>
                      <w:rFonts w:hint="eastAsia"/>
                      <w:szCs w:val="21"/>
                      <w:vertAlign w:val="superscript"/>
                    </w:rPr>
                    <w:t>3</w:t>
                  </w:r>
                  <w:r>
                    <w:rPr>
                      <w:rFonts w:hint="eastAsia"/>
                      <w:szCs w:val="21"/>
                    </w:rPr>
                    <w:t>）</w:t>
                  </w:r>
                </w:p>
              </w:tc>
              <w:tc>
                <w:tcPr>
                  <w:tcW w:w="2288" w:type="pct"/>
                  <w:vAlign w:val="center"/>
                </w:tcPr>
                <w:p>
                  <w:pPr>
                    <w:contextualSpacing/>
                    <w:jc w:val="center"/>
                    <w:rPr>
                      <w:szCs w:val="21"/>
                    </w:rPr>
                  </w:pPr>
                  <w:r>
                    <w:rPr>
                      <w:rFonts w:hint="eastAsia"/>
                      <w:szCs w:val="21"/>
                    </w:rPr>
                    <w:t>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711" w:type="pct"/>
                  <w:gridSpan w:val="2"/>
                  <w:vAlign w:val="center"/>
                </w:tcPr>
                <w:p>
                  <w:pPr>
                    <w:contextualSpacing/>
                    <w:jc w:val="center"/>
                    <w:rPr>
                      <w:szCs w:val="21"/>
                    </w:rPr>
                  </w:pPr>
                  <w:r>
                    <w:rPr>
                      <w:rFonts w:hint="eastAsia"/>
                      <w:szCs w:val="21"/>
                    </w:rPr>
                    <w:t>拉伸强度（MPa）</w:t>
                  </w:r>
                </w:p>
              </w:tc>
              <w:tc>
                <w:tcPr>
                  <w:tcW w:w="2288" w:type="pct"/>
                  <w:vAlign w:val="center"/>
                </w:tcPr>
                <w:p>
                  <w:pPr>
                    <w:contextualSpacing/>
                    <w:jc w:val="center"/>
                    <w:rPr>
                      <w:szCs w:val="21"/>
                    </w:rPr>
                  </w:pPr>
                  <w:r>
                    <w:rPr>
                      <w:szCs w:val="21"/>
                    </w:rPr>
                    <w:t>≥</w:t>
                  </w:r>
                  <w:r>
                    <w:rPr>
                      <w:rFonts w:hint="eastAsia"/>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711" w:type="pct"/>
                  <w:gridSpan w:val="2"/>
                  <w:vAlign w:val="center"/>
                </w:tcPr>
                <w:p>
                  <w:pPr>
                    <w:contextualSpacing/>
                    <w:jc w:val="center"/>
                    <w:rPr>
                      <w:szCs w:val="21"/>
                    </w:rPr>
                  </w:pPr>
                  <w:r>
                    <w:rPr>
                      <w:rFonts w:hint="eastAsia"/>
                      <w:szCs w:val="21"/>
                    </w:rPr>
                    <w:t>弹性模量（MPa）</w:t>
                  </w:r>
                </w:p>
              </w:tc>
              <w:tc>
                <w:tcPr>
                  <w:tcW w:w="2288" w:type="pct"/>
                  <w:vAlign w:val="center"/>
                </w:tcPr>
                <w:p>
                  <w:pPr>
                    <w:contextualSpacing/>
                    <w:jc w:val="center"/>
                    <w:rPr>
                      <w:szCs w:val="21"/>
                    </w:rPr>
                  </w:pPr>
                  <w:r>
                    <w:rPr>
                      <w:szCs w:val="21"/>
                    </w:rPr>
                    <w:t>≥</w:t>
                  </w:r>
                  <w:r>
                    <w:rPr>
                      <w:rFonts w:hint="eastAsia"/>
                      <w:szCs w:val="21"/>
                    </w:rPr>
                    <w:t>4×10</w:t>
                  </w:r>
                  <w:r>
                    <w:rPr>
                      <w:rFonts w:hint="eastAsia"/>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2711" w:type="pct"/>
                  <w:gridSpan w:val="2"/>
                  <w:vAlign w:val="center"/>
                </w:tcPr>
                <w:p>
                  <w:pPr>
                    <w:contextualSpacing/>
                    <w:jc w:val="center"/>
                    <w:rPr>
                      <w:szCs w:val="21"/>
                    </w:rPr>
                  </w:pPr>
                  <w:r>
                    <w:rPr>
                      <w:rFonts w:hint="eastAsia"/>
                      <w:szCs w:val="21"/>
                    </w:rPr>
                    <w:t>断裂伸长率（%）</w:t>
                  </w:r>
                </w:p>
              </w:tc>
              <w:tc>
                <w:tcPr>
                  <w:tcW w:w="2288" w:type="pct"/>
                  <w:vAlign w:val="center"/>
                </w:tcPr>
                <w:p>
                  <w:pPr>
                    <w:contextualSpacing/>
                    <w:jc w:val="center"/>
                    <w:rPr>
                      <w:szCs w:val="21"/>
                    </w:rPr>
                  </w:pPr>
                  <w:r>
                    <w:rPr>
                      <w:szCs w:val="21"/>
                    </w:rPr>
                    <w:t>≥</w:t>
                  </w:r>
                  <w:r>
                    <w:rPr>
                      <w:rFonts w:hint="eastAsia"/>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16" w:type="pct"/>
                  <w:vMerge w:val="restart"/>
                  <w:vAlign w:val="center"/>
                </w:tcPr>
                <w:p>
                  <w:pPr>
                    <w:contextualSpacing/>
                    <w:jc w:val="center"/>
                    <w:rPr>
                      <w:szCs w:val="21"/>
                    </w:rPr>
                  </w:pPr>
                  <w:r>
                    <w:rPr>
                      <w:rFonts w:hint="eastAsia"/>
                      <w:szCs w:val="21"/>
                    </w:rPr>
                    <w:t>热膨胀系数（×10</w:t>
                  </w:r>
                  <w:r>
                    <w:rPr>
                      <w:rFonts w:hint="eastAsia"/>
                      <w:szCs w:val="21"/>
                      <w:vertAlign w:val="superscript"/>
                    </w:rPr>
                    <w:t>-6</w:t>
                  </w:r>
                  <w:r>
                    <w:rPr>
                      <w:rFonts w:hint="eastAsia"/>
                      <w:szCs w:val="21"/>
                    </w:rPr>
                    <w:t>/℃）</w:t>
                  </w:r>
                </w:p>
              </w:tc>
              <w:tc>
                <w:tcPr>
                  <w:tcW w:w="1195" w:type="pct"/>
                  <w:vAlign w:val="center"/>
                </w:tcPr>
                <w:p>
                  <w:pPr>
                    <w:contextualSpacing/>
                    <w:jc w:val="center"/>
                    <w:rPr>
                      <w:szCs w:val="21"/>
                    </w:rPr>
                  </w:pPr>
                  <w:r>
                    <w:rPr>
                      <w:rFonts w:hint="eastAsia"/>
                      <w:szCs w:val="21"/>
                    </w:rPr>
                    <w:t>纵向</w:t>
                  </w:r>
                </w:p>
              </w:tc>
              <w:tc>
                <w:tcPr>
                  <w:tcW w:w="2288" w:type="pct"/>
                  <w:vAlign w:val="center"/>
                </w:tcPr>
                <w:p>
                  <w:pPr>
                    <w:contextualSpacing/>
                    <w:jc w:val="center"/>
                    <w:rPr>
                      <w:szCs w:val="21"/>
                    </w:rPr>
                  </w:pPr>
                  <w:r>
                    <w:rPr>
                      <w:rFonts w:hint="eastAsia"/>
                      <w:szCs w:val="21"/>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16" w:type="pct"/>
                  <w:vMerge w:val="continue"/>
                  <w:vAlign w:val="center"/>
                </w:tcPr>
                <w:p>
                  <w:pPr>
                    <w:contextualSpacing/>
                    <w:jc w:val="center"/>
                    <w:rPr>
                      <w:szCs w:val="21"/>
                    </w:rPr>
                  </w:pPr>
                </w:p>
              </w:tc>
              <w:tc>
                <w:tcPr>
                  <w:tcW w:w="1195" w:type="pct"/>
                  <w:vAlign w:val="center"/>
                </w:tcPr>
                <w:p>
                  <w:pPr>
                    <w:contextualSpacing/>
                    <w:jc w:val="center"/>
                    <w:rPr>
                      <w:szCs w:val="21"/>
                    </w:rPr>
                  </w:pPr>
                  <w:r>
                    <w:rPr>
                      <w:rFonts w:hint="eastAsia"/>
                      <w:szCs w:val="21"/>
                    </w:rPr>
                    <w:t>横向</w:t>
                  </w:r>
                </w:p>
              </w:tc>
              <w:tc>
                <w:tcPr>
                  <w:tcW w:w="2288" w:type="pct"/>
                  <w:vAlign w:val="center"/>
                </w:tcPr>
                <w:p>
                  <w:pPr>
                    <w:contextualSpacing/>
                    <w:jc w:val="center"/>
                    <w:rPr>
                      <w:szCs w:val="21"/>
                    </w:rPr>
                  </w:pPr>
                  <w:r>
                    <w:rPr>
                      <w:rFonts w:hint="eastAsia"/>
                      <w:szCs w:val="21"/>
                    </w:rPr>
                    <w:t>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711" w:type="pct"/>
                  <w:gridSpan w:val="2"/>
                  <w:vAlign w:val="center"/>
                </w:tcPr>
                <w:p>
                  <w:pPr>
                    <w:contextualSpacing/>
                    <w:jc w:val="center"/>
                    <w:rPr>
                      <w:szCs w:val="21"/>
                    </w:rPr>
                  </w:pPr>
                  <w:r>
                    <w:rPr>
                      <w:rFonts w:hint="eastAsia"/>
                      <w:szCs w:val="21"/>
                    </w:rPr>
                    <w:t>耐碱度（强度保留率）（%）</w:t>
                  </w:r>
                </w:p>
              </w:tc>
              <w:tc>
                <w:tcPr>
                  <w:tcW w:w="2288" w:type="pct"/>
                  <w:vAlign w:val="center"/>
                </w:tcPr>
                <w:p>
                  <w:pPr>
                    <w:contextualSpacing/>
                    <w:jc w:val="center"/>
                    <w:rPr>
                      <w:szCs w:val="21"/>
                    </w:rPr>
                  </w:pPr>
                  <w:r>
                    <w:rPr>
                      <w:szCs w:val="21"/>
                    </w:rPr>
                    <w:t>≥</w:t>
                  </w:r>
                  <w:r>
                    <w:rPr>
                      <w:rFonts w:hint="eastAsia"/>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711" w:type="pct"/>
                  <w:gridSpan w:val="2"/>
                  <w:vAlign w:val="center"/>
                </w:tcPr>
                <w:p>
                  <w:pPr>
                    <w:contextualSpacing/>
                    <w:jc w:val="center"/>
                    <w:rPr>
                      <w:szCs w:val="21"/>
                    </w:rPr>
                  </w:pPr>
                  <w:r>
                    <w:rPr>
                      <w:rFonts w:hint="eastAsia"/>
                      <w:szCs w:val="21"/>
                    </w:rPr>
                    <w:t>磁化率（4Π×10</w:t>
                  </w:r>
                  <w:r>
                    <w:rPr>
                      <w:rFonts w:hint="eastAsia"/>
                      <w:szCs w:val="21"/>
                      <w:vertAlign w:val="superscript"/>
                    </w:rPr>
                    <w:t>-5</w:t>
                  </w:r>
                  <w:r>
                    <w:rPr>
                      <w:rFonts w:hint="eastAsia"/>
                      <w:szCs w:val="21"/>
                    </w:rPr>
                    <w:t>SI）</w:t>
                  </w:r>
                </w:p>
              </w:tc>
              <w:tc>
                <w:tcPr>
                  <w:tcW w:w="2288" w:type="pct"/>
                  <w:vAlign w:val="center"/>
                </w:tcPr>
                <w:p>
                  <w:pPr>
                    <w:contextualSpacing/>
                    <w:jc w:val="center"/>
                    <w:rPr>
                      <w:szCs w:val="21"/>
                    </w:rPr>
                  </w:pPr>
                  <w:r>
                    <w:rPr>
                      <w:rFonts w:hint="eastAsia"/>
                      <w:szCs w:val="21"/>
                    </w:rPr>
                    <w:t>≤5×10</w:t>
                  </w:r>
                  <w:r>
                    <w:rPr>
                      <w:rFonts w:hint="eastAsia"/>
                      <w:szCs w:val="21"/>
                      <w:vertAlign w:val="superscrip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00" w:type="pct"/>
                  <w:gridSpan w:val="3"/>
                  <w:vAlign w:val="center"/>
                </w:tcPr>
                <w:p>
                  <w:pPr>
                    <w:contextualSpacing/>
                    <w:rPr>
                      <w:szCs w:val="21"/>
                    </w:rPr>
                  </w:pPr>
                  <w:r>
                    <w:rPr>
                      <w:rFonts w:hint="eastAsia"/>
                      <w:szCs w:val="21"/>
                    </w:rPr>
                    <w:t>注1:磁化率检测视需要确定</w:t>
                  </w:r>
                </w:p>
                <w:p>
                  <w:pPr>
                    <w:contextualSpacing/>
                    <w:rPr>
                      <w:szCs w:val="21"/>
                    </w:rPr>
                  </w:pPr>
                  <w:r>
                    <w:rPr>
                      <w:rFonts w:hint="eastAsia"/>
                      <w:szCs w:val="21"/>
                    </w:rPr>
                    <w:t>注 2:测试样品时，玄武岩纤维复合筋材拉挤成型后应经过 28d 的养护定型后再进行测试。</w:t>
                  </w:r>
                </w:p>
              </w:tc>
            </w:tr>
          </w:tbl>
          <w:p>
            <w:pPr>
              <w:spacing w:line="360" w:lineRule="auto"/>
              <w:ind w:left="630"/>
              <w:rPr>
                <w:b/>
                <w:bCs/>
                <w:sz w:val="24"/>
              </w:rPr>
            </w:pPr>
            <w:r>
              <w:rPr>
                <w:b/>
                <w:bCs/>
                <w:sz w:val="24"/>
              </w:rPr>
              <w:t>5</w:t>
            </w:r>
            <w:r>
              <w:rPr>
                <w:rFonts w:hint="eastAsia"/>
                <w:b/>
                <w:bCs/>
                <w:sz w:val="24"/>
              </w:rPr>
              <w:t>、</w:t>
            </w:r>
            <w:r>
              <w:rPr>
                <w:b/>
                <w:bCs/>
                <w:sz w:val="24"/>
              </w:rPr>
              <w:t>原辅料</w:t>
            </w:r>
            <w:r>
              <w:rPr>
                <w:rFonts w:hint="eastAsia"/>
                <w:b/>
                <w:bCs/>
                <w:sz w:val="24"/>
              </w:rPr>
              <w:t>消耗情况</w:t>
            </w:r>
          </w:p>
          <w:p>
            <w:pPr>
              <w:spacing w:line="360" w:lineRule="auto"/>
              <w:ind w:firstLine="480" w:firstLineChars="200"/>
              <w:rPr>
                <w:sz w:val="24"/>
              </w:rPr>
            </w:pPr>
            <w:r>
              <w:rPr>
                <w:sz w:val="24"/>
              </w:rPr>
              <w:t>项目</w:t>
            </w:r>
            <w:r>
              <w:rPr>
                <w:rFonts w:hint="eastAsia"/>
                <w:sz w:val="24"/>
              </w:rPr>
              <w:t>原材料主要为玄武岩矿石成品，</w:t>
            </w:r>
            <w:r>
              <w:rPr>
                <w:sz w:val="24"/>
              </w:rPr>
              <w:t>原辅材料消耗情况见表</w:t>
            </w:r>
            <w:r>
              <w:rPr>
                <w:rFonts w:hint="eastAsia"/>
                <w:sz w:val="24"/>
              </w:rPr>
              <w:t>2</w:t>
            </w:r>
            <w:r>
              <w:rPr>
                <w:sz w:val="24"/>
              </w:rPr>
              <w:t>-</w:t>
            </w:r>
            <w:r>
              <w:rPr>
                <w:rFonts w:hint="eastAsia"/>
                <w:sz w:val="24"/>
              </w:rPr>
              <w:t>7</w:t>
            </w:r>
            <w:r>
              <w:rPr>
                <w:sz w:val="24"/>
              </w:rPr>
              <w:t>。</w:t>
            </w:r>
          </w:p>
          <w:p>
            <w:pPr>
              <w:widowControl/>
              <w:adjustRightInd w:val="0"/>
              <w:snapToGrid w:val="0"/>
              <w:jc w:val="center"/>
              <w:rPr>
                <w:b/>
                <w:kern w:val="0"/>
                <w:szCs w:val="21"/>
              </w:rPr>
            </w:pPr>
            <w:r>
              <w:rPr>
                <w:b/>
                <w:bCs/>
                <w:szCs w:val="21"/>
              </w:rPr>
              <w:t>表</w:t>
            </w:r>
            <w:r>
              <w:rPr>
                <w:rFonts w:hint="eastAsia"/>
                <w:b/>
                <w:bCs/>
                <w:szCs w:val="21"/>
              </w:rPr>
              <w:t>2-7</w:t>
            </w:r>
            <w:r>
              <w:rPr>
                <w:b/>
                <w:bCs/>
                <w:szCs w:val="21"/>
              </w:rPr>
              <w:t xml:space="preserve"> </w:t>
            </w:r>
            <w:r>
              <w:rPr>
                <w:rFonts w:hint="eastAsia"/>
                <w:b/>
                <w:kern w:val="0"/>
                <w:szCs w:val="21"/>
              </w:rPr>
              <w:t xml:space="preserve">  原辅材料及能源消耗量一览表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1623"/>
              <w:gridCol w:w="1720"/>
              <w:gridCol w:w="1298"/>
              <w:gridCol w:w="140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6" w:type="pct"/>
                  <w:vAlign w:val="center"/>
                </w:tcPr>
                <w:p>
                  <w:pPr>
                    <w:jc w:val="center"/>
                    <w:rPr>
                      <w:b/>
                      <w:bCs/>
                      <w:szCs w:val="21"/>
                    </w:rPr>
                  </w:pPr>
                  <w:r>
                    <w:rPr>
                      <w:rFonts w:hint="eastAsia"/>
                      <w:b/>
                      <w:bCs/>
                      <w:szCs w:val="21"/>
                    </w:rPr>
                    <w:t>序号</w:t>
                  </w:r>
                </w:p>
              </w:tc>
              <w:tc>
                <w:tcPr>
                  <w:tcW w:w="965" w:type="pct"/>
                  <w:vAlign w:val="center"/>
                </w:tcPr>
                <w:p>
                  <w:pPr>
                    <w:jc w:val="center"/>
                    <w:rPr>
                      <w:b/>
                      <w:bCs/>
                      <w:szCs w:val="21"/>
                    </w:rPr>
                  </w:pPr>
                  <w:r>
                    <w:rPr>
                      <w:rFonts w:hint="eastAsia"/>
                      <w:b/>
                      <w:bCs/>
                      <w:szCs w:val="21"/>
                    </w:rPr>
                    <w:t>名称</w:t>
                  </w:r>
                </w:p>
              </w:tc>
              <w:tc>
                <w:tcPr>
                  <w:tcW w:w="1023" w:type="pct"/>
                  <w:vAlign w:val="center"/>
                </w:tcPr>
                <w:p>
                  <w:pPr>
                    <w:jc w:val="center"/>
                    <w:rPr>
                      <w:b/>
                      <w:bCs/>
                      <w:szCs w:val="21"/>
                    </w:rPr>
                  </w:pPr>
                  <w:r>
                    <w:rPr>
                      <w:rFonts w:hint="eastAsia"/>
                      <w:b/>
                      <w:bCs/>
                      <w:szCs w:val="21"/>
                    </w:rPr>
                    <w:t>单位</w:t>
                  </w:r>
                </w:p>
              </w:tc>
              <w:tc>
                <w:tcPr>
                  <w:tcW w:w="772" w:type="pct"/>
                  <w:vAlign w:val="center"/>
                </w:tcPr>
                <w:p>
                  <w:pPr>
                    <w:jc w:val="center"/>
                    <w:rPr>
                      <w:b/>
                      <w:bCs/>
                      <w:szCs w:val="21"/>
                    </w:rPr>
                  </w:pPr>
                  <w:r>
                    <w:rPr>
                      <w:rFonts w:hint="eastAsia"/>
                      <w:b/>
                      <w:bCs/>
                      <w:szCs w:val="21"/>
                    </w:rPr>
                    <w:t>消耗量</w:t>
                  </w:r>
                </w:p>
              </w:tc>
              <w:tc>
                <w:tcPr>
                  <w:tcW w:w="837" w:type="pct"/>
                </w:tcPr>
                <w:p>
                  <w:pPr>
                    <w:jc w:val="center"/>
                    <w:rPr>
                      <w:b/>
                      <w:szCs w:val="21"/>
                    </w:rPr>
                  </w:pPr>
                  <w:r>
                    <w:rPr>
                      <w:rFonts w:hint="eastAsia"/>
                      <w:b/>
                      <w:szCs w:val="21"/>
                    </w:rPr>
                    <w:t>规格</w:t>
                  </w:r>
                </w:p>
              </w:tc>
              <w:tc>
                <w:tcPr>
                  <w:tcW w:w="837" w:type="pct"/>
                  <w:vAlign w:val="center"/>
                </w:tcPr>
                <w:p>
                  <w:pPr>
                    <w:jc w:val="center"/>
                    <w:rPr>
                      <w:b/>
                      <w:bCs/>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 w:type="pct"/>
                  <w:vAlign w:val="center"/>
                </w:tcPr>
                <w:p>
                  <w:pPr>
                    <w:jc w:val="center"/>
                    <w:rPr>
                      <w:bCs/>
                      <w:szCs w:val="21"/>
                    </w:rPr>
                  </w:pPr>
                  <w:r>
                    <w:rPr>
                      <w:rFonts w:hint="eastAsia"/>
                      <w:bCs/>
                      <w:szCs w:val="21"/>
                    </w:rPr>
                    <w:t>1</w:t>
                  </w:r>
                </w:p>
              </w:tc>
              <w:tc>
                <w:tcPr>
                  <w:tcW w:w="965" w:type="pct"/>
                </w:tcPr>
                <w:p>
                  <w:pPr>
                    <w:pStyle w:val="101"/>
                    <w:spacing w:before="62"/>
                    <w:jc w:val="center"/>
                    <w:rPr>
                      <w:sz w:val="21"/>
                    </w:rPr>
                  </w:pPr>
                  <w:r>
                    <w:rPr>
                      <w:rFonts w:hint="eastAsia" w:ascii="宋体" w:hAnsi="宋体" w:eastAsia="宋体" w:cs="宋体"/>
                      <w:sz w:val="21"/>
                    </w:rPr>
                    <w:t>玄武岩矿石</w:t>
                  </w:r>
                </w:p>
              </w:tc>
              <w:tc>
                <w:tcPr>
                  <w:tcW w:w="1023" w:type="pct"/>
                  <w:vAlign w:val="center"/>
                </w:tcPr>
                <w:p>
                  <w:pPr>
                    <w:jc w:val="center"/>
                    <w:rPr>
                      <w:bCs/>
                      <w:szCs w:val="21"/>
                    </w:rPr>
                  </w:pPr>
                  <w:r>
                    <w:rPr>
                      <w:bCs/>
                      <w:szCs w:val="21"/>
                    </w:rPr>
                    <w:t>t/a</w:t>
                  </w:r>
                </w:p>
              </w:tc>
              <w:tc>
                <w:tcPr>
                  <w:tcW w:w="772" w:type="pct"/>
                  <w:vAlign w:val="center"/>
                </w:tcPr>
                <w:p>
                  <w:pPr>
                    <w:jc w:val="center"/>
                    <w:rPr>
                      <w:bCs/>
                      <w:szCs w:val="21"/>
                    </w:rPr>
                  </w:pPr>
                  <w:r>
                    <w:rPr>
                      <w:rFonts w:hint="eastAsia"/>
                      <w:szCs w:val="21"/>
                    </w:rPr>
                    <w:t>1</w:t>
                  </w:r>
                  <w:r>
                    <w:rPr>
                      <w:szCs w:val="21"/>
                    </w:rPr>
                    <w:t>471</w:t>
                  </w:r>
                  <w:r>
                    <w:rPr>
                      <w:rFonts w:hint="eastAsia"/>
                      <w:szCs w:val="21"/>
                    </w:rPr>
                    <w:t>4.</w:t>
                  </w:r>
                  <w:r>
                    <w:rPr>
                      <w:szCs w:val="21"/>
                    </w:rPr>
                    <w:t>6</w:t>
                  </w:r>
                  <w:r>
                    <w:rPr>
                      <w:rFonts w:hint="eastAsia"/>
                      <w:szCs w:val="21"/>
                    </w:rPr>
                    <w:t>695</w:t>
                  </w:r>
                </w:p>
              </w:tc>
              <w:tc>
                <w:tcPr>
                  <w:tcW w:w="837" w:type="pct"/>
                </w:tcPr>
                <w:p>
                  <w:pPr>
                    <w:pStyle w:val="101"/>
                    <w:jc w:val="center"/>
                    <w:rPr>
                      <w:rFonts w:ascii="宋体" w:eastAsiaTheme="minorEastAsia"/>
                      <w:sz w:val="21"/>
                      <w:szCs w:val="21"/>
                    </w:rPr>
                  </w:pPr>
                </w:p>
              </w:tc>
              <w:tc>
                <w:tcPr>
                  <w:tcW w:w="837" w:type="pct"/>
                  <w:vAlign w:val="center"/>
                </w:tcPr>
                <w:p>
                  <w:pPr>
                    <w:jc w:val="center"/>
                    <w:rPr>
                      <w:bCs/>
                      <w:szCs w:val="21"/>
                    </w:rPr>
                  </w:pPr>
                  <w:r>
                    <w:rPr>
                      <w:rFonts w:hint="eastAsia"/>
                      <w:bCs/>
                      <w:szCs w:val="21"/>
                    </w:rPr>
                    <w:t>洗选后成品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66" w:type="pct"/>
                  <w:vAlign w:val="center"/>
                </w:tcPr>
                <w:p>
                  <w:pPr>
                    <w:jc w:val="center"/>
                    <w:rPr>
                      <w:szCs w:val="21"/>
                    </w:rPr>
                  </w:pPr>
                  <w:r>
                    <w:rPr>
                      <w:rFonts w:hint="eastAsia"/>
                      <w:szCs w:val="21"/>
                    </w:rPr>
                    <w:t>2</w:t>
                  </w:r>
                </w:p>
              </w:tc>
              <w:tc>
                <w:tcPr>
                  <w:tcW w:w="965" w:type="pct"/>
                </w:tcPr>
                <w:p>
                  <w:pPr>
                    <w:jc w:val="center"/>
                    <w:rPr>
                      <w:szCs w:val="21"/>
                    </w:rPr>
                  </w:pPr>
                  <w:r>
                    <w:rPr>
                      <w:rFonts w:hint="eastAsia"/>
                      <w:szCs w:val="21"/>
                    </w:rPr>
                    <w:t>浸润剂</w:t>
                  </w:r>
                </w:p>
              </w:tc>
              <w:tc>
                <w:tcPr>
                  <w:tcW w:w="1023" w:type="pct"/>
                  <w:vAlign w:val="center"/>
                </w:tcPr>
                <w:p>
                  <w:pPr>
                    <w:jc w:val="center"/>
                    <w:rPr>
                      <w:szCs w:val="21"/>
                    </w:rPr>
                  </w:pPr>
                  <w:r>
                    <w:rPr>
                      <w:rFonts w:hint="eastAsia"/>
                      <w:szCs w:val="21"/>
                    </w:rPr>
                    <w:t>t/a</w:t>
                  </w:r>
                </w:p>
              </w:tc>
              <w:tc>
                <w:tcPr>
                  <w:tcW w:w="772" w:type="pct"/>
                  <w:vAlign w:val="center"/>
                </w:tcPr>
                <w:p>
                  <w:pPr>
                    <w:jc w:val="center"/>
                    <w:rPr>
                      <w:szCs w:val="21"/>
                    </w:rPr>
                  </w:pPr>
                  <w:r>
                    <w:rPr>
                      <w:rFonts w:hint="eastAsia"/>
                      <w:szCs w:val="21"/>
                    </w:rPr>
                    <w:t>45</w:t>
                  </w:r>
                </w:p>
              </w:tc>
              <w:tc>
                <w:tcPr>
                  <w:tcW w:w="837" w:type="pct"/>
                </w:tcPr>
                <w:p>
                  <w:pPr>
                    <w:jc w:val="center"/>
                    <w:rPr>
                      <w:bCs/>
                      <w:szCs w:val="21"/>
                    </w:rPr>
                  </w:pPr>
                  <w:r>
                    <w:rPr>
                      <w:bCs/>
                      <w:szCs w:val="21"/>
                    </w:rPr>
                    <w:t>25kg/</w:t>
                  </w:r>
                  <w:r>
                    <w:rPr>
                      <w:rFonts w:hint="eastAsia"/>
                      <w:bCs/>
                      <w:szCs w:val="21"/>
                    </w:rPr>
                    <w:t>桶</w:t>
                  </w:r>
                </w:p>
              </w:tc>
              <w:tc>
                <w:tcPr>
                  <w:tcW w:w="837" w:type="pct"/>
                  <w:vAlign w:val="center"/>
                </w:tcPr>
                <w:p>
                  <w:pPr>
                    <w:jc w:val="center"/>
                    <w:rPr>
                      <w:bCs/>
                      <w:szCs w:val="21"/>
                    </w:rPr>
                  </w:pPr>
                  <w:r>
                    <w:rPr>
                      <w:rFonts w:hint="eastAsia"/>
                      <w:bCs/>
                      <w:szCs w:val="21"/>
                    </w:rPr>
                    <w:t>外购成品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 w:type="pct"/>
                  <w:vAlign w:val="center"/>
                </w:tcPr>
                <w:p>
                  <w:pPr>
                    <w:jc w:val="center"/>
                    <w:rPr>
                      <w:szCs w:val="21"/>
                    </w:rPr>
                  </w:pPr>
                  <w:r>
                    <w:rPr>
                      <w:rFonts w:hint="eastAsia"/>
                      <w:szCs w:val="21"/>
                    </w:rPr>
                    <w:t>3</w:t>
                  </w:r>
                </w:p>
              </w:tc>
              <w:tc>
                <w:tcPr>
                  <w:tcW w:w="965" w:type="pct"/>
                </w:tcPr>
                <w:p>
                  <w:pPr>
                    <w:jc w:val="center"/>
                    <w:rPr>
                      <w:szCs w:val="21"/>
                    </w:rPr>
                  </w:pPr>
                  <w:r>
                    <w:rPr>
                      <w:rFonts w:hint="eastAsia"/>
                      <w:szCs w:val="21"/>
                    </w:rPr>
                    <w:t>钼电极</w:t>
                  </w:r>
                </w:p>
              </w:tc>
              <w:tc>
                <w:tcPr>
                  <w:tcW w:w="1023" w:type="pct"/>
                  <w:vAlign w:val="center"/>
                </w:tcPr>
                <w:p>
                  <w:pPr>
                    <w:jc w:val="center"/>
                    <w:rPr>
                      <w:szCs w:val="21"/>
                    </w:rPr>
                  </w:pPr>
                  <w:r>
                    <w:rPr>
                      <w:rFonts w:hint="eastAsia"/>
                      <w:szCs w:val="21"/>
                    </w:rPr>
                    <w:t>t/a</w:t>
                  </w:r>
                </w:p>
              </w:tc>
              <w:tc>
                <w:tcPr>
                  <w:tcW w:w="772" w:type="pct"/>
                  <w:vAlign w:val="center"/>
                </w:tcPr>
                <w:p>
                  <w:pPr>
                    <w:jc w:val="center"/>
                    <w:rPr>
                      <w:szCs w:val="21"/>
                    </w:rPr>
                  </w:pPr>
                  <w:r>
                    <w:rPr>
                      <w:rFonts w:hint="eastAsia"/>
                      <w:szCs w:val="21"/>
                    </w:rPr>
                    <w:t>9.75</w:t>
                  </w:r>
                </w:p>
              </w:tc>
              <w:tc>
                <w:tcPr>
                  <w:tcW w:w="837" w:type="pct"/>
                </w:tcPr>
                <w:p>
                  <w:pPr>
                    <w:pStyle w:val="101"/>
                    <w:spacing w:before="135"/>
                    <w:ind w:left="171"/>
                    <w:rPr>
                      <w:rFonts w:ascii="Times New Roman"/>
                      <w:sz w:val="21"/>
                      <w:szCs w:val="21"/>
                    </w:rPr>
                  </w:pPr>
                </w:p>
              </w:tc>
              <w:tc>
                <w:tcPr>
                  <w:tcW w:w="837"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 w:type="pct"/>
                  <w:vAlign w:val="center"/>
                </w:tcPr>
                <w:p>
                  <w:pPr>
                    <w:jc w:val="center"/>
                    <w:rPr>
                      <w:szCs w:val="21"/>
                    </w:rPr>
                  </w:pPr>
                  <w:r>
                    <w:rPr>
                      <w:rFonts w:hint="eastAsia"/>
                      <w:szCs w:val="21"/>
                    </w:rPr>
                    <w:t>4</w:t>
                  </w:r>
                </w:p>
              </w:tc>
              <w:tc>
                <w:tcPr>
                  <w:tcW w:w="965" w:type="pct"/>
                </w:tcPr>
                <w:p>
                  <w:pPr>
                    <w:jc w:val="center"/>
                    <w:rPr>
                      <w:szCs w:val="21"/>
                    </w:rPr>
                  </w:pPr>
                  <w:r>
                    <w:rPr>
                      <w:rFonts w:hint="eastAsia"/>
                      <w:szCs w:val="21"/>
                    </w:rPr>
                    <w:t>铂金漏板</w:t>
                  </w:r>
                </w:p>
              </w:tc>
              <w:tc>
                <w:tcPr>
                  <w:tcW w:w="1023" w:type="pct"/>
                  <w:vAlign w:val="center"/>
                </w:tcPr>
                <w:p>
                  <w:pPr>
                    <w:jc w:val="center"/>
                    <w:rPr>
                      <w:szCs w:val="21"/>
                    </w:rPr>
                  </w:pPr>
                  <w:r>
                    <w:rPr>
                      <w:rFonts w:hint="eastAsia"/>
                      <w:szCs w:val="21"/>
                    </w:rPr>
                    <w:t>t/a</w:t>
                  </w:r>
                </w:p>
              </w:tc>
              <w:tc>
                <w:tcPr>
                  <w:tcW w:w="772" w:type="pct"/>
                  <w:vAlign w:val="center"/>
                </w:tcPr>
                <w:p>
                  <w:pPr>
                    <w:jc w:val="center"/>
                    <w:rPr>
                      <w:szCs w:val="21"/>
                    </w:rPr>
                  </w:pPr>
                  <w:r>
                    <w:rPr>
                      <w:rFonts w:hint="eastAsia"/>
                      <w:szCs w:val="21"/>
                    </w:rPr>
                    <w:t>0.01275</w:t>
                  </w:r>
                </w:p>
              </w:tc>
              <w:tc>
                <w:tcPr>
                  <w:tcW w:w="837" w:type="pct"/>
                </w:tcPr>
                <w:p>
                  <w:pPr>
                    <w:pStyle w:val="101"/>
                    <w:spacing w:before="135"/>
                    <w:ind w:left="171"/>
                    <w:rPr>
                      <w:rFonts w:ascii="Times New Roman"/>
                      <w:sz w:val="21"/>
                      <w:szCs w:val="21"/>
                    </w:rPr>
                  </w:pPr>
                </w:p>
              </w:tc>
              <w:tc>
                <w:tcPr>
                  <w:tcW w:w="837"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 w:type="pct"/>
                  <w:vAlign w:val="center"/>
                </w:tcPr>
                <w:p>
                  <w:pPr>
                    <w:jc w:val="center"/>
                    <w:rPr>
                      <w:bCs/>
                      <w:szCs w:val="21"/>
                    </w:rPr>
                  </w:pPr>
                  <w:r>
                    <w:rPr>
                      <w:rFonts w:hint="eastAsia"/>
                      <w:bCs/>
                      <w:szCs w:val="21"/>
                    </w:rPr>
                    <w:t>5</w:t>
                  </w:r>
                </w:p>
              </w:tc>
              <w:tc>
                <w:tcPr>
                  <w:tcW w:w="965" w:type="pct"/>
                </w:tcPr>
                <w:p>
                  <w:pPr>
                    <w:pStyle w:val="101"/>
                    <w:spacing w:before="63"/>
                    <w:jc w:val="center"/>
                    <w:rPr>
                      <w:rFonts w:ascii="宋体" w:hAnsi="宋体" w:eastAsia="宋体" w:cs="宋体"/>
                      <w:sz w:val="21"/>
                      <w:highlight w:val="yellow"/>
                    </w:rPr>
                  </w:pPr>
                  <w:r>
                    <w:rPr>
                      <w:rFonts w:hint="eastAsia"/>
                      <w:szCs w:val="21"/>
                    </w:rPr>
                    <w:t>不饱和树脂</w:t>
                  </w:r>
                </w:p>
              </w:tc>
              <w:tc>
                <w:tcPr>
                  <w:tcW w:w="1023" w:type="pct"/>
                  <w:vAlign w:val="center"/>
                </w:tcPr>
                <w:p>
                  <w:pPr>
                    <w:jc w:val="center"/>
                    <w:rPr>
                      <w:bCs/>
                      <w:szCs w:val="21"/>
                    </w:rPr>
                  </w:pPr>
                  <w:r>
                    <w:rPr>
                      <w:bCs/>
                      <w:szCs w:val="21"/>
                    </w:rPr>
                    <w:t>t/a</w:t>
                  </w:r>
                </w:p>
              </w:tc>
              <w:tc>
                <w:tcPr>
                  <w:tcW w:w="772" w:type="pct"/>
                  <w:vAlign w:val="center"/>
                </w:tcPr>
                <w:p>
                  <w:pPr>
                    <w:jc w:val="center"/>
                    <w:rPr>
                      <w:bCs/>
                      <w:szCs w:val="21"/>
                    </w:rPr>
                  </w:pPr>
                  <w:r>
                    <w:rPr>
                      <w:bCs/>
                      <w:szCs w:val="21"/>
                    </w:rPr>
                    <w:t>250</w:t>
                  </w:r>
                </w:p>
              </w:tc>
              <w:tc>
                <w:tcPr>
                  <w:tcW w:w="837" w:type="pct"/>
                </w:tcPr>
                <w:p>
                  <w:pPr>
                    <w:pStyle w:val="101"/>
                    <w:spacing w:before="135"/>
                    <w:ind w:left="171"/>
                    <w:rPr>
                      <w:rFonts w:ascii="Times New Roman"/>
                      <w:sz w:val="21"/>
                      <w:szCs w:val="21"/>
                    </w:rPr>
                  </w:pPr>
                </w:p>
              </w:tc>
              <w:tc>
                <w:tcPr>
                  <w:tcW w:w="837" w:type="pct"/>
                  <w:vAlign w:val="center"/>
                </w:tcPr>
                <w:p>
                  <w:pPr>
                    <w:jc w:val="center"/>
                    <w:rPr>
                      <w:bCs/>
                      <w:szCs w:val="21"/>
                    </w:rPr>
                  </w:pPr>
                  <w:r>
                    <w:rPr>
                      <w:bCs/>
                      <w:szCs w:val="21"/>
                    </w:rPr>
                    <w:t>固化剂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 w:type="pct"/>
                  <w:vAlign w:val="center"/>
                </w:tcPr>
                <w:p>
                  <w:pPr>
                    <w:jc w:val="center"/>
                    <w:rPr>
                      <w:bCs/>
                      <w:szCs w:val="21"/>
                    </w:rPr>
                  </w:pPr>
                  <w:r>
                    <w:rPr>
                      <w:rFonts w:hint="eastAsia"/>
                      <w:bCs/>
                      <w:szCs w:val="21"/>
                    </w:rPr>
                    <w:t>8</w:t>
                  </w:r>
                </w:p>
              </w:tc>
              <w:tc>
                <w:tcPr>
                  <w:tcW w:w="965" w:type="pct"/>
                  <w:vAlign w:val="center"/>
                </w:tcPr>
                <w:p>
                  <w:pPr>
                    <w:jc w:val="center"/>
                    <w:rPr>
                      <w:szCs w:val="21"/>
                    </w:rPr>
                  </w:pPr>
                  <w:r>
                    <w:rPr>
                      <w:rFonts w:hint="eastAsia"/>
                      <w:szCs w:val="21"/>
                    </w:rPr>
                    <w:t>电</w:t>
                  </w:r>
                </w:p>
              </w:tc>
              <w:tc>
                <w:tcPr>
                  <w:tcW w:w="1023" w:type="pct"/>
                  <w:vAlign w:val="center"/>
                </w:tcPr>
                <w:p>
                  <w:pPr>
                    <w:jc w:val="center"/>
                    <w:rPr>
                      <w:szCs w:val="21"/>
                    </w:rPr>
                  </w:pPr>
                  <w:r>
                    <w:rPr>
                      <w:szCs w:val="21"/>
                    </w:rPr>
                    <w:t>万kW·h/a</w:t>
                  </w:r>
                </w:p>
              </w:tc>
              <w:tc>
                <w:tcPr>
                  <w:tcW w:w="772" w:type="pct"/>
                  <w:vAlign w:val="center"/>
                </w:tcPr>
                <w:p>
                  <w:pPr>
                    <w:jc w:val="center"/>
                    <w:rPr>
                      <w:szCs w:val="21"/>
                    </w:rPr>
                  </w:pPr>
                  <w:r>
                    <w:rPr>
                      <w:szCs w:val="21"/>
                    </w:rPr>
                    <w:t>1600</w:t>
                  </w:r>
                </w:p>
              </w:tc>
              <w:tc>
                <w:tcPr>
                  <w:tcW w:w="837" w:type="pct"/>
                </w:tcPr>
                <w:p>
                  <w:pPr>
                    <w:pStyle w:val="101"/>
                    <w:spacing w:before="135"/>
                    <w:ind w:left="171"/>
                    <w:rPr>
                      <w:rFonts w:ascii="Times New Roman"/>
                      <w:sz w:val="21"/>
                      <w:szCs w:val="21"/>
                    </w:rPr>
                  </w:pPr>
                </w:p>
              </w:tc>
              <w:tc>
                <w:tcPr>
                  <w:tcW w:w="837"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 w:type="pct"/>
                  <w:vAlign w:val="center"/>
                </w:tcPr>
                <w:p>
                  <w:pPr>
                    <w:jc w:val="center"/>
                    <w:rPr>
                      <w:bCs/>
                      <w:szCs w:val="21"/>
                    </w:rPr>
                  </w:pPr>
                  <w:r>
                    <w:rPr>
                      <w:rFonts w:hint="eastAsia"/>
                      <w:bCs/>
                      <w:szCs w:val="21"/>
                    </w:rPr>
                    <w:t>9</w:t>
                  </w:r>
                </w:p>
              </w:tc>
              <w:tc>
                <w:tcPr>
                  <w:tcW w:w="965" w:type="pct"/>
                  <w:vAlign w:val="center"/>
                </w:tcPr>
                <w:p>
                  <w:pPr>
                    <w:jc w:val="center"/>
                    <w:rPr>
                      <w:szCs w:val="21"/>
                    </w:rPr>
                  </w:pPr>
                  <w:r>
                    <w:rPr>
                      <w:rFonts w:hint="eastAsia"/>
                      <w:szCs w:val="21"/>
                    </w:rPr>
                    <w:t>水</w:t>
                  </w:r>
                </w:p>
              </w:tc>
              <w:tc>
                <w:tcPr>
                  <w:tcW w:w="1023" w:type="pct"/>
                  <w:vAlign w:val="center"/>
                </w:tcPr>
                <w:p>
                  <w:pPr>
                    <w:jc w:val="center"/>
                    <w:rPr>
                      <w:szCs w:val="21"/>
                    </w:rPr>
                  </w:pPr>
                  <w:r>
                    <w:rPr>
                      <w:rFonts w:hint="eastAsia"/>
                      <w:szCs w:val="21"/>
                    </w:rPr>
                    <w:t>t/a</w:t>
                  </w:r>
                </w:p>
              </w:tc>
              <w:tc>
                <w:tcPr>
                  <w:tcW w:w="772" w:type="pct"/>
                  <w:vAlign w:val="center"/>
                </w:tcPr>
                <w:p>
                  <w:pPr>
                    <w:jc w:val="center"/>
                    <w:rPr>
                      <w:szCs w:val="21"/>
                    </w:rPr>
                  </w:pPr>
                  <w:r>
                    <w:rPr>
                      <w:rFonts w:hint="eastAsia"/>
                      <w:szCs w:val="21"/>
                    </w:rPr>
                    <w:t>22770</w:t>
                  </w:r>
                </w:p>
              </w:tc>
              <w:tc>
                <w:tcPr>
                  <w:tcW w:w="837" w:type="pct"/>
                </w:tcPr>
                <w:p>
                  <w:pPr>
                    <w:pStyle w:val="101"/>
                    <w:spacing w:before="135"/>
                    <w:ind w:left="171"/>
                    <w:rPr>
                      <w:rFonts w:ascii="Times New Roman"/>
                      <w:sz w:val="21"/>
                      <w:szCs w:val="21"/>
                    </w:rPr>
                  </w:pPr>
                </w:p>
              </w:tc>
              <w:tc>
                <w:tcPr>
                  <w:tcW w:w="837" w:type="pct"/>
                  <w:vAlign w:val="center"/>
                </w:tcPr>
                <w:p>
                  <w:pPr>
                    <w:jc w:val="center"/>
                    <w:rPr>
                      <w:bCs/>
                      <w:szCs w:val="21"/>
                    </w:rPr>
                  </w:pPr>
                </w:p>
              </w:tc>
            </w:tr>
          </w:tbl>
          <w:p>
            <w:pPr>
              <w:spacing w:line="360" w:lineRule="auto"/>
              <w:ind w:firstLine="480" w:firstLineChars="200"/>
              <w:rPr>
                <w:sz w:val="24"/>
              </w:rPr>
            </w:pPr>
            <w:r>
              <w:rPr>
                <w:sz w:val="24"/>
              </w:rPr>
              <w:t>原辅材料理化性质：</w:t>
            </w:r>
          </w:p>
          <w:p>
            <w:pPr>
              <w:spacing w:line="360" w:lineRule="auto"/>
              <w:ind w:firstLine="480" w:firstLineChars="200"/>
              <w:rPr>
                <w:sz w:val="24"/>
              </w:rPr>
            </w:pPr>
            <w:r>
              <w:rPr>
                <w:sz w:val="24"/>
              </w:rPr>
              <w:t>（</w:t>
            </w:r>
            <w:r>
              <w:rPr>
                <w:rFonts w:hint="eastAsia"/>
                <w:sz w:val="24"/>
              </w:rPr>
              <w:t>1</w:t>
            </w:r>
            <w:r>
              <w:rPr>
                <w:sz w:val="24"/>
              </w:rPr>
              <w:t>）玄武岩：原生玄武岩总体上呈深灰色—灰色—浅灰色，主要成份是二氧化硅、三氧化二铝、氧化铁、氧化钙、氧化镁，还有少量的氧化钾、氧化钠。其中，二氧化硅和氧化铝是影响产品性能的关键组分。二氧化硅可确保玄武岩纤维细长柔韧、强度大；氧化铝可确保玄武岩纤维耐酸碱腐蚀、对抗恶劣气候长时间不风化、老化、龟裂。本项目玄武岩矿石原料外购于山西省。</w:t>
            </w:r>
          </w:p>
          <w:p>
            <w:pPr>
              <w:widowControl/>
              <w:adjustRightInd w:val="0"/>
              <w:snapToGrid w:val="0"/>
              <w:jc w:val="center"/>
              <w:rPr>
                <w:b/>
                <w:bCs/>
                <w:szCs w:val="21"/>
              </w:rPr>
            </w:pPr>
            <w:r>
              <w:rPr>
                <w:rFonts w:hint="eastAsia"/>
                <w:b/>
                <w:bCs/>
                <w:szCs w:val="21"/>
              </w:rPr>
              <w:t xml:space="preserve">表 </w:t>
            </w:r>
            <w:r>
              <w:rPr>
                <w:b/>
                <w:bCs/>
                <w:szCs w:val="21"/>
              </w:rPr>
              <w:t>2-</w:t>
            </w:r>
            <w:r>
              <w:rPr>
                <w:rFonts w:hint="eastAsia"/>
                <w:b/>
                <w:bCs/>
                <w:szCs w:val="21"/>
              </w:rPr>
              <w:t>8</w:t>
            </w:r>
            <w:r>
              <w:rPr>
                <w:b/>
                <w:bCs/>
                <w:szCs w:val="21"/>
              </w:rPr>
              <w:tab/>
            </w:r>
            <w:r>
              <w:rPr>
                <w:rFonts w:hint="eastAsia"/>
                <w:b/>
                <w:bCs/>
                <w:szCs w:val="21"/>
              </w:rPr>
              <w:t>玄武岩成分一览表</w:t>
            </w:r>
          </w:p>
          <w:tbl>
            <w:tblPr>
              <w:tblStyle w:val="3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60"/>
              <w:gridCol w:w="1123"/>
              <w:gridCol w:w="1127"/>
              <w:gridCol w:w="1123"/>
              <w:gridCol w:w="1125"/>
              <w:gridCol w:w="986"/>
              <w:gridCol w:w="1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987" w:type="pct"/>
                  <w:tcBorders>
                    <w:top w:val="single" w:color="000000" w:sz="4" w:space="0"/>
                    <w:left w:val="single" w:color="000000" w:sz="4" w:space="0"/>
                    <w:bottom w:val="single" w:color="000000" w:sz="4" w:space="0"/>
                    <w:right w:val="single" w:color="000000" w:sz="4" w:space="0"/>
                  </w:tcBorders>
                </w:tcPr>
                <w:p>
                  <w:pPr>
                    <w:autoSpaceDE w:val="0"/>
                    <w:autoSpaceDN w:val="0"/>
                    <w:ind w:left="185" w:right="176"/>
                    <w:jc w:val="center"/>
                    <w:rPr>
                      <w:rFonts w:ascii="宋体" w:hAnsi="宋体"/>
                      <w:b/>
                      <w:kern w:val="0"/>
                      <w:szCs w:val="21"/>
                    </w:rPr>
                  </w:pPr>
                  <w:r>
                    <w:rPr>
                      <w:rFonts w:hint="eastAsia"/>
                      <w:b/>
                      <w:bCs/>
                      <w:szCs w:val="21"/>
                    </w:rPr>
                    <w:t xml:space="preserve"> </w:t>
                  </w:r>
                  <w:r>
                    <w:rPr>
                      <w:rFonts w:hint="eastAsia" w:ascii="宋体" w:hAnsi="宋体"/>
                      <w:b/>
                      <w:kern w:val="0"/>
                      <w:szCs w:val="21"/>
                    </w:rPr>
                    <w:t>成分</w:t>
                  </w:r>
                </w:p>
              </w:tc>
              <w:tc>
                <w:tcPr>
                  <w:tcW w:w="668" w:type="pct"/>
                  <w:tcBorders>
                    <w:top w:val="single" w:color="000000" w:sz="4" w:space="0"/>
                    <w:left w:val="single" w:color="000000" w:sz="4" w:space="0"/>
                    <w:bottom w:val="single" w:color="000000" w:sz="4" w:space="0"/>
                    <w:right w:val="single" w:color="000000" w:sz="4" w:space="0"/>
                  </w:tcBorders>
                </w:tcPr>
                <w:p>
                  <w:pPr>
                    <w:autoSpaceDE w:val="0"/>
                    <w:autoSpaceDN w:val="0"/>
                    <w:ind w:left="274" w:right="263"/>
                    <w:jc w:val="center"/>
                    <w:rPr>
                      <w:rFonts w:hAnsi="宋体" w:cs="宋体"/>
                      <w:kern w:val="0"/>
                      <w:szCs w:val="21"/>
                    </w:rPr>
                  </w:pPr>
                  <w:r>
                    <w:rPr>
                      <w:rFonts w:hAnsi="宋体" w:cs="宋体"/>
                      <w:kern w:val="0"/>
                      <w:position w:val="2"/>
                      <w:szCs w:val="21"/>
                    </w:rPr>
                    <w:t>SiO</w:t>
                  </w:r>
                  <w:r>
                    <w:rPr>
                      <w:rFonts w:hAnsi="宋体" w:cs="宋体"/>
                      <w:kern w:val="0"/>
                      <w:position w:val="2"/>
                      <w:szCs w:val="21"/>
                      <w:vertAlign w:val="subscript"/>
                    </w:rPr>
                    <w:t>2</w:t>
                  </w:r>
                </w:p>
              </w:tc>
              <w:tc>
                <w:tcPr>
                  <w:tcW w:w="670" w:type="pct"/>
                  <w:tcBorders>
                    <w:top w:val="single" w:color="000000" w:sz="4" w:space="0"/>
                    <w:left w:val="single" w:color="000000" w:sz="4" w:space="0"/>
                    <w:bottom w:val="single" w:color="000000" w:sz="4" w:space="0"/>
                    <w:right w:val="single" w:color="000000" w:sz="4" w:space="0"/>
                  </w:tcBorders>
                </w:tcPr>
                <w:p>
                  <w:pPr>
                    <w:autoSpaceDE w:val="0"/>
                    <w:autoSpaceDN w:val="0"/>
                    <w:ind w:left="100" w:right="88"/>
                    <w:jc w:val="center"/>
                    <w:rPr>
                      <w:rFonts w:hAnsi="宋体" w:cs="宋体"/>
                      <w:kern w:val="0"/>
                      <w:szCs w:val="21"/>
                    </w:rPr>
                  </w:pPr>
                  <w:r>
                    <w:rPr>
                      <w:rFonts w:hAnsi="宋体" w:cs="宋体"/>
                      <w:kern w:val="0"/>
                      <w:position w:val="2"/>
                      <w:szCs w:val="21"/>
                    </w:rPr>
                    <w:t>Al</w:t>
                  </w:r>
                  <w:r>
                    <w:rPr>
                      <w:rFonts w:hAnsi="宋体" w:cs="宋体"/>
                      <w:kern w:val="0"/>
                      <w:position w:val="2"/>
                      <w:szCs w:val="21"/>
                      <w:vertAlign w:val="subscript"/>
                    </w:rPr>
                    <w:t>2</w:t>
                  </w:r>
                  <w:r>
                    <w:rPr>
                      <w:rFonts w:hAnsi="宋体" w:cs="宋体"/>
                      <w:kern w:val="0"/>
                      <w:position w:val="2"/>
                      <w:szCs w:val="21"/>
                    </w:rPr>
                    <w:t>O</w:t>
                  </w:r>
                  <w:r>
                    <w:rPr>
                      <w:rFonts w:hAnsi="宋体" w:cs="宋体"/>
                      <w:kern w:val="0"/>
                      <w:position w:val="2"/>
                      <w:szCs w:val="21"/>
                      <w:vertAlign w:val="subscript"/>
                    </w:rPr>
                    <w:t>3</w:t>
                  </w:r>
                </w:p>
              </w:tc>
              <w:tc>
                <w:tcPr>
                  <w:tcW w:w="668" w:type="pct"/>
                  <w:tcBorders>
                    <w:top w:val="single" w:color="000000" w:sz="4" w:space="0"/>
                    <w:left w:val="single" w:color="000000" w:sz="4" w:space="0"/>
                    <w:bottom w:val="single" w:color="000000" w:sz="4" w:space="0"/>
                    <w:right w:val="single" w:color="000000" w:sz="4" w:space="0"/>
                  </w:tcBorders>
                </w:tcPr>
                <w:p>
                  <w:pPr>
                    <w:autoSpaceDE w:val="0"/>
                    <w:autoSpaceDN w:val="0"/>
                    <w:ind w:left="371"/>
                    <w:jc w:val="left"/>
                    <w:rPr>
                      <w:rFonts w:hAnsi="宋体" w:cs="宋体"/>
                      <w:kern w:val="0"/>
                      <w:szCs w:val="21"/>
                    </w:rPr>
                  </w:pPr>
                  <w:r>
                    <w:rPr>
                      <w:rFonts w:hAnsi="宋体" w:cs="宋体"/>
                      <w:kern w:val="0"/>
                      <w:position w:val="2"/>
                      <w:szCs w:val="21"/>
                    </w:rPr>
                    <w:t>Fe</w:t>
                  </w:r>
                  <w:r>
                    <w:rPr>
                      <w:rFonts w:hAnsi="宋体" w:cs="宋体"/>
                      <w:kern w:val="0"/>
                      <w:position w:val="2"/>
                      <w:szCs w:val="21"/>
                      <w:vertAlign w:val="subscript"/>
                    </w:rPr>
                    <w:t>2</w:t>
                  </w:r>
                  <w:r>
                    <w:rPr>
                      <w:rFonts w:hAnsi="宋体" w:cs="宋体"/>
                      <w:kern w:val="0"/>
                      <w:position w:val="2"/>
                      <w:szCs w:val="21"/>
                    </w:rPr>
                    <w:t>O</w:t>
                  </w:r>
                  <w:r>
                    <w:rPr>
                      <w:rFonts w:hAnsi="宋体" w:cs="宋体"/>
                      <w:kern w:val="0"/>
                      <w:position w:val="2"/>
                      <w:szCs w:val="21"/>
                      <w:vertAlign w:val="subscript"/>
                    </w:rPr>
                    <w:t>3</w:t>
                  </w:r>
                </w:p>
              </w:tc>
              <w:tc>
                <w:tcPr>
                  <w:tcW w:w="669" w:type="pct"/>
                  <w:tcBorders>
                    <w:top w:val="single" w:color="000000" w:sz="4" w:space="0"/>
                    <w:left w:val="single" w:color="000000" w:sz="4" w:space="0"/>
                    <w:bottom w:val="single" w:color="000000" w:sz="4" w:space="0"/>
                    <w:right w:val="single" w:color="000000" w:sz="4" w:space="0"/>
                  </w:tcBorders>
                </w:tcPr>
                <w:p>
                  <w:pPr>
                    <w:autoSpaceDE w:val="0"/>
                    <w:autoSpaceDN w:val="0"/>
                    <w:ind w:left="312" w:right="307"/>
                    <w:jc w:val="center"/>
                    <w:rPr>
                      <w:rFonts w:hAnsi="宋体" w:cs="宋体"/>
                      <w:kern w:val="0"/>
                      <w:szCs w:val="21"/>
                    </w:rPr>
                  </w:pPr>
                  <w:r>
                    <w:rPr>
                      <w:rFonts w:hAnsi="宋体" w:cs="宋体"/>
                      <w:kern w:val="0"/>
                      <w:szCs w:val="21"/>
                    </w:rPr>
                    <w:t>FeO</w:t>
                  </w:r>
                </w:p>
              </w:tc>
              <w:tc>
                <w:tcPr>
                  <w:tcW w:w="586" w:type="pct"/>
                  <w:tcBorders>
                    <w:top w:val="single" w:color="000000" w:sz="4" w:space="0"/>
                    <w:left w:val="single" w:color="000000" w:sz="4" w:space="0"/>
                    <w:bottom w:val="single" w:color="000000" w:sz="4" w:space="0"/>
                    <w:right w:val="single" w:color="000000" w:sz="4" w:space="0"/>
                  </w:tcBorders>
                </w:tcPr>
                <w:p>
                  <w:pPr>
                    <w:autoSpaceDE w:val="0"/>
                    <w:autoSpaceDN w:val="0"/>
                    <w:ind w:left="379"/>
                    <w:jc w:val="left"/>
                    <w:rPr>
                      <w:rFonts w:hAnsi="宋体" w:cs="宋体"/>
                      <w:kern w:val="0"/>
                      <w:szCs w:val="21"/>
                    </w:rPr>
                  </w:pPr>
                  <w:r>
                    <w:rPr>
                      <w:rFonts w:hAnsi="宋体" w:cs="宋体"/>
                      <w:kern w:val="0"/>
                      <w:szCs w:val="21"/>
                    </w:rPr>
                    <w:t>CaO</w:t>
                  </w:r>
                </w:p>
              </w:tc>
              <w:tc>
                <w:tcPr>
                  <w:tcW w:w="751" w:type="pct"/>
                  <w:tcBorders>
                    <w:top w:val="single" w:color="000000" w:sz="4" w:space="0"/>
                    <w:left w:val="single" w:color="000000" w:sz="4" w:space="0"/>
                    <w:bottom w:val="single" w:color="000000" w:sz="4" w:space="0"/>
                    <w:right w:val="single" w:color="000000" w:sz="4" w:space="0"/>
                  </w:tcBorders>
                </w:tcPr>
                <w:p>
                  <w:pPr>
                    <w:autoSpaceDE w:val="0"/>
                    <w:autoSpaceDN w:val="0"/>
                    <w:ind w:left="327" w:right="323"/>
                    <w:jc w:val="center"/>
                    <w:rPr>
                      <w:rFonts w:hAnsi="宋体" w:cs="宋体"/>
                      <w:kern w:val="0"/>
                      <w:szCs w:val="21"/>
                    </w:rPr>
                  </w:pPr>
                  <w:r>
                    <w:rPr>
                      <w:rFonts w:hAnsi="宋体" w:cs="宋体"/>
                      <w:kern w:val="0"/>
                      <w:szCs w:val="21"/>
                    </w:rPr>
                    <w:t>MgO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987" w:type="pct"/>
                  <w:tcBorders>
                    <w:top w:val="single" w:color="000000" w:sz="4" w:space="0"/>
                    <w:left w:val="single" w:color="000000" w:sz="4" w:space="0"/>
                    <w:bottom w:val="single" w:color="000000" w:sz="4" w:space="0"/>
                    <w:right w:val="single" w:color="000000" w:sz="4" w:space="0"/>
                  </w:tcBorders>
                </w:tcPr>
                <w:p>
                  <w:pPr>
                    <w:autoSpaceDE w:val="0"/>
                    <w:autoSpaceDN w:val="0"/>
                    <w:ind w:left="187" w:right="176"/>
                    <w:jc w:val="center"/>
                    <w:rPr>
                      <w:rFonts w:ascii="宋体" w:hAnsi="宋体"/>
                      <w:b/>
                      <w:kern w:val="0"/>
                      <w:szCs w:val="21"/>
                    </w:rPr>
                  </w:pPr>
                  <w:r>
                    <w:rPr>
                      <w:rFonts w:hint="eastAsia" w:ascii="宋体" w:hAnsi="宋体"/>
                      <w:b/>
                      <w:kern w:val="0"/>
                      <w:szCs w:val="21"/>
                    </w:rPr>
                    <w:t>含量（</w:t>
                  </w:r>
                  <w:r>
                    <w:rPr>
                      <w:rFonts w:hAnsi="宋体" w:cs="宋体"/>
                      <w:b/>
                      <w:kern w:val="0"/>
                      <w:szCs w:val="21"/>
                    </w:rPr>
                    <w:t>%</w:t>
                  </w:r>
                  <w:r>
                    <w:rPr>
                      <w:rFonts w:hint="eastAsia" w:ascii="宋体" w:hAnsi="宋体"/>
                      <w:b/>
                      <w:kern w:val="0"/>
                      <w:szCs w:val="21"/>
                    </w:rPr>
                    <w:t>）</w:t>
                  </w:r>
                </w:p>
              </w:tc>
              <w:tc>
                <w:tcPr>
                  <w:tcW w:w="668" w:type="pct"/>
                  <w:tcBorders>
                    <w:top w:val="single" w:color="000000" w:sz="4" w:space="0"/>
                    <w:left w:val="single" w:color="000000" w:sz="4" w:space="0"/>
                    <w:bottom w:val="single" w:color="000000" w:sz="4" w:space="0"/>
                    <w:right w:val="single" w:color="000000" w:sz="4" w:space="0"/>
                  </w:tcBorders>
                </w:tcPr>
                <w:p>
                  <w:pPr>
                    <w:autoSpaceDE w:val="0"/>
                    <w:autoSpaceDN w:val="0"/>
                    <w:ind w:left="274" w:right="263"/>
                    <w:jc w:val="center"/>
                    <w:rPr>
                      <w:rFonts w:hAnsi="宋体" w:cs="宋体"/>
                      <w:kern w:val="0"/>
                      <w:szCs w:val="21"/>
                    </w:rPr>
                  </w:pPr>
                  <w:r>
                    <w:rPr>
                      <w:rFonts w:hAnsi="宋体" w:cs="宋体"/>
                      <w:kern w:val="0"/>
                      <w:szCs w:val="21"/>
                    </w:rPr>
                    <w:t>53.56</w:t>
                  </w:r>
                </w:p>
              </w:tc>
              <w:tc>
                <w:tcPr>
                  <w:tcW w:w="670" w:type="pct"/>
                  <w:tcBorders>
                    <w:top w:val="single" w:color="000000" w:sz="4" w:space="0"/>
                    <w:left w:val="single" w:color="000000" w:sz="4" w:space="0"/>
                    <w:bottom w:val="single" w:color="000000" w:sz="4" w:space="0"/>
                    <w:right w:val="single" w:color="000000" w:sz="4" w:space="0"/>
                  </w:tcBorders>
                </w:tcPr>
                <w:p>
                  <w:pPr>
                    <w:autoSpaceDE w:val="0"/>
                    <w:autoSpaceDN w:val="0"/>
                    <w:ind w:left="100" w:right="88"/>
                    <w:jc w:val="center"/>
                    <w:rPr>
                      <w:rFonts w:hAnsi="宋体" w:cs="宋体"/>
                      <w:kern w:val="0"/>
                      <w:szCs w:val="21"/>
                    </w:rPr>
                  </w:pPr>
                  <w:r>
                    <w:rPr>
                      <w:rFonts w:hAnsi="宋体" w:cs="宋体"/>
                      <w:kern w:val="0"/>
                      <w:szCs w:val="21"/>
                    </w:rPr>
                    <w:t>14.33</w:t>
                  </w:r>
                </w:p>
              </w:tc>
              <w:tc>
                <w:tcPr>
                  <w:tcW w:w="668" w:type="pct"/>
                  <w:tcBorders>
                    <w:top w:val="single" w:color="000000" w:sz="4" w:space="0"/>
                    <w:left w:val="single" w:color="000000" w:sz="4" w:space="0"/>
                    <w:bottom w:val="single" w:color="000000" w:sz="4" w:space="0"/>
                    <w:right w:val="single" w:color="000000" w:sz="4" w:space="0"/>
                  </w:tcBorders>
                </w:tcPr>
                <w:p>
                  <w:pPr>
                    <w:autoSpaceDE w:val="0"/>
                    <w:autoSpaceDN w:val="0"/>
                    <w:ind w:left="436"/>
                    <w:jc w:val="left"/>
                    <w:rPr>
                      <w:rFonts w:hAnsi="宋体" w:cs="宋体"/>
                      <w:kern w:val="0"/>
                      <w:szCs w:val="21"/>
                    </w:rPr>
                  </w:pPr>
                  <w:r>
                    <w:rPr>
                      <w:rFonts w:hAnsi="宋体" w:cs="宋体"/>
                      <w:kern w:val="0"/>
                      <w:szCs w:val="21"/>
                    </w:rPr>
                    <w:t>3.52</w:t>
                  </w:r>
                </w:p>
              </w:tc>
              <w:tc>
                <w:tcPr>
                  <w:tcW w:w="669" w:type="pct"/>
                  <w:tcBorders>
                    <w:top w:val="single" w:color="000000" w:sz="4" w:space="0"/>
                    <w:left w:val="single" w:color="000000" w:sz="4" w:space="0"/>
                    <w:bottom w:val="single" w:color="000000" w:sz="4" w:space="0"/>
                    <w:right w:val="single" w:color="000000" w:sz="4" w:space="0"/>
                  </w:tcBorders>
                </w:tcPr>
                <w:p>
                  <w:pPr>
                    <w:autoSpaceDE w:val="0"/>
                    <w:autoSpaceDN w:val="0"/>
                    <w:ind w:left="316" w:right="307"/>
                    <w:jc w:val="center"/>
                    <w:rPr>
                      <w:rFonts w:hAnsi="宋体" w:cs="宋体"/>
                      <w:kern w:val="0"/>
                      <w:szCs w:val="21"/>
                    </w:rPr>
                  </w:pPr>
                  <w:r>
                    <w:rPr>
                      <w:rFonts w:hAnsi="宋体" w:cs="宋体"/>
                      <w:kern w:val="0"/>
                      <w:szCs w:val="21"/>
                    </w:rPr>
                    <w:t>5.58</w:t>
                  </w:r>
                </w:p>
              </w:tc>
              <w:tc>
                <w:tcPr>
                  <w:tcW w:w="586" w:type="pct"/>
                  <w:tcBorders>
                    <w:top w:val="single" w:color="000000" w:sz="4" w:space="0"/>
                    <w:left w:val="single" w:color="000000" w:sz="4" w:space="0"/>
                    <w:bottom w:val="single" w:color="000000" w:sz="4" w:space="0"/>
                    <w:right w:val="single" w:color="000000" w:sz="4" w:space="0"/>
                  </w:tcBorders>
                </w:tcPr>
                <w:p>
                  <w:pPr>
                    <w:autoSpaceDE w:val="0"/>
                    <w:autoSpaceDN w:val="0"/>
                    <w:ind w:left="388"/>
                    <w:jc w:val="left"/>
                    <w:rPr>
                      <w:rFonts w:hAnsi="宋体" w:cs="宋体"/>
                      <w:kern w:val="0"/>
                      <w:szCs w:val="21"/>
                    </w:rPr>
                  </w:pPr>
                  <w:r>
                    <w:rPr>
                      <w:rFonts w:hAnsi="宋体" w:cs="宋体"/>
                      <w:kern w:val="0"/>
                      <w:szCs w:val="21"/>
                    </w:rPr>
                    <w:t>7.07</w:t>
                  </w:r>
                </w:p>
              </w:tc>
              <w:tc>
                <w:tcPr>
                  <w:tcW w:w="751" w:type="pct"/>
                  <w:tcBorders>
                    <w:top w:val="single" w:color="000000" w:sz="4" w:space="0"/>
                    <w:left w:val="single" w:color="000000" w:sz="4" w:space="0"/>
                    <w:bottom w:val="single" w:color="000000" w:sz="4" w:space="0"/>
                    <w:right w:val="single" w:color="000000" w:sz="4" w:space="0"/>
                  </w:tcBorders>
                </w:tcPr>
                <w:p>
                  <w:pPr>
                    <w:autoSpaceDE w:val="0"/>
                    <w:autoSpaceDN w:val="0"/>
                    <w:ind w:left="327" w:right="317"/>
                    <w:jc w:val="center"/>
                    <w:rPr>
                      <w:rFonts w:hAnsi="宋体" w:cs="宋体"/>
                      <w:kern w:val="0"/>
                      <w:szCs w:val="21"/>
                    </w:rPr>
                  </w:pPr>
                  <w:r>
                    <w:rPr>
                      <w:rFonts w:hAnsi="宋体" w:cs="宋体"/>
                      <w:kern w:val="0"/>
                      <w:szCs w:val="21"/>
                    </w:rPr>
                    <w:t>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987" w:type="pct"/>
                  <w:tcBorders>
                    <w:top w:val="single" w:color="000000" w:sz="4" w:space="0"/>
                    <w:left w:val="single" w:color="000000" w:sz="4" w:space="0"/>
                    <w:bottom w:val="single" w:color="000000" w:sz="4" w:space="0"/>
                    <w:right w:val="single" w:color="000000" w:sz="4" w:space="0"/>
                  </w:tcBorders>
                </w:tcPr>
                <w:p>
                  <w:pPr>
                    <w:autoSpaceDE w:val="0"/>
                    <w:autoSpaceDN w:val="0"/>
                    <w:ind w:left="185" w:right="176"/>
                    <w:jc w:val="center"/>
                    <w:rPr>
                      <w:rFonts w:ascii="宋体" w:hAnsi="宋体"/>
                      <w:b/>
                      <w:kern w:val="0"/>
                      <w:szCs w:val="21"/>
                    </w:rPr>
                  </w:pPr>
                  <w:r>
                    <w:rPr>
                      <w:rFonts w:hint="eastAsia" w:ascii="宋体" w:hAnsi="宋体"/>
                      <w:b/>
                      <w:kern w:val="0"/>
                      <w:szCs w:val="21"/>
                    </w:rPr>
                    <w:t>成分</w:t>
                  </w:r>
                </w:p>
              </w:tc>
              <w:tc>
                <w:tcPr>
                  <w:tcW w:w="668" w:type="pct"/>
                  <w:tcBorders>
                    <w:top w:val="single" w:color="000000" w:sz="4" w:space="0"/>
                    <w:left w:val="single" w:color="000000" w:sz="4" w:space="0"/>
                    <w:bottom w:val="single" w:color="000000" w:sz="4" w:space="0"/>
                    <w:right w:val="single" w:color="000000" w:sz="4" w:space="0"/>
                  </w:tcBorders>
                </w:tcPr>
                <w:p>
                  <w:pPr>
                    <w:autoSpaceDE w:val="0"/>
                    <w:autoSpaceDN w:val="0"/>
                    <w:ind w:left="270" w:right="263"/>
                    <w:jc w:val="center"/>
                    <w:rPr>
                      <w:rFonts w:hAnsi="宋体" w:cs="宋体"/>
                      <w:kern w:val="0"/>
                      <w:szCs w:val="21"/>
                    </w:rPr>
                  </w:pPr>
                  <w:r>
                    <w:rPr>
                      <w:rFonts w:hAnsi="宋体" w:cs="宋体"/>
                      <w:kern w:val="0"/>
                      <w:position w:val="2"/>
                      <w:szCs w:val="21"/>
                    </w:rPr>
                    <w:t>K</w:t>
                  </w:r>
                  <w:r>
                    <w:rPr>
                      <w:rFonts w:hAnsi="宋体" w:cs="宋体"/>
                      <w:kern w:val="0"/>
                      <w:position w:val="2"/>
                      <w:szCs w:val="21"/>
                      <w:vertAlign w:val="subscript"/>
                    </w:rPr>
                    <w:t>2</w:t>
                  </w:r>
                  <w:r>
                    <w:rPr>
                      <w:rFonts w:hAnsi="宋体" w:cs="宋体"/>
                      <w:kern w:val="0"/>
                      <w:position w:val="2"/>
                      <w:szCs w:val="21"/>
                    </w:rPr>
                    <w:t>O</w:t>
                  </w:r>
                </w:p>
              </w:tc>
              <w:tc>
                <w:tcPr>
                  <w:tcW w:w="670" w:type="pct"/>
                  <w:tcBorders>
                    <w:top w:val="single" w:color="000000" w:sz="4" w:space="0"/>
                    <w:left w:val="single" w:color="000000" w:sz="4" w:space="0"/>
                    <w:bottom w:val="single" w:color="000000" w:sz="4" w:space="0"/>
                    <w:right w:val="single" w:color="000000" w:sz="4" w:space="0"/>
                  </w:tcBorders>
                </w:tcPr>
                <w:p>
                  <w:pPr>
                    <w:autoSpaceDE w:val="0"/>
                    <w:autoSpaceDN w:val="0"/>
                    <w:ind w:left="100" w:right="90"/>
                    <w:jc w:val="center"/>
                    <w:rPr>
                      <w:rFonts w:hAnsi="宋体" w:cs="宋体"/>
                      <w:kern w:val="0"/>
                      <w:szCs w:val="21"/>
                    </w:rPr>
                  </w:pPr>
                  <w:r>
                    <w:rPr>
                      <w:rFonts w:hAnsi="宋体" w:cs="宋体"/>
                      <w:kern w:val="0"/>
                      <w:position w:val="2"/>
                      <w:szCs w:val="21"/>
                    </w:rPr>
                    <w:t>Na</w:t>
                  </w:r>
                  <w:r>
                    <w:rPr>
                      <w:rFonts w:hAnsi="宋体" w:cs="宋体"/>
                      <w:kern w:val="0"/>
                      <w:position w:val="2"/>
                      <w:szCs w:val="21"/>
                      <w:vertAlign w:val="subscript"/>
                    </w:rPr>
                    <w:t>2</w:t>
                  </w:r>
                  <w:r>
                    <w:rPr>
                      <w:rFonts w:hAnsi="宋体" w:cs="宋体"/>
                      <w:kern w:val="0"/>
                      <w:position w:val="2"/>
                      <w:szCs w:val="21"/>
                    </w:rPr>
                    <w:t>O</w:t>
                  </w:r>
                </w:p>
              </w:tc>
              <w:tc>
                <w:tcPr>
                  <w:tcW w:w="668" w:type="pct"/>
                  <w:tcBorders>
                    <w:top w:val="single" w:color="000000" w:sz="4" w:space="0"/>
                    <w:left w:val="single" w:color="000000" w:sz="4" w:space="0"/>
                    <w:bottom w:val="single" w:color="000000" w:sz="4" w:space="0"/>
                    <w:right w:val="single" w:color="000000" w:sz="4" w:space="0"/>
                  </w:tcBorders>
                </w:tcPr>
                <w:p>
                  <w:pPr>
                    <w:autoSpaceDE w:val="0"/>
                    <w:autoSpaceDN w:val="0"/>
                    <w:ind w:left="422"/>
                    <w:jc w:val="left"/>
                    <w:rPr>
                      <w:rFonts w:hAnsi="宋体" w:cs="宋体"/>
                      <w:kern w:val="0"/>
                      <w:szCs w:val="21"/>
                    </w:rPr>
                  </w:pPr>
                  <w:r>
                    <w:rPr>
                      <w:rFonts w:hAnsi="宋体" w:cs="宋体"/>
                      <w:kern w:val="0"/>
                      <w:position w:val="2"/>
                      <w:szCs w:val="21"/>
                    </w:rPr>
                    <w:t>TiO</w:t>
                  </w:r>
                  <w:r>
                    <w:rPr>
                      <w:rFonts w:hAnsi="宋体" w:cs="宋体"/>
                      <w:kern w:val="0"/>
                      <w:position w:val="2"/>
                      <w:szCs w:val="21"/>
                      <w:vertAlign w:val="subscript"/>
                    </w:rPr>
                    <w:t>2</w:t>
                  </w:r>
                </w:p>
              </w:tc>
              <w:tc>
                <w:tcPr>
                  <w:tcW w:w="669" w:type="pct"/>
                  <w:tcBorders>
                    <w:top w:val="single" w:color="000000" w:sz="4" w:space="0"/>
                    <w:left w:val="single" w:color="000000" w:sz="4" w:space="0"/>
                    <w:bottom w:val="single" w:color="000000" w:sz="4" w:space="0"/>
                    <w:right w:val="single" w:color="000000" w:sz="4" w:space="0"/>
                  </w:tcBorders>
                </w:tcPr>
                <w:p>
                  <w:pPr>
                    <w:autoSpaceDE w:val="0"/>
                    <w:autoSpaceDN w:val="0"/>
                    <w:ind w:left="319" w:right="307"/>
                    <w:jc w:val="center"/>
                    <w:rPr>
                      <w:rFonts w:hAnsi="宋体" w:cs="宋体"/>
                      <w:kern w:val="0"/>
                      <w:szCs w:val="21"/>
                    </w:rPr>
                  </w:pPr>
                  <w:r>
                    <w:rPr>
                      <w:rFonts w:hAnsi="宋体" w:cs="宋体"/>
                      <w:kern w:val="0"/>
                      <w:position w:val="2"/>
                      <w:szCs w:val="21"/>
                    </w:rPr>
                    <w:t>P</w:t>
                  </w:r>
                  <w:r>
                    <w:rPr>
                      <w:rFonts w:hAnsi="宋体" w:cs="宋体"/>
                      <w:kern w:val="0"/>
                      <w:position w:val="2"/>
                      <w:szCs w:val="21"/>
                      <w:vertAlign w:val="subscript"/>
                    </w:rPr>
                    <w:t>2</w:t>
                  </w:r>
                  <w:r>
                    <w:rPr>
                      <w:rFonts w:hAnsi="宋体" w:cs="宋体"/>
                      <w:kern w:val="0"/>
                      <w:position w:val="2"/>
                      <w:szCs w:val="21"/>
                    </w:rPr>
                    <w:t>O</w:t>
                  </w:r>
                  <w:r>
                    <w:rPr>
                      <w:rFonts w:hAnsi="宋体" w:cs="宋体"/>
                      <w:kern w:val="0"/>
                      <w:position w:val="2"/>
                      <w:szCs w:val="21"/>
                      <w:vertAlign w:val="subscript"/>
                    </w:rPr>
                    <w:t>5</w:t>
                  </w:r>
                </w:p>
              </w:tc>
              <w:tc>
                <w:tcPr>
                  <w:tcW w:w="586" w:type="pct"/>
                  <w:tcBorders>
                    <w:top w:val="single" w:color="000000" w:sz="4" w:space="0"/>
                    <w:left w:val="single" w:color="000000" w:sz="4" w:space="0"/>
                    <w:bottom w:val="single" w:color="000000" w:sz="4" w:space="0"/>
                    <w:right w:val="single" w:color="000000" w:sz="4" w:space="0"/>
                  </w:tcBorders>
                </w:tcPr>
                <w:p>
                  <w:pPr>
                    <w:autoSpaceDE w:val="0"/>
                    <w:autoSpaceDN w:val="0"/>
                    <w:ind w:left="350"/>
                    <w:jc w:val="left"/>
                    <w:rPr>
                      <w:rFonts w:hAnsi="宋体" w:cs="宋体"/>
                      <w:kern w:val="0"/>
                      <w:szCs w:val="21"/>
                    </w:rPr>
                  </w:pPr>
                  <w:r>
                    <w:rPr>
                      <w:rFonts w:hAnsi="宋体" w:cs="宋体"/>
                      <w:kern w:val="0"/>
                      <w:szCs w:val="21"/>
                    </w:rPr>
                    <w:t>MnO</w:t>
                  </w:r>
                </w:p>
              </w:tc>
              <w:tc>
                <w:tcPr>
                  <w:tcW w:w="751" w:type="pct"/>
                  <w:tcBorders>
                    <w:top w:val="single" w:color="000000" w:sz="4" w:space="0"/>
                    <w:left w:val="single" w:color="000000" w:sz="4" w:space="0"/>
                    <w:bottom w:val="single" w:color="000000" w:sz="4" w:space="0"/>
                    <w:right w:val="single" w:color="000000" w:sz="4" w:space="0"/>
                  </w:tcBorders>
                </w:tcPr>
                <w:p>
                  <w:pPr>
                    <w:autoSpaceDE w:val="0"/>
                    <w:autoSpaceDN w:val="0"/>
                    <w:ind w:left="327" w:right="318"/>
                    <w:jc w:val="center"/>
                    <w:rPr>
                      <w:rFonts w:hAnsi="宋体" w:cs="宋体"/>
                      <w:kern w:val="0"/>
                      <w:szCs w:val="21"/>
                    </w:rPr>
                  </w:pPr>
                  <w:r>
                    <w:rPr>
                      <w:rFonts w:hAnsi="宋体" w:cs="宋体"/>
                      <w:kern w:val="0"/>
                      <w:szCs w:val="21"/>
                    </w:rPr>
                    <w:t>LOI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987" w:type="pct"/>
                  <w:tcBorders>
                    <w:top w:val="single" w:color="000000" w:sz="4" w:space="0"/>
                    <w:left w:val="single" w:color="000000" w:sz="4" w:space="0"/>
                    <w:bottom w:val="single" w:color="000000" w:sz="4" w:space="0"/>
                    <w:right w:val="single" w:color="000000" w:sz="4" w:space="0"/>
                  </w:tcBorders>
                </w:tcPr>
                <w:p>
                  <w:pPr>
                    <w:autoSpaceDE w:val="0"/>
                    <w:autoSpaceDN w:val="0"/>
                    <w:ind w:left="187" w:right="176"/>
                    <w:jc w:val="center"/>
                    <w:rPr>
                      <w:rFonts w:ascii="宋体" w:hAnsi="宋体"/>
                      <w:b/>
                      <w:kern w:val="0"/>
                      <w:szCs w:val="21"/>
                    </w:rPr>
                  </w:pPr>
                  <w:r>
                    <w:rPr>
                      <w:rFonts w:hint="eastAsia" w:ascii="宋体" w:hAnsi="宋体"/>
                      <w:b/>
                      <w:kern w:val="0"/>
                      <w:szCs w:val="21"/>
                    </w:rPr>
                    <w:t>含量（</w:t>
                  </w:r>
                  <w:r>
                    <w:rPr>
                      <w:rFonts w:hAnsi="宋体" w:cs="宋体"/>
                      <w:b/>
                      <w:kern w:val="0"/>
                      <w:szCs w:val="21"/>
                    </w:rPr>
                    <w:t>%</w:t>
                  </w:r>
                  <w:r>
                    <w:rPr>
                      <w:rFonts w:hint="eastAsia" w:ascii="宋体" w:hAnsi="宋体"/>
                      <w:b/>
                      <w:kern w:val="0"/>
                      <w:szCs w:val="21"/>
                    </w:rPr>
                    <w:t>）</w:t>
                  </w:r>
                </w:p>
              </w:tc>
              <w:tc>
                <w:tcPr>
                  <w:tcW w:w="668" w:type="pct"/>
                  <w:tcBorders>
                    <w:top w:val="single" w:color="000000" w:sz="4" w:space="0"/>
                    <w:left w:val="single" w:color="000000" w:sz="4" w:space="0"/>
                    <w:bottom w:val="single" w:color="000000" w:sz="4" w:space="0"/>
                    <w:right w:val="single" w:color="000000" w:sz="4" w:space="0"/>
                  </w:tcBorders>
                </w:tcPr>
                <w:p>
                  <w:pPr>
                    <w:autoSpaceDE w:val="0"/>
                    <w:autoSpaceDN w:val="0"/>
                    <w:ind w:left="274" w:right="263"/>
                    <w:jc w:val="center"/>
                    <w:rPr>
                      <w:rFonts w:hAnsi="宋体" w:cs="宋体"/>
                      <w:kern w:val="0"/>
                      <w:szCs w:val="21"/>
                    </w:rPr>
                  </w:pPr>
                  <w:r>
                    <w:rPr>
                      <w:rFonts w:hAnsi="宋体" w:cs="宋体"/>
                      <w:kern w:val="0"/>
                      <w:szCs w:val="21"/>
                    </w:rPr>
                    <w:t>2.28</w:t>
                  </w:r>
                </w:p>
              </w:tc>
              <w:tc>
                <w:tcPr>
                  <w:tcW w:w="670" w:type="pct"/>
                  <w:tcBorders>
                    <w:top w:val="single" w:color="000000" w:sz="4" w:space="0"/>
                    <w:left w:val="single" w:color="000000" w:sz="4" w:space="0"/>
                    <w:bottom w:val="single" w:color="000000" w:sz="4" w:space="0"/>
                    <w:right w:val="single" w:color="000000" w:sz="4" w:space="0"/>
                  </w:tcBorders>
                </w:tcPr>
                <w:p>
                  <w:pPr>
                    <w:autoSpaceDE w:val="0"/>
                    <w:autoSpaceDN w:val="0"/>
                    <w:ind w:left="99" w:right="90"/>
                    <w:jc w:val="center"/>
                    <w:rPr>
                      <w:rFonts w:hAnsi="宋体" w:cs="宋体"/>
                      <w:kern w:val="0"/>
                      <w:szCs w:val="21"/>
                    </w:rPr>
                  </w:pPr>
                  <w:r>
                    <w:rPr>
                      <w:rFonts w:hAnsi="宋体" w:cs="宋体"/>
                      <w:kern w:val="0"/>
                      <w:szCs w:val="21"/>
                    </w:rPr>
                    <w:t>6.36</w:t>
                  </w:r>
                </w:p>
              </w:tc>
              <w:tc>
                <w:tcPr>
                  <w:tcW w:w="668" w:type="pct"/>
                  <w:tcBorders>
                    <w:top w:val="single" w:color="000000" w:sz="4" w:space="0"/>
                    <w:left w:val="single" w:color="000000" w:sz="4" w:space="0"/>
                    <w:bottom w:val="single" w:color="000000" w:sz="4" w:space="0"/>
                    <w:right w:val="single" w:color="000000" w:sz="4" w:space="0"/>
                  </w:tcBorders>
                </w:tcPr>
                <w:p>
                  <w:pPr>
                    <w:autoSpaceDE w:val="0"/>
                    <w:autoSpaceDN w:val="0"/>
                    <w:ind w:left="436"/>
                    <w:jc w:val="left"/>
                    <w:rPr>
                      <w:rFonts w:hAnsi="宋体" w:cs="宋体"/>
                      <w:kern w:val="0"/>
                      <w:szCs w:val="21"/>
                    </w:rPr>
                  </w:pPr>
                  <w:r>
                    <w:rPr>
                      <w:rFonts w:hAnsi="宋体" w:cs="宋体"/>
                      <w:kern w:val="0"/>
                      <w:szCs w:val="21"/>
                    </w:rPr>
                    <w:t>0.81</w:t>
                  </w:r>
                </w:p>
              </w:tc>
              <w:tc>
                <w:tcPr>
                  <w:tcW w:w="669" w:type="pct"/>
                  <w:tcBorders>
                    <w:top w:val="single" w:color="000000" w:sz="4" w:space="0"/>
                    <w:left w:val="single" w:color="000000" w:sz="4" w:space="0"/>
                    <w:bottom w:val="single" w:color="000000" w:sz="4" w:space="0"/>
                    <w:right w:val="single" w:color="000000" w:sz="4" w:space="0"/>
                  </w:tcBorders>
                </w:tcPr>
                <w:p>
                  <w:pPr>
                    <w:autoSpaceDE w:val="0"/>
                    <w:autoSpaceDN w:val="0"/>
                    <w:ind w:left="316" w:right="307"/>
                    <w:jc w:val="center"/>
                    <w:rPr>
                      <w:rFonts w:hAnsi="宋体" w:cs="宋体"/>
                      <w:kern w:val="0"/>
                      <w:szCs w:val="21"/>
                    </w:rPr>
                  </w:pPr>
                  <w:r>
                    <w:rPr>
                      <w:rFonts w:hAnsi="宋体" w:cs="宋体"/>
                      <w:kern w:val="0"/>
                      <w:szCs w:val="21"/>
                    </w:rPr>
                    <w:t>0.37</w:t>
                  </w:r>
                </w:p>
              </w:tc>
              <w:tc>
                <w:tcPr>
                  <w:tcW w:w="586" w:type="pct"/>
                  <w:tcBorders>
                    <w:top w:val="single" w:color="000000" w:sz="4" w:space="0"/>
                    <w:left w:val="single" w:color="000000" w:sz="4" w:space="0"/>
                    <w:bottom w:val="single" w:color="000000" w:sz="4" w:space="0"/>
                    <w:right w:val="single" w:color="000000" w:sz="4" w:space="0"/>
                  </w:tcBorders>
                </w:tcPr>
                <w:p>
                  <w:pPr>
                    <w:autoSpaceDE w:val="0"/>
                    <w:autoSpaceDN w:val="0"/>
                    <w:ind w:left="388"/>
                    <w:jc w:val="left"/>
                    <w:rPr>
                      <w:rFonts w:hAnsi="宋体" w:cs="宋体"/>
                      <w:kern w:val="0"/>
                      <w:szCs w:val="21"/>
                    </w:rPr>
                  </w:pPr>
                  <w:r>
                    <w:rPr>
                      <w:rFonts w:hAnsi="宋体" w:cs="宋体"/>
                      <w:kern w:val="0"/>
                      <w:szCs w:val="21"/>
                    </w:rPr>
                    <w:t>0.17</w:t>
                  </w:r>
                </w:p>
              </w:tc>
              <w:tc>
                <w:tcPr>
                  <w:tcW w:w="751" w:type="pct"/>
                  <w:tcBorders>
                    <w:top w:val="single" w:color="000000" w:sz="4" w:space="0"/>
                    <w:left w:val="single" w:color="000000" w:sz="4" w:space="0"/>
                    <w:bottom w:val="single" w:color="000000" w:sz="4" w:space="0"/>
                    <w:right w:val="single" w:color="000000" w:sz="4" w:space="0"/>
                  </w:tcBorders>
                </w:tcPr>
                <w:p>
                  <w:pPr>
                    <w:autoSpaceDE w:val="0"/>
                    <w:autoSpaceDN w:val="0"/>
                    <w:ind w:left="327" w:right="317"/>
                    <w:jc w:val="center"/>
                    <w:rPr>
                      <w:rFonts w:hAnsi="宋体" w:cs="宋体"/>
                      <w:kern w:val="0"/>
                      <w:szCs w:val="21"/>
                    </w:rPr>
                  </w:pPr>
                  <w:r>
                    <w:rPr>
                      <w:rFonts w:hAnsi="宋体" w:cs="宋体"/>
                      <w:kern w:val="0"/>
                      <w:szCs w:val="21"/>
                    </w:rPr>
                    <w:t>2.86</w:t>
                  </w:r>
                </w:p>
              </w:tc>
            </w:tr>
          </w:tbl>
          <w:p>
            <w:pPr>
              <w:spacing w:line="360" w:lineRule="auto"/>
              <w:ind w:firstLine="480" w:firstLineChars="200"/>
              <w:rPr>
                <w:sz w:val="24"/>
              </w:rPr>
            </w:pPr>
            <w:r>
              <w:rPr>
                <w:rFonts w:hint="eastAsia"/>
                <w:sz w:val="24"/>
              </w:rPr>
              <w:t>（2）浸润剂：浸润剂主要由成膜剂、偶联剂、润滑剂、</w:t>
            </w:r>
            <w:r>
              <w:rPr>
                <w:sz w:val="24"/>
              </w:rPr>
              <w:t xml:space="preserve">pH </w:t>
            </w:r>
            <w:r>
              <w:rPr>
                <w:rFonts w:hint="eastAsia"/>
                <w:sz w:val="24"/>
              </w:rPr>
              <w:t>调节剂等组成，其中成膜剂为其主要成分，项目外购成品浸润剂，</w:t>
            </w:r>
            <w:r>
              <w:rPr>
                <w:sz w:val="24"/>
              </w:rPr>
              <w:t>每1kg浸润剂水溶液配置比例为1%的浸润剂和99%的自来水，本项目玄武岩纤维原丝用浸润剂水溶液进行浸润，每吨玄武岩纤维原丝用浸润剂水溶液约0.3吨，</w:t>
            </w:r>
            <w:r>
              <w:rPr>
                <w:rFonts w:hint="eastAsia"/>
                <w:sz w:val="24"/>
              </w:rPr>
              <w:t>本项目玄武岩纤维原丝产出量为</w:t>
            </w:r>
            <w:r>
              <w:rPr>
                <w:sz w:val="24"/>
              </w:rPr>
              <w:t>15</w:t>
            </w:r>
            <w:r>
              <w:rPr>
                <w:rFonts w:hint="eastAsia"/>
                <w:sz w:val="24"/>
              </w:rPr>
              <w:t>000吨，则浸润剂水溶液量为</w:t>
            </w:r>
            <w:r>
              <w:rPr>
                <w:sz w:val="24"/>
              </w:rPr>
              <w:t>4</w:t>
            </w:r>
            <w:r>
              <w:rPr>
                <w:rFonts w:hint="eastAsia"/>
                <w:sz w:val="24"/>
              </w:rPr>
              <w:t>50</w:t>
            </w:r>
            <w:r>
              <w:rPr>
                <w:sz w:val="24"/>
              </w:rPr>
              <w:t>0</w:t>
            </w:r>
            <w:r>
              <w:rPr>
                <w:rFonts w:hint="eastAsia"/>
                <w:sz w:val="24"/>
              </w:rPr>
              <w:t>t/a，故浸润剂量为</w:t>
            </w:r>
            <w:r>
              <w:rPr>
                <w:sz w:val="24"/>
              </w:rPr>
              <w:t>4</w:t>
            </w:r>
            <w:r>
              <w:rPr>
                <w:rFonts w:hint="eastAsia"/>
                <w:sz w:val="24"/>
              </w:rPr>
              <w:t>5t/a。</w:t>
            </w:r>
          </w:p>
          <w:p>
            <w:pPr>
              <w:spacing w:line="360" w:lineRule="auto"/>
              <w:ind w:firstLine="480" w:firstLineChars="200"/>
              <w:rPr>
                <w:sz w:val="24"/>
              </w:rPr>
            </w:pPr>
            <w:r>
              <w:rPr>
                <w:rFonts w:hint="eastAsia"/>
                <w:sz w:val="24"/>
              </w:rPr>
              <w:t>①成膜剂：本项目采用环氧树脂成膜剂。环氧树脂是聚合物分子链中含有醇基、醚基、两端具有反应活性环氧基的聚合物。具有良好的物理、化学性能，它对金属和非金属材料的表面具有优异的粘接强度，介电性能良好，变定收缩率小，制品尺寸稳定性好，硬度高，柔韧性较好，对碱及大部分溶剂稳定，耐热性在 200℃以上。项目采用 E 型环氧树脂，平均分子量 3100~7000。几乎无色或淡黄色透明黏稠液体或块(片、粒)状脆性固体，相对密度 1.10，溶于丙酮、甲/乙酮、环已酮、醋酸乙酯、甲苯、二甲苯、无水乙醇、乙二醇等有机溶剂，可燃，无毒。</w:t>
            </w:r>
          </w:p>
          <w:p>
            <w:pPr>
              <w:spacing w:line="360" w:lineRule="auto"/>
              <w:ind w:firstLine="480" w:firstLineChars="200"/>
              <w:rPr>
                <w:sz w:val="24"/>
              </w:rPr>
            </w:pPr>
            <w:r>
              <w:rPr>
                <w:rFonts w:hint="eastAsia"/>
                <w:sz w:val="24"/>
              </w:rPr>
              <w:t>②本项目使用的润滑剂为 50%的改性硅氧烷乳化液。硅氧烷是含 Si—O—Si 键构成主链结构的聚合物，分子式为(R2SiO)x，对热和化学试剂稳定，不被水润湿，突出的耐老化性能、优异的疏水性与电绝缘性。用作防火剂、润滑剂、防潮剂。</w:t>
            </w:r>
          </w:p>
          <w:p>
            <w:pPr>
              <w:spacing w:line="360" w:lineRule="auto"/>
              <w:ind w:firstLine="480" w:firstLineChars="200"/>
              <w:rPr>
                <w:sz w:val="24"/>
              </w:rPr>
            </w:pPr>
            <w:r>
              <w:rPr>
                <w:rFonts w:hint="eastAsia"/>
                <w:sz w:val="24"/>
              </w:rPr>
              <w:t>③硅烷偶联剂是一类在分子中同时含有两种不同化学性质基团的有机硅化合物，其经典产物可用通式YSiX3表示。硅烷偶联剂作为玄武岩纤维的表面处理剂，可使纤维的机械性能、电学性能和抗老化性能得到很大的提高，能改善纤维和树脂的粘合性能，大大提高纤维增强复合材料的强度、电气、抗水、抗气候等性能，即使在湿态时，它对复合材料机械性能的提高，效果也十分显著。项目采用的是KH550型硅烷偶联剂，化学结构式为C9H23NO3Si，外观为无色透明液体，相对密度0.945~0.955，沸点217℃，可溶于甲醇、乙醇、异丙醇、丙酮、苯、甲苯、二甲苯。</w:t>
            </w:r>
          </w:p>
          <w:p>
            <w:pPr>
              <w:spacing w:line="360" w:lineRule="auto"/>
              <w:ind w:firstLine="480" w:firstLineChars="200"/>
              <w:rPr>
                <w:sz w:val="24"/>
              </w:rPr>
            </w:pPr>
            <w:r>
              <w:rPr>
                <w:rFonts w:hint="eastAsia"/>
                <w:sz w:val="24"/>
              </w:rPr>
              <w:t>④项目使用柠檬酸作为 pH 调节剂。柠檬酸为无色晶体，常含一分子结晶水，无臭，有很强的酸味，易溶于水。化学式 C6H8O7，闪点 100℃，加热至 175℃时它会分解产生二氧化碳和水，剩余一些白色晶体。</w:t>
            </w:r>
          </w:p>
          <w:p>
            <w:pPr>
              <w:spacing w:line="360" w:lineRule="auto"/>
              <w:ind w:firstLine="480" w:firstLineChars="200"/>
              <w:rPr>
                <w:sz w:val="24"/>
              </w:rPr>
            </w:pPr>
            <w:r>
              <w:rPr>
                <w:rFonts w:hint="eastAsia" w:ascii="宋体" w:hAnsi="宋体" w:cs="宋体"/>
                <w:sz w:val="24"/>
              </w:rPr>
              <w:t>（3）</w:t>
            </w:r>
            <w:r>
              <w:rPr>
                <w:rFonts w:hint="eastAsia"/>
                <w:sz w:val="24"/>
              </w:rPr>
              <w:t>不饱和树脂：拉挤型材生产使用的树脂为不饱和树脂，由二元酸和二元醇经缩聚反应而生成的含有不饱和双键的高分子化合物。在固化过程中会产生一定量的挥发性有机物。</w:t>
            </w:r>
          </w:p>
          <w:p>
            <w:pPr>
              <w:spacing w:line="360" w:lineRule="auto"/>
              <w:ind w:firstLine="480" w:firstLineChars="200"/>
              <w:rPr>
                <w:rFonts w:ascii="宋体" w:hAnsi="宋体" w:cs="宋体"/>
                <w:sz w:val="24"/>
              </w:rPr>
            </w:pPr>
            <w:r>
              <w:rPr>
                <w:rFonts w:hint="eastAsia" w:ascii="宋体" w:hAnsi="宋体" w:cs="宋体"/>
                <w:sz w:val="24"/>
              </w:rPr>
              <w:t>（4）铂铑合金漏板：主要用于玄武岩纤维拉丝过程，主要成分物质为铂、铑，漏板在长期使用的过程中会有所损伤，为保证玄武岩纤维原丝的品质和形状，本项目定期每年更换1次，更换下来的返回厂家重铸使用。</w:t>
            </w:r>
          </w:p>
          <w:p>
            <w:pPr>
              <w:spacing w:line="360" w:lineRule="auto"/>
              <w:ind w:firstLine="480" w:firstLineChars="200"/>
              <w:rPr>
                <w:sz w:val="24"/>
              </w:rPr>
            </w:pPr>
            <w:r>
              <w:rPr>
                <w:rFonts w:hint="eastAsia"/>
                <w:sz w:val="24"/>
              </w:rPr>
              <w:t>项目物料平衡见表2</w:t>
            </w:r>
            <w:r>
              <w:rPr>
                <w:sz w:val="24"/>
              </w:rPr>
              <w:t>-</w:t>
            </w:r>
            <w:r>
              <w:rPr>
                <w:rFonts w:hint="eastAsia"/>
                <w:sz w:val="24"/>
              </w:rPr>
              <w:t>9。</w:t>
            </w:r>
          </w:p>
          <w:p>
            <w:pPr>
              <w:pStyle w:val="104"/>
              <w:ind w:firstLine="420"/>
              <w:rPr>
                <w:b/>
              </w:rPr>
            </w:pPr>
          </w:p>
          <w:p>
            <w:pPr>
              <w:pStyle w:val="104"/>
              <w:ind w:firstLine="420"/>
              <w:rPr>
                <w:b/>
              </w:rPr>
            </w:pPr>
          </w:p>
          <w:p>
            <w:pPr>
              <w:pStyle w:val="104"/>
              <w:ind w:firstLine="420"/>
              <w:rPr>
                <w:b/>
              </w:rPr>
            </w:pPr>
          </w:p>
          <w:p>
            <w:pPr>
              <w:pStyle w:val="104"/>
              <w:ind w:firstLine="420"/>
              <w:rPr>
                <w:b/>
              </w:rPr>
            </w:pPr>
            <w:r>
              <w:rPr>
                <w:b/>
              </w:rPr>
              <w:t>表2-</w:t>
            </w:r>
            <w:r>
              <w:rPr>
                <w:rFonts w:hint="eastAsia"/>
                <w:b/>
              </w:rPr>
              <w:t>9</w:t>
            </w:r>
            <w:r>
              <w:rPr>
                <w:b/>
              </w:rPr>
              <w:t xml:space="preserve">  项目物料平衡表</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705"/>
              <w:gridCol w:w="1501"/>
              <w:gridCol w:w="283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502" w:type="pct"/>
                  <w:gridSpan w:val="2"/>
                  <w:vAlign w:val="center"/>
                </w:tcPr>
                <w:p>
                  <w:pPr>
                    <w:pStyle w:val="104"/>
                    <w:rPr>
                      <w:b/>
                      <w:bCs/>
                    </w:rPr>
                  </w:pPr>
                  <w:r>
                    <w:rPr>
                      <w:b/>
                      <w:bCs/>
                    </w:rPr>
                    <w:t>投入</w:t>
                  </w:r>
                </w:p>
              </w:tc>
              <w:tc>
                <w:tcPr>
                  <w:tcW w:w="2498" w:type="pct"/>
                  <w:gridSpan w:val="2"/>
                  <w:vAlign w:val="center"/>
                </w:tcPr>
                <w:p>
                  <w:pPr>
                    <w:pStyle w:val="104"/>
                    <w:rPr>
                      <w:b/>
                      <w:bCs/>
                    </w:rPr>
                  </w:pPr>
                  <w:r>
                    <w:rPr>
                      <w:b/>
                      <w:bCs/>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609" w:type="pct"/>
                  <w:vAlign w:val="center"/>
                </w:tcPr>
                <w:p>
                  <w:pPr>
                    <w:pStyle w:val="104"/>
                    <w:rPr>
                      <w:b/>
                      <w:bCs/>
                    </w:rPr>
                  </w:pPr>
                  <w:r>
                    <w:rPr>
                      <w:b/>
                      <w:bCs/>
                    </w:rPr>
                    <w:t>名称</w:t>
                  </w:r>
                </w:p>
              </w:tc>
              <w:tc>
                <w:tcPr>
                  <w:tcW w:w="893" w:type="pct"/>
                  <w:vAlign w:val="center"/>
                </w:tcPr>
                <w:p>
                  <w:pPr>
                    <w:pStyle w:val="104"/>
                    <w:rPr>
                      <w:b/>
                      <w:bCs/>
                    </w:rPr>
                  </w:pPr>
                  <w:r>
                    <w:rPr>
                      <w:b/>
                      <w:bCs/>
                    </w:rPr>
                    <w:t>数量t/a</w:t>
                  </w:r>
                </w:p>
              </w:tc>
              <w:tc>
                <w:tcPr>
                  <w:tcW w:w="1683" w:type="pct"/>
                  <w:vAlign w:val="center"/>
                </w:tcPr>
                <w:p>
                  <w:pPr>
                    <w:pStyle w:val="104"/>
                    <w:rPr>
                      <w:b/>
                      <w:bCs/>
                    </w:rPr>
                  </w:pPr>
                  <w:r>
                    <w:rPr>
                      <w:b/>
                      <w:bCs/>
                    </w:rPr>
                    <w:t>名称</w:t>
                  </w:r>
                </w:p>
              </w:tc>
              <w:tc>
                <w:tcPr>
                  <w:tcW w:w="815" w:type="pct"/>
                  <w:vAlign w:val="center"/>
                </w:tcPr>
                <w:p>
                  <w:pPr>
                    <w:pStyle w:val="104"/>
                    <w:rPr>
                      <w:b/>
                      <w:bCs/>
                    </w:rPr>
                  </w:pPr>
                  <w:r>
                    <w:rPr>
                      <w:b/>
                      <w:bCs/>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09" w:type="pct"/>
                </w:tcPr>
                <w:p>
                  <w:pPr>
                    <w:pStyle w:val="101"/>
                    <w:spacing w:before="62"/>
                    <w:jc w:val="center"/>
                    <w:rPr>
                      <w:sz w:val="21"/>
                    </w:rPr>
                  </w:pPr>
                  <w:r>
                    <w:rPr>
                      <w:rFonts w:hint="eastAsia" w:ascii="宋体" w:hAnsi="宋体" w:eastAsia="宋体" w:cs="宋体"/>
                      <w:sz w:val="21"/>
                    </w:rPr>
                    <w:t>玄武岩矿石</w:t>
                  </w:r>
                </w:p>
              </w:tc>
              <w:tc>
                <w:tcPr>
                  <w:tcW w:w="893" w:type="pct"/>
                  <w:vAlign w:val="center"/>
                </w:tcPr>
                <w:p>
                  <w:pPr>
                    <w:widowControl/>
                    <w:jc w:val="center"/>
                    <w:textAlignment w:val="center"/>
                    <w:rPr>
                      <w:szCs w:val="21"/>
                    </w:rPr>
                  </w:pPr>
                  <w:r>
                    <w:rPr>
                      <w:rFonts w:hint="eastAsia"/>
                      <w:szCs w:val="21"/>
                    </w:rPr>
                    <w:t>1</w:t>
                  </w:r>
                  <w:r>
                    <w:rPr>
                      <w:szCs w:val="21"/>
                    </w:rPr>
                    <w:t>471</w:t>
                  </w:r>
                  <w:r>
                    <w:rPr>
                      <w:rFonts w:hint="eastAsia"/>
                      <w:szCs w:val="21"/>
                    </w:rPr>
                    <w:t>4.</w:t>
                  </w:r>
                  <w:r>
                    <w:rPr>
                      <w:szCs w:val="21"/>
                    </w:rPr>
                    <w:t>6</w:t>
                  </w:r>
                  <w:r>
                    <w:rPr>
                      <w:rFonts w:hint="eastAsia"/>
                      <w:szCs w:val="21"/>
                    </w:rPr>
                    <w:t>695</w:t>
                  </w:r>
                </w:p>
              </w:tc>
              <w:tc>
                <w:tcPr>
                  <w:tcW w:w="1683" w:type="pct"/>
                  <w:vAlign w:val="center"/>
                </w:tcPr>
                <w:p>
                  <w:pPr>
                    <w:contextualSpacing/>
                    <w:jc w:val="center"/>
                    <w:rPr>
                      <w:szCs w:val="21"/>
                    </w:rPr>
                  </w:pPr>
                  <w:r>
                    <w:rPr>
                      <w:rFonts w:hint="eastAsia"/>
                      <w:szCs w:val="21"/>
                    </w:rPr>
                    <w:t>短切纱</w:t>
                  </w:r>
                </w:p>
              </w:tc>
              <w:tc>
                <w:tcPr>
                  <w:tcW w:w="815" w:type="pct"/>
                  <w:vAlign w:val="center"/>
                </w:tcPr>
                <w:p>
                  <w:pPr>
                    <w:contextualSpacing/>
                    <w:jc w:val="center"/>
                    <w:rPr>
                      <w:szCs w:val="21"/>
                    </w:rPr>
                  </w:pPr>
                  <w:r>
                    <w:rPr>
                      <w:szCs w:val="21"/>
                    </w:rPr>
                    <w:t>10</w:t>
                  </w:r>
                  <w:r>
                    <w:rPr>
                      <w:rFonts w:hint="eastAsia"/>
                      <w:szCs w:val="21"/>
                    </w:rPr>
                    <w:t>0</w:t>
                  </w:r>
                  <w:r>
                    <w:rPr>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09" w:type="pct"/>
                </w:tcPr>
                <w:p>
                  <w:pPr>
                    <w:pStyle w:val="101"/>
                    <w:spacing w:before="63"/>
                    <w:jc w:val="center"/>
                    <w:rPr>
                      <w:rFonts w:ascii="宋体" w:hAnsi="宋体" w:eastAsia="宋体" w:cs="宋体"/>
                      <w:sz w:val="21"/>
                    </w:rPr>
                  </w:pPr>
                  <w:r>
                    <w:rPr>
                      <w:rFonts w:hint="eastAsia" w:ascii="宋体" w:hAnsi="宋体" w:eastAsia="宋体" w:cs="宋体"/>
                      <w:sz w:val="21"/>
                    </w:rPr>
                    <w:t>浸润剂</w:t>
                  </w:r>
                </w:p>
              </w:tc>
              <w:tc>
                <w:tcPr>
                  <w:tcW w:w="893" w:type="pct"/>
                  <w:vAlign w:val="center"/>
                </w:tcPr>
                <w:p>
                  <w:pPr>
                    <w:widowControl/>
                    <w:jc w:val="center"/>
                    <w:textAlignment w:val="center"/>
                    <w:rPr>
                      <w:szCs w:val="21"/>
                    </w:rPr>
                  </w:pPr>
                  <w:r>
                    <w:rPr>
                      <w:rFonts w:hint="eastAsia"/>
                      <w:szCs w:val="21"/>
                    </w:rPr>
                    <w:t>4</w:t>
                  </w:r>
                  <w:r>
                    <w:rPr>
                      <w:szCs w:val="21"/>
                    </w:rPr>
                    <w:t>5</w:t>
                  </w:r>
                </w:p>
              </w:tc>
              <w:tc>
                <w:tcPr>
                  <w:tcW w:w="1683" w:type="pct"/>
                </w:tcPr>
                <w:p>
                  <w:pPr>
                    <w:contextualSpacing/>
                    <w:jc w:val="center"/>
                    <w:rPr>
                      <w:szCs w:val="21"/>
                    </w:rPr>
                  </w:pPr>
                  <w:r>
                    <w:rPr>
                      <w:rFonts w:hint="eastAsia"/>
                      <w:szCs w:val="21"/>
                    </w:rPr>
                    <w:t>无捻粗纱</w:t>
                  </w:r>
                </w:p>
              </w:tc>
              <w:tc>
                <w:tcPr>
                  <w:tcW w:w="815" w:type="pct"/>
                  <w:vAlign w:val="center"/>
                </w:tcPr>
                <w:p>
                  <w:pPr>
                    <w:contextualSpacing/>
                    <w:jc w:val="center"/>
                    <w:rPr>
                      <w:szCs w:val="21"/>
                    </w:rPr>
                  </w:pPr>
                  <w:r>
                    <w:rPr>
                      <w:rFonts w:hint="eastAsia"/>
                      <w:szCs w:val="21"/>
                    </w:rPr>
                    <w:t>2</w:t>
                  </w:r>
                  <w:r>
                    <w:rPr>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09" w:type="pct"/>
                </w:tcPr>
                <w:p>
                  <w:pPr>
                    <w:pStyle w:val="101"/>
                    <w:spacing w:before="63"/>
                    <w:jc w:val="center"/>
                    <w:rPr>
                      <w:rFonts w:ascii="宋体" w:hAnsi="宋体" w:eastAsia="宋体" w:cs="宋体"/>
                      <w:sz w:val="21"/>
                    </w:rPr>
                  </w:pPr>
                  <w:r>
                    <w:rPr>
                      <w:rFonts w:hint="eastAsia"/>
                      <w:szCs w:val="21"/>
                    </w:rPr>
                    <w:t>不饱和树脂</w:t>
                  </w:r>
                </w:p>
              </w:tc>
              <w:tc>
                <w:tcPr>
                  <w:tcW w:w="893" w:type="pct"/>
                  <w:vAlign w:val="center"/>
                </w:tcPr>
                <w:p>
                  <w:pPr>
                    <w:widowControl/>
                    <w:jc w:val="center"/>
                    <w:textAlignment w:val="center"/>
                    <w:rPr>
                      <w:szCs w:val="21"/>
                    </w:rPr>
                  </w:pPr>
                  <w:r>
                    <w:rPr>
                      <w:rFonts w:hint="eastAsia"/>
                      <w:szCs w:val="21"/>
                    </w:rPr>
                    <w:t>2</w:t>
                  </w:r>
                  <w:r>
                    <w:rPr>
                      <w:szCs w:val="21"/>
                    </w:rPr>
                    <w:t>50</w:t>
                  </w:r>
                </w:p>
              </w:tc>
              <w:tc>
                <w:tcPr>
                  <w:tcW w:w="1683" w:type="pct"/>
                </w:tcPr>
                <w:p>
                  <w:pPr>
                    <w:contextualSpacing/>
                    <w:jc w:val="center"/>
                    <w:rPr>
                      <w:szCs w:val="21"/>
                    </w:rPr>
                  </w:pPr>
                  <w:r>
                    <w:rPr>
                      <w:rFonts w:hint="eastAsia"/>
                      <w:szCs w:val="21"/>
                    </w:rPr>
                    <w:t>纺织纱</w:t>
                  </w:r>
                </w:p>
              </w:tc>
              <w:tc>
                <w:tcPr>
                  <w:tcW w:w="815" w:type="pct"/>
                  <w:vAlign w:val="center"/>
                </w:tcPr>
                <w:p>
                  <w:pPr>
                    <w:contextualSpacing/>
                    <w:jc w:val="center"/>
                    <w:rPr>
                      <w:szCs w:val="21"/>
                    </w:rPr>
                  </w:pPr>
                  <w:r>
                    <w:rPr>
                      <w:rFonts w:hint="eastAsia"/>
                      <w:szCs w:val="21"/>
                    </w:rPr>
                    <w:t>2</w:t>
                  </w:r>
                  <w:r>
                    <w:rPr>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09" w:type="pct"/>
                </w:tcPr>
                <w:p>
                  <w:pPr>
                    <w:pStyle w:val="101"/>
                    <w:spacing w:before="63"/>
                    <w:jc w:val="center"/>
                    <w:rPr>
                      <w:rFonts w:ascii="宋体" w:hAnsi="宋体" w:eastAsia="宋体" w:cs="宋体"/>
                      <w:sz w:val="21"/>
                    </w:rPr>
                  </w:pPr>
                </w:p>
              </w:tc>
              <w:tc>
                <w:tcPr>
                  <w:tcW w:w="893" w:type="pct"/>
                  <w:vAlign w:val="center"/>
                </w:tcPr>
                <w:p>
                  <w:pPr>
                    <w:widowControl/>
                    <w:jc w:val="center"/>
                    <w:textAlignment w:val="center"/>
                    <w:rPr>
                      <w:szCs w:val="21"/>
                    </w:rPr>
                  </w:pPr>
                </w:p>
              </w:tc>
              <w:tc>
                <w:tcPr>
                  <w:tcW w:w="1683" w:type="pct"/>
                </w:tcPr>
                <w:p>
                  <w:pPr>
                    <w:contextualSpacing/>
                    <w:jc w:val="center"/>
                    <w:rPr>
                      <w:szCs w:val="21"/>
                    </w:rPr>
                  </w:pPr>
                  <w:r>
                    <w:rPr>
                      <w:rFonts w:hint="eastAsia"/>
                      <w:szCs w:val="21"/>
                    </w:rPr>
                    <w:t>玄武岩拉挤型材</w:t>
                  </w:r>
                </w:p>
              </w:tc>
              <w:tc>
                <w:tcPr>
                  <w:tcW w:w="815" w:type="pct"/>
                  <w:vAlign w:val="center"/>
                </w:tcPr>
                <w:p>
                  <w:pPr>
                    <w:contextualSpacing/>
                    <w:jc w:val="center"/>
                    <w:rPr>
                      <w:szCs w:val="21"/>
                    </w:rPr>
                  </w:pPr>
                  <w:r>
                    <w:rPr>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09" w:type="pct"/>
                </w:tcPr>
                <w:p>
                  <w:pPr>
                    <w:pStyle w:val="101"/>
                    <w:spacing w:before="63"/>
                    <w:jc w:val="center"/>
                    <w:rPr>
                      <w:rFonts w:ascii="宋体" w:hAnsi="宋体" w:eastAsia="宋体" w:cs="宋体"/>
                      <w:sz w:val="21"/>
                    </w:rPr>
                  </w:pPr>
                </w:p>
              </w:tc>
              <w:tc>
                <w:tcPr>
                  <w:tcW w:w="893" w:type="pct"/>
                  <w:vAlign w:val="center"/>
                </w:tcPr>
                <w:p>
                  <w:pPr>
                    <w:widowControl/>
                    <w:jc w:val="center"/>
                    <w:textAlignment w:val="center"/>
                    <w:rPr>
                      <w:szCs w:val="21"/>
                    </w:rPr>
                  </w:pPr>
                </w:p>
              </w:tc>
              <w:tc>
                <w:tcPr>
                  <w:tcW w:w="1683" w:type="pct"/>
                </w:tcPr>
                <w:p>
                  <w:pPr>
                    <w:contextualSpacing/>
                    <w:jc w:val="center"/>
                    <w:rPr>
                      <w:szCs w:val="21"/>
                    </w:rPr>
                  </w:pPr>
                  <w:r>
                    <w:rPr>
                      <w:rFonts w:hint="eastAsia"/>
                      <w:szCs w:val="21"/>
                    </w:rPr>
                    <w:t>排放粉尘</w:t>
                  </w:r>
                </w:p>
              </w:tc>
              <w:tc>
                <w:tcPr>
                  <w:tcW w:w="815" w:type="pct"/>
                  <w:vAlign w:val="center"/>
                </w:tcPr>
                <w:p>
                  <w:pPr>
                    <w:jc w:val="center"/>
                    <w:rPr>
                      <w:szCs w:val="21"/>
                    </w:rPr>
                  </w:pPr>
                  <w:r>
                    <w:rPr>
                      <w:rFonts w:hint="eastAsia"/>
                      <w:szCs w:val="21"/>
                    </w:rPr>
                    <w:t>0</w:t>
                  </w:r>
                  <w:r>
                    <w:rPr>
                      <w:szCs w:val="21"/>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09" w:type="pct"/>
                </w:tcPr>
                <w:p>
                  <w:pPr>
                    <w:pStyle w:val="101"/>
                    <w:spacing w:before="63"/>
                    <w:jc w:val="center"/>
                    <w:rPr>
                      <w:rFonts w:ascii="宋体" w:hAnsi="宋体" w:eastAsia="宋体" w:cs="宋体"/>
                      <w:sz w:val="21"/>
                    </w:rPr>
                  </w:pPr>
                </w:p>
              </w:tc>
              <w:tc>
                <w:tcPr>
                  <w:tcW w:w="893" w:type="pct"/>
                  <w:vAlign w:val="center"/>
                </w:tcPr>
                <w:p>
                  <w:pPr>
                    <w:widowControl/>
                    <w:jc w:val="center"/>
                    <w:textAlignment w:val="center"/>
                    <w:rPr>
                      <w:szCs w:val="21"/>
                    </w:rPr>
                  </w:pPr>
                </w:p>
              </w:tc>
              <w:tc>
                <w:tcPr>
                  <w:tcW w:w="1683" w:type="pct"/>
                </w:tcPr>
                <w:p>
                  <w:pPr>
                    <w:contextualSpacing/>
                    <w:jc w:val="center"/>
                    <w:rPr>
                      <w:szCs w:val="21"/>
                    </w:rPr>
                  </w:pPr>
                  <w:r>
                    <w:rPr>
                      <w:rFonts w:hint="eastAsia"/>
                      <w:szCs w:val="21"/>
                    </w:rPr>
                    <w:t>非甲烷总烃</w:t>
                  </w:r>
                </w:p>
              </w:tc>
              <w:tc>
                <w:tcPr>
                  <w:tcW w:w="815" w:type="pct"/>
                  <w:vAlign w:val="center"/>
                </w:tcPr>
                <w:p>
                  <w:pPr>
                    <w:jc w:val="center"/>
                    <w:rPr>
                      <w:szCs w:val="21"/>
                    </w:rPr>
                  </w:pPr>
                  <w:r>
                    <w:rPr>
                      <w:rFonts w:hint="eastAsia"/>
                      <w:szCs w:val="21"/>
                    </w:rPr>
                    <w:t>0.2675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09" w:type="pct"/>
                </w:tcPr>
                <w:p>
                  <w:pPr>
                    <w:pStyle w:val="101"/>
                    <w:spacing w:before="63"/>
                    <w:jc w:val="center"/>
                    <w:rPr>
                      <w:rFonts w:ascii="宋体" w:hAnsi="宋体" w:eastAsia="宋体" w:cs="宋体"/>
                      <w:sz w:val="21"/>
                    </w:rPr>
                  </w:pPr>
                </w:p>
              </w:tc>
              <w:tc>
                <w:tcPr>
                  <w:tcW w:w="893" w:type="pct"/>
                  <w:vAlign w:val="center"/>
                </w:tcPr>
                <w:p>
                  <w:pPr>
                    <w:widowControl/>
                    <w:jc w:val="center"/>
                    <w:textAlignment w:val="center"/>
                    <w:rPr>
                      <w:szCs w:val="21"/>
                    </w:rPr>
                  </w:pPr>
                </w:p>
              </w:tc>
              <w:tc>
                <w:tcPr>
                  <w:tcW w:w="1683" w:type="pct"/>
                </w:tcPr>
                <w:p>
                  <w:pPr>
                    <w:contextualSpacing/>
                    <w:jc w:val="center"/>
                    <w:rPr>
                      <w:szCs w:val="21"/>
                    </w:rPr>
                  </w:pPr>
                  <w:r>
                    <w:rPr>
                      <w:rFonts w:hint="eastAsia" w:ascii="宋体" w:hAnsi="宋体" w:cs="宋体"/>
                    </w:rPr>
                    <w:t>除尘灰</w:t>
                  </w:r>
                </w:p>
              </w:tc>
              <w:tc>
                <w:tcPr>
                  <w:tcW w:w="815" w:type="pct"/>
                  <w:vAlign w:val="center"/>
                </w:tcPr>
                <w:p>
                  <w:pPr>
                    <w:jc w:val="center"/>
                    <w:rPr>
                      <w:szCs w:val="21"/>
                    </w:rPr>
                  </w:pPr>
                  <w:r>
                    <w:rPr>
                      <w:rFonts w:hint="eastAsia"/>
                      <w:szCs w:val="21"/>
                    </w:rPr>
                    <w:t>6</w:t>
                  </w:r>
                  <w:r>
                    <w:rPr>
                      <w:szCs w:val="21"/>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09" w:type="pct"/>
                </w:tcPr>
                <w:p>
                  <w:pPr>
                    <w:pStyle w:val="101"/>
                    <w:spacing w:before="63"/>
                    <w:jc w:val="center"/>
                    <w:rPr>
                      <w:rFonts w:ascii="宋体" w:hAnsi="宋体" w:eastAsia="宋体" w:cs="宋体"/>
                      <w:sz w:val="21"/>
                    </w:rPr>
                  </w:pPr>
                </w:p>
              </w:tc>
              <w:tc>
                <w:tcPr>
                  <w:tcW w:w="893" w:type="pct"/>
                  <w:vAlign w:val="center"/>
                </w:tcPr>
                <w:p>
                  <w:pPr>
                    <w:widowControl/>
                    <w:jc w:val="center"/>
                    <w:textAlignment w:val="center"/>
                    <w:rPr>
                      <w:szCs w:val="21"/>
                    </w:rPr>
                  </w:pPr>
                </w:p>
              </w:tc>
              <w:tc>
                <w:tcPr>
                  <w:tcW w:w="1683" w:type="pct"/>
                </w:tcPr>
                <w:p>
                  <w:pPr>
                    <w:contextualSpacing/>
                    <w:jc w:val="center"/>
                    <w:rPr>
                      <w:rFonts w:ascii="宋体" w:hAnsi="宋体" w:cs="宋体"/>
                    </w:rPr>
                  </w:pPr>
                  <w:r>
                    <w:rPr>
                      <w:rFonts w:hint="eastAsia"/>
                      <w:szCs w:val="21"/>
                    </w:rPr>
                    <w:t>废丝及不合格成品</w:t>
                  </w:r>
                </w:p>
              </w:tc>
              <w:tc>
                <w:tcPr>
                  <w:tcW w:w="815" w:type="pct"/>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09" w:type="pct"/>
                </w:tcPr>
                <w:p>
                  <w:pPr>
                    <w:pStyle w:val="101"/>
                    <w:spacing w:before="63"/>
                    <w:jc w:val="center"/>
                    <w:rPr>
                      <w:rFonts w:ascii="宋体" w:hAnsi="宋体" w:eastAsia="宋体" w:cs="宋体"/>
                      <w:sz w:val="21"/>
                    </w:rPr>
                  </w:pPr>
                </w:p>
              </w:tc>
              <w:tc>
                <w:tcPr>
                  <w:tcW w:w="893" w:type="pct"/>
                  <w:vAlign w:val="center"/>
                </w:tcPr>
                <w:p>
                  <w:pPr>
                    <w:pStyle w:val="104"/>
                  </w:pPr>
                  <w:r>
                    <w:t>15009.6695</w:t>
                  </w:r>
                </w:p>
              </w:tc>
              <w:tc>
                <w:tcPr>
                  <w:tcW w:w="1683" w:type="pct"/>
                  <w:vAlign w:val="center"/>
                </w:tcPr>
                <w:p>
                  <w:pPr>
                    <w:pStyle w:val="104"/>
                    <w:rPr>
                      <w:b/>
                    </w:rPr>
                  </w:pPr>
                  <w:r>
                    <w:rPr>
                      <w:b/>
                    </w:rPr>
                    <w:t>合计</w:t>
                  </w:r>
                </w:p>
              </w:tc>
              <w:tc>
                <w:tcPr>
                  <w:tcW w:w="815" w:type="pct"/>
                  <w:vAlign w:val="center"/>
                </w:tcPr>
                <w:p>
                  <w:pPr>
                    <w:pStyle w:val="104"/>
                  </w:pPr>
                  <w:r>
                    <w:t>15009.6695</w:t>
                  </w:r>
                </w:p>
              </w:tc>
            </w:tr>
          </w:tbl>
          <w:p>
            <w:pPr>
              <w:pStyle w:val="17"/>
              <w:numPr>
                <w:ilvl w:val="0"/>
                <w:numId w:val="0"/>
              </w:numPr>
            </w:pPr>
          </w:p>
          <w:p>
            <w:pPr>
              <w:spacing w:line="360" w:lineRule="auto"/>
              <w:ind w:firstLine="482" w:firstLineChars="200"/>
              <w:rPr>
                <w:b/>
                <w:bCs/>
                <w:sz w:val="24"/>
              </w:rPr>
            </w:pPr>
            <w:r>
              <w:rPr>
                <w:rFonts w:hint="eastAsia"/>
                <w:b/>
                <w:bCs/>
                <w:sz w:val="24"/>
              </w:rPr>
              <w:t>6、</w:t>
            </w:r>
            <w:r>
              <w:rPr>
                <w:b/>
                <w:bCs/>
                <w:sz w:val="24"/>
              </w:rPr>
              <w:t>总平面布置</w:t>
            </w:r>
          </w:p>
          <w:p>
            <w:pPr>
              <w:spacing w:line="360" w:lineRule="auto"/>
              <w:ind w:firstLine="480" w:firstLineChars="200"/>
              <w:rPr>
                <w:sz w:val="24"/>
              </w:rPr>
            </w:pPr>
            <w:r>
              <w:rPr>
                <w:rFonts w:hint="eastAsia"/>
                <w:sz w:val="24"/>
              </w:rPr>
              <w:t>项目厂区为生产区和办公生活区，办公生活区位于厂区北侧，主要为综合楼，生产区位于厂区南侧，由北向南依次布置生产设备辅助用房、成品库房、络纱车间、拉挤型材车间、拉丝车间及原料库房等，在厂区北侧和东南侧各设一个出入口。项目总平面布置图见附图3。</w:t>
            </w:r>
          </w:p>
          <w:p>
            <w:pPr>
              <w:spacing w:line="360" w:lineRule="auto"/>
              <w:ind w:firstLine="482" w:firstLineChars="200"/>
              <w:rPr>
                <w:b/>
                <w:bCs/>
                <w:sz w:val="24"/>
              </w:rPr>
            </w:pPr>
            <w:r>
              <w:rPr>
                <w:rFonts w:hint="eastAsia"/>
                <w:b/>
                <w:bCs/>
                <w:sz w:val="24"/>
              </w:rPr>
              <w:t>7、</w:t>
            </w:r>
            <w:r>
              <w:rPr>
                <w:b/>
                <w:bCs/>
                <w:sz w:val="24"/>
              </w:rPr>
              <w:t>公用工程</w:t>
            </w:r>
          </w:p>
          <w:p>
            <w:pPr>
              <w:tabs>
                <w:tab w:val="left" w:pos="397"/>
                <w:tab w:val="left" w:pos="975"/>
              </w:tabs>
              <w:spacing w:line="360" w:lineRule="auto"/>
              <w:ind w:firstLine="480" w:firstLineChars="200"/>
              <w:rPr>
                <w:sz w:val="24"/>
                <w:lang w:val="zh-CN"/>
              </w:rPr>
            </w:pPr>
            <w:r>
              <w:rPr>
                <w:rFonts w:hint="eastAsia"/>
                <w:sz w:val="24"/>
                <w:lang w:val="zh-CN"/>
              </w:rPr>
              <w:t>（1）给排水</w:t>
            </w:r>
          </w:p>
          <w:p>
            <w:pPr>
              <w:tabs>
                <w:tab w:val="left" w:pos="397"/>
                <w:tab w:val="left" w:pos="975"/>
              </w:tabs>
              <w:spacing w:line="360" w:lineRule="auto"/>
              <w:ind w:firstLine="480" w:firstLineChars="200"/>
              <w:rPr>
                <w:sz w:val="24"/>
                <w:lang w:val="zh-CN"/>
              </w:rPr>
            </w:pPr>
            <w:r>
              <w:rPr>
                <w:rFonts w:hint="eastAsia"/>
                <w:sz w:val="24"/>
                <w:lang w:val="zh-CN"/>
              </w:rPr>
              <w:t>项目用水由</w:t>
            </w:r>
            <w:r>
              <w:rPr>
                <w:rFonts w:hint="eastAsia"/>
                <w:sz w:val="24"/>
              </w:rPr>
              <w:t>园区</w:t>
            </w:r>
            <w:r>
              <w:rPr>
                <w:rFonts w:hint="eastAsia"/>
                <w:sz w:val="24"/>
                <w:lang w:val="zh-CN"/>
              </w:rPr>
              <w:t>自来水管道提供，</w:t>
            </w:r>
            <w:r>
              <w:rPr>
                <w:sz w:val="24"/>
              </w:rPr>
              <w:t>项目</w:t>
            </w:r>
            <w:r>
              <w:rPr>
                <w:rFonts w:hint="eastAsia"/>
                <w:sz w:val="24"/>
              </w:rPr>
              <w:t>无生产用水，</w:t>
            </w:r>
            <w:r>
              <w:rPr>
                <w:sz w:val="24"/>
              </w:rPr>
              <w:t>用水主要为生活用水</w:t>
            </w:r>
            <w:r>
              <w:rPr>
                <w:rFonts w:hint="eastAsia"/>
                <w:sz w:val="24"/>
              </w:rPr>
              <w:t>、设备冷却用水、道路洒水剂绿化用水</w:t>
            </w:r>
            <w:r>
              <w:rPr>
                <w:rFonts w:hint="eastAsia"/>
                <w:sz w:val="24"/>
                <w:lang w:val="zh-CN"/>
              </w:rPr>
              <w:t>。</w:t>
            </w:r>
          </w:p>
          <w:p>
            <w:pPr>
              <w:spacing w:line="360" w:lineRule="auto"/>
              <w:ind w:firstLine="480" w:firstLineChars="200"/>
              <w:rPr>
                <w:sz w:val="24"/>
              </w:rPr>
            </w:pPr>
            <w:r>
              <w:rPr>
                <w:bCs/>
                <w:sz w:val="24"/>
              </w:rPr>
              <w:t>生活用水</w:t>
            </w:r>
            <w:r>
              <w:rPr>
                <w:rFonts w:hint="eastAsia"/>
                <w:bCs/>
                <w:sz w:val="24"/>
              </w:rPr>
              <w:t>：</w:t>
            </w:r>
            <w:r>
              <w:rPr>
                <w:sz w:val="24"/>
              </w:rPr>
              <w:t>项目职工定员30</w:t>
            </w:r>
            <w:r>
              <w:rPr>
                <w:rFonts w:hint="eastAsia"/>
                <w:sz w:val="24"/>
              </w:rPr>
              <w:t>0</w:t>
            </w:r>
            <w:r>
              <w:rPr>
                <w:sz w:val="24"/>
              </w:rPr>
              <w:t>人，生产天数33</w:t>
            </w:r>
            <w:r>
              <w:rPr>
                <w:rFonts w:hint="eastAsia"/>
                <w:sz w:val="24"/>
              </w:rPr>
              <w:t>0</w:t>
            </w:r>
            <w:r>
              <w:rPr>
                <w:sz w:val="24"/>
              </w:rPr>
              <w:t>天，根据《</w:t>
            </w:r>
            <w:r>
              <w:rPr>
                <w:rFonts w:hint="eastAsia"/>
                <w:sz w:val="24"/>
              </w:rPr>
              <w:t>陕西省行业用水定额</w:t>
            </w:r>
            <w:r>
              <w:rPr>
                <w:sz w:val="24"/>
              </w:rPr>
              <w:t>》（</w:t>
            </w:r>
            <w:r>
              <w:rPr>
                <w:rFonts w:hint="eastAsia"/>
                <w:sz w:val="24"/>
              </w:rPr>
              <w:t>DB61/T 943</w:t>
            </w:r>
            <w:r>
              <w:rPr>
                <w:sz w:val="24"/>
              </w:rPr>
              <w:t>-20</w:t>
            </w:r>
            <w:r>
              <w:rPr>
                <w:rFonts w:hint="eastAsia"/>
                <w:sz w:val="24"/>
              </w:rPr>
              <w:t>20</w:t>
            </w:r>
            <w:r>
              <w:rPr>
                <w:sz w:val="24"/>
              </w:rPr>
              <w:t>）</w:t>
            </w:r>
            <w:r>
              <w:rPr>
                <w:rFonts w:hint="eastAsia"/>
                <w:sz w:val="24"/>
              </w:rPr>
              <w:t>，</w:t>
            </w:r>
            <w:r>
              <w:rPr>
                <w:sz w:val="24"/>
              </w:rPr>
              <w:t>员工用水定额为每人每天用水量65L计算，日用水量为19.5m</w:t>
            </w:r>
            <w:r>
              <w:rPr>
                <w:sz w:val="24"/>
                <w:vertAlign w:val="superscript"/>
              </w:rPr>
              <w:t>3</w:t>
            </w:r>
            <w:r>
              <w:rPr>
                <w:sz w:val="24"/>
              </w:rPr>
              <w:t>/d，生活污水产生量按用水量的80%计，</w:t>
            </w:r>
            <w:r>
              <w:rPr>
                <w:rFonts w:hint="eastAsia"/>
                <w:sz w:val="24"/>
              </w:rPr>
              <w:t>生活污水产生量</w:t>
            </w:r>
            <w:r>
              <w:rPr>
                <w:sz w:val="24"/>
              </w:rPr>
              <w:t>为15.6m</w:t>
            </w:r>
            <w:r>
              <w:rPr>
                <w:sz w:val="24"/>
                <w:vertAlign w:val="superscript"/>
              </w:rPr>
              <w:t>3</w:t>
            </w:r>
            <w:r>
              <w:rPr>
                <w:sz w:val="24"/>
              </w:rPr>
              <w:t>/d</w:t>
            </w:r>
            <w:r>
              <w:rPr>
                <w:rFonts w:hint="eastAsia"/>
                <w:sz w:val="24"/>
              </w:rPr>
              <w:t>。</w:t>
            </w:r>
          </w:p>
          <w:p>
            <w:pPr>
              <w:spacing w:line="360" w:lineRule="auto"/>
              <w:ind w:firstLine="480" w:firstLineChars="200"/>
              <w:rPr>
                <w:rFonts w:eastAsia="Times New Roman"/>
                <w:spacing w:val="-6"/>
                <w:sz w:val="24"/>
              </w:rPr>
            </w:pPr>
            <w:r>
              <w:rPr>
                <w:rFonts w:hint="eastAsia"/>
                <w:sz w:val="24"/>
              </w:rPr>
              <w:t>设备冷却用水：</w:t>
            </w:r>
            <w:r>
              <w:rPr>
                <w:spacing w:val="-2"/>
                <w:sz w:val="24"/>
              </w:rPr>
              <w:t>项目玄武岩拉丝工艺冷却采用循环供水系统，</w:t>
            </w:r>
            <w:r>
              <w:rPr>
                <w:spacing w:val="-3"/>
                <w:sz w:val="24"/>
              </w:rPr>
              <w:t>升温后的冷却水流到冷却塔</w:t>
            </w:r>
            <w:r>
              <w:rPr>
                <w:rFonts w:hint="eastAsia"/>
                <w:spacing w:val="-3"/>
                <w:sz w:val="24"/>
              </w:rPr>
              <w:t>冷却</w:t>
            </w:r>
            <w:r>
              <w:rPr>
                <w:spacing w:val="-3"/>
                <w:sz w:val="24"/>
              </w:rPr>
              <w:t>后排入循环水池，循环使用。项</w:t>
            </w:r>
            <w:r>
              <w:rPr>
                <w:spacing w:val="-7"/>
                <w:sz w:val="24"/>
              </w:rPr>
              <w:t>目循环冷却水系统水量约为</w:t>
            </w:r>
            <w:r>
              <w:rPr>
                <w:rFonts w:eastAsia="Times New Roman"/>
                <w:spacing w:val="-8"/>
                <w:sz w:val="24"/>
              </w:rPr>
              <w:t>200m</w:t>
            </w:r>
            <w:r>
              <w:rPr>
                <w:sz w:val="24"/>
                <w:vertAlign w:val="superscript"/>
              </w:rPr>
              <w:t>3</w:t>
            </w:r>
            <w:r>
              <w:rPr>
                <w:rFonts w:eastAsia="Times New Roman"/>
                <w:spacing w:val="-6"/>
                <w:sz w:val="24"/>
              </w:rPr>
              <w:t>/d</w:t>
            </w:r>
            <w:r>
              <w:rPr>
                <w:spacing w:val="-7"/>
                <w:sz w:val="24"/>
              </w:rPr>
              <w:t>，每天仅补充损耗的水量约</w:t>
            </w:r>
            <w:r>
              <w:rPr>
                <w:rFonts w:eastAsia="Times New Roman"/>
                <w:spacing w:val="-6"/>
                <w:sz w:val="24"/>
              </w:rPr>
              <w:t>20m</w:t>
            </w:r>
            <w:r>
              <w:rPr>
                <w:sz w:val="24"/>
                <w:vertAlign w:val="superscript"/>
              </w:rPr>
              <w:t>3</w:t>
            </w:r>
            <w:r>
              <w:rPr>
                <w:rFonts w:eastAsia="Times New Roman"/>
                <w:spacing w:val="-6"/>
                <w:sz w:val="24"/>
              </w:rPr>
              <w:t>/d。</w:t>
            </w:r>
          </w:p>
          <w:p>
            <w:pPr>
              <w:spacing w:line="360" w:lineRule="auto"/>
              <w:ind w:firstLine="480" w:firstLineChars="200"/>
              <w:rPr>
                <w:b/>
                <w:sz w:val="24"/>
              </w:rPr>
            </w:pPr>
            <w:r>
              <w:rPr>
                <w:sz w:val="24"/>
              </w:rPr>
              <w:t>浸润剂稀释用水：</w:t>
            </w:r>
            <w:r>
              <w:rPr>
                <w:rFonts w:hint="eastAsia"/>
                <w:sz w:val="24"/>
              </w:rPr>
              <w:t>项目外购成品浸润剂，</w:t>
            </w:r>
            <w:r>
              <w:rPr>
                <w:sz w:val="24"/>
              </w:rPr>
              <w:t>每1kg浸润剂水溶液配置比例为1%的浸润剂和99%的自来水，本项目玄武岩纤维原丝用浸润剂水溶液进行浸润，每吨玄武岩纤维原丝用浸润剂水溶液约0.3吨，</w:t>
            </w:r>
            <w:r>
              <w:rPr>
                <w:rFonts w:hint="eastAsia"/>
                <w:sz w:val="24"/>
              </w:rPr>
              <w:t>本项目玄武岩纤维原丝产出量为</w:t>
            </w:r>
            <w:r>
              <w:rPr>
                <w:sz w:val="24"/>
              </w:rPr>
              <w:t>15</w:t>
            </w:r>
            <w:r>
              <w:rPr>
                <w:rFonts w:hint="eastAsia"/>
                <w:sz w:val="24"/>
              </w:rPr>
              <w:t>000吨，则浸润剂水溶液量为</w:t>
            </w:r>
            <w:r>
              <w:rPr>
                <w:sz w:val="24"/>
              </w:rPr>
              <w:t>4</w:t>
            </w:r>
            <w:r>
              <w:rPr>
                <w:rFonts w:hint="eastAsia"/>
                <w:sz w:val="24"/>
              </w:rPr>
              <w:t>50</w:t>
            </w:r>
            <w:r>
              <w:rPr>
                <w:sz w:val="24"/>
              </w:rPr>
              <w:t>0</w:t>
            </w:r>
            <w:r>
              <w:rPr>
                <w:rFonts w:hint="eastAsia"/>
                <w:sz w:val="24"/>
              </w:rPr>
              <w:t>t/a，故浸润剂量为</w:t>
            </w:r>
            <w:r>
              <w:rPr>
                <w:sz w:val="24"/>
              </w:rPr>
              <w:t>4</w:t>
            </w:r>
            <w:r>
              <w:rPr>
                <w:rFonts w:hint="eastAsia"/>
                <w:sz w:val="24"/>
              </w:rPr>
              <w:t>5t/a，自来水用量为4</w:t>
            </w:r>
            <w:r>
              <w:rPr>
                <w:sz w:val="24"/>
              </w:rPr>
              <w:t>455t/a，</w:t>
            </w:r>
            <w:r>
              <w:rPr>
                <w:rFonts w:hint="eastAsia"/>
                <w:sz w:val="24"/>
              </w:rPr>
              <w:t>1</w:t>
            </w:r>
            <w:r>
              <w:rPr>
                <w:sz w:val="24"/>
              </w:rPr>
              <w:t>3.5m</w:t>
            </w:r>
            <w:r>
              <w:rPr>
                <w:sz w:val="24"/>
                <w:vertAlign w:val="superscript"/>
              </w:rPr>
              <w:t>3</w:t>
            </w:r>
            <w:r>
              <w:rPr>
                <w:sz w:val="24"/>
              </w:rPr>
              <w:t>/d</w:t>
            </w:r>
            <w:r>
              <w:rPr>
                <w:rFonts w:hint="eastAsia"/>
                <w:sz w:val="24"/>
              </w:rPr>
              <w:t>。</w:t>
            </w:r>
          </w:p>
          <w:p>
            <w:pPr>
              <w:spacing w:line="360" w:lineRule="auto"/>
              <w:ind w:firstLine="480" w:firstLineChars="200"/>
              <w:rPr>
                <w:bCs/>
                <w:sz w:val="24"/>
              </w:rPr>
            </w:pPr>
            <w:r>
              <w:rPr>
                <w:rFonts w:hint="eastAsia"/>
                <w:bCs/>
                <w:sz w:val="24"/>
              </w:rPr>
              <w:t>道路洒水：</w:t>
            </w:r>
            <w:r>
              <w:rPr>
                <w:rFonts w:hint="eastAsia"/>
                <w:sz w:val="24"/>
              </w:rPr>
              <w:t>项目厂内运输面积为</w:t>
            </w:r>
            <w:r>
              <w:rPr>
                <w:rFonts w:eastAsia="楷体_GB2312"/>
                <w:sz w:val="24"/>
              </w:rPr>
              <w:t>2</w:t>
            </w:r>
            <w:r>
              <w:rPr>
                <w:rFonts w:hint="eastAsia" w:eastAsia="楷体_GB2312"/>
                <w:sz w:val="24"/>
              </w:rPr>
              <w:t>000m</w:t>
            </w:r>
            <w:r>
              <w:rPr>
                <w:rFonts w:hint="eastAsia" w:eastAsia="楷体_GB2312"/>
                <w:sz w:val="24"/>
                <w:vertAlign w:val="superscript"/>
              </w:rPr>
              <w:t>2</w:t>
            </w:r>
            <w:r>
              <w:rPr>
                <w:rFonts w:hint="eastAsia"/>
                <w:sz w:val="24"/>
              </w:rPr>
              <w:t>，道路洒水用水按2.0L/（m</w:t>
            </w:r>
            <w:r>
              <w:rPr>
                <w:rFonts w:hint="eastAsia"/>
                <w:sz w:val="24"/>
                <w:vertAlign w:val="superscript"/>
              </w:rPr>
              <w:t>2</w:t>
            </w:r>
            <w:r>
              <w:rPr>
                <w:sz w:val="24"/>
              </w:rPr>
              <w:t>·</w:t>
            </w:r>
            <w:r>
              <w:rPr>
                <w:rFonts w:hint="eastAsia"/>
                <w:sz w:val="24"/>
              </w:rPr>
              <w:t>d）计，则用水量为</w:t>
            </w:r>
            <w:r>
              <w:rPr>
                <w:sz w:val="24"/>
              </w:rPr>
              <w:t>4m</w:t>
            </w:r>
            <w:r>
              <w:rPr>
                <w:sz w:val="24"/>
                <w:vertAlign w:val="superscript"/>
              </w:rPr>
              <w:t>3</w:t>
            </w:r>
            <w:r>
              <w:rPr>
                <w:sz w:val="24"/>
              </w:rPr>
              <w:t>/d</w:t>
            </w:r>
            <w:r>
              <w:rPr>
                <w:rFonts w:hint="eastAsia"/>
                <w:sz w:val="24"/>
              </w:rPr>
              <w:t>。</w:t>
            </w:r>
          </w:p>
          <w:p>
            <w:pPr>
              <w:spacing w:line="360" w:lineRule="auto"/>
              <w:ind w:firstLine="480" w:firstLineChars="200"/>
              <w:rPr>
                <w:sz w:val="24"/>
              </w:rPr>
            </w:pPr>
            <w:r>
              <w:rPr>
                <w:rFonts w:hint="eastAsia"/>
                <w:bCs/>
                <w:sz w:val="24"/>
              </w:rPr>
              <w:t>绿化</w:t>
            </w:r>
            <w:r>
              <w:rPr>
                <w:bCs/>
                <w:sz w:val="24"/>
              </w:rPr>
              <w:t>用水</w:t>
            </w:r>
            <w:r>
              <w:rPr>
                <w:rFonts w:hint="eastAsia"/>
                <w:bCs/>
                <w:sz w:val="24"/>
              </w:rPr>
              <w:t>：</w:t>
            </w:r>
            <w:r>
              <w:rPr>
                <w:rFonts w:hint="eastAsia"/>
                <w:sz w:val="24"/>
              </w:rPr>
              <w:t>项目绿化面积为</w:t>
            </w:r>
            <w:r>
              <w:rPr>
                <w:rFonts w:eastAsia="楷体_GB2312"/>
                <w:sz w:val="24"/>
              </w:rPr>
              <w:t>6</w:t>
            </w:r>
            <w:r>
              <w:rPr>
                <w:rFonts w:hint="eastAsia" w:eastAsia="楷体_GB2312"/>
                <w:sz w:val="24"/>
              </w:rPr>
              <w:t>000m</w:t>
            </w:r>
            <w:r>
              <w:rPr>
                <w:rFonts w:hint="eastAsia" w:eastAsia="楷体_GB2312"/>
                <w:sz w:val="24"/>
                <w:vertAlign w:val="superscript"/>
              </w:rPr>
              <w:t>2</w:t>
            </w:r>
            <w:r>
              <w:rPr>
                <w:rFonts w:hint="eastAsia"/>
                <w:sz w:val="24"/>
              </w:rPr>
              <w:t>，绿化用水按2.0L/（m</w:t>
            </w:r>
            <w:r>
              <w:rPr>
                <w:rFonts w:hint="eastAsia"/>
                <w:sz w:val="24"/>
                <w:vertAlign w:val="superscript"/>
              </w:rPr>
              <w:t>2</w:t>
            </w:r>
            <w:r>
              <w:rPr>
                <w:sz w:val="24"/>
              </w:rPr>
              <w:t>·</w:t>
            </w:r>
            <w:r>
              <w:rPr>
                <w:rFonts w:hint="eastAsia"/>
                <w:sz w:val="24"/>
              </w:rPr>
              <w:t>d）计，则用水量为</w:t>
            </w:r>
            <w:r>
              <w:rPr>
                <w:sz w:val="24"/>
              </w:rPr>
              <w:t>12m</w:t>
            </w:r>
            <w:r>
              <w:rPr>
                <w:sz w:val="24"/>
                <w:vertAlign w:val="superscript"/>
              </w:rPr>
              <w:t>3</w:t>
            </w:r>
            <w:r>
              <w:rPr>
                <w:sz w:val="24"/>
              </w:rPr>
              <w:t>/d</w:t>
            </w:r>
            <w:r>
              <w:rPr>
                <w:rFonts w:hint="eastAsia"/>
                <w:sz w:val="24"/>
              </w:rPr>
              <w:t>。</w:t>
            </w:r>
          </w:p>
          <w:p>
            <w:pPr>
              <w:spacing w:line="360" w:lineRule="auto"/>
              <w:ind w:firstLine="480" w:firstLineChars="200"/>
              <w:rPr>
                <w:sz w:val="24"/>
              </w:rPr>
            </w:pPr>
            <w:r>
              <w:rPr>
                <w:rFonts w:hint="eastAsia"/>
                <w:sz w:val="24"/>
              </w:rPr>
              <w:t>项目无生产废水，冷却排水和生活污水采用化粪池处理，经园区污水管网排入园区污水处理厂处理达标后排放。</w:t>
            </w:r>
          </w:p>
          <w:p>
            <w:pPr>
              <w:spacing w:line="360" w:lineRule="auto"/>
              <w:ind w:firstLine="480" w:firstLineChars="200"/>
              <w:rPr>
                <w:sz w:val="24"/>
              </w:rPr>
            </w:pPr>
            <w:r>
              <w:rPr>
                <w:rFonts w:hint="eastAsia"/>
                <w:sz w:val="24"/>
              </w:rPr>
              <w:t>项目用排水情况见表2-</w:t>
            </w:r>
            <w:r>
              <w:rPr>
                <w:sz w:val="24"/>
              </w:rPr>
              <w:t>7</w:t>
            </w:r>
            <w:r>
              <w:rPr>
                <w:rFonts w:hint="eastAsia"/>
                <w:sz w:val="24"/>
              </w:rPr>
              <w:t>、水平衡见图2-1。</w:t>
            </w:r>
          </w:p>
          <w:p>
            <w:pPr>
              <w:snapToGrid w:val="0"/>
              <w:jc w:val="center"/>
              <w:rPr>
                <w:szCs w:val="21"/>
              </w:rPr>
            </w:pPr>
            <w:r>
              <w:rPr>
                <w:rFonts w:hint="eastAsia"/>
              </w:rPr>
              <w:t>表2-</w:t>
            </w:r>
            <w:r>
              <w:t>7</w:t>
            </w:r>
            <w:r>
              <w:rPr>
                <w:rFonts w:hint="eastAsia"/>
              </w:rPr>
              <w:t xml:space="preserve">        项目用排水情况表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9"/>
              <w:gridCol w:w="999"/>
              <w:gridCol w:w="789"/>
              <w:gridCol w:w="1137"/>
              <w:gridCol w:w="1137"/>
              <w:gridCol w:w="876"/>
              <w:gridCol w:w="876"/>
              <w:gridCol w:w="98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74" w:type="pct"/>
                  <w:tcBorders>
                    <w:top w:val="single" w:color="auto" w:sz="4" w:space="0"/>
                    <w:left w:val="single" w:color="auto" w:sz="4" w:space="0"/>
                    <w:bottom w:val="single" w:color="auto" w:sz="4" w:space="0"/>
                    <w:right w:val="single" w:color="auto" w:sz="4" w:space="0"/>
                  </w:tcBorders>
                  <w:vAlign w:val="center"/>
                </w:tcPr>
                <w:p>
                  <w:pPr>
                    <w:widowControl/>
                    <w:snapToGrid w:val="0"/>
                    <w:jc w:val="center"/>
                  </w:pPr>
                  <w:r>
                    <w:t>类别</w:t>
                  </w:r>
                </w:p>
              </w:tc>
              <w:tc>
                <w:tcPr>
                  <w:tcW w:w="594" w:type="pct"/>
                  <w:tcBorders>
                    <w:top w:val="single" w:color="auto" w:sz="4" w:space="0"/>
                    <w:left w:val="single" w:color="auto" w:sz="4" w:space="0"/>
                    <w:bottom w:val="single" w:color="auto" w:sz="4" w:space="0"/>
                    <w:right w:val="single" w:color="auto" w:sz="4" w:space="0"/>
                  </w:tcBorders>
                  <w:vAlign w:val="center"/>
                </w:tcPr>
                <w:p>
                  <w:pPr>
                    <w:widowControl/>
                    <w:snapToGrid w:val="0"/>
                    <w:jc w:val="center"/>
                  </w:pPr>
                  <w:r>
                    <w:t>用水定额</w:t>
                  </w:r>
                </w:p>
              </w:tc>
              <w:tc>
                <w:tcPr>
                  <w:tcW w:w="469" w:type="pct"/>
                  <w:tcBorders>
                    <w:top w:val="single" w:color="auto" w:sz="4" w:space="0"/>
                    <w:left w:val="single" w:color="auto" w:sz="4" w:space="0"/>
                    <w:bottom w:val="single" w:color="auto" w:sz="4" w:space="0"/>
                    <w:right w:val="single" w:color="auto" w:sz="4" w:space="0"/>
                  </w:tcBorders>
                  <w:vAlign w:val="center"/>
                </w:tcPr>
                <w:p>
                  <w:pPr>
                    <w:widowControl/>
                    <w:snapToGrid w:val="0"/>
                    <w:jc w:val="center"/>
                  </w:pPr>
                  <w:r>
                    <w:t>参数</w:t>
                  </w:r>
                </w:p>
              </w:tc>
              <w:tc>
                <w:tcPr>
                  <w:tcW w:w="676" w:type="pct"/>
                  <w:tcBorders>
                    <w:top w:val="single" w:color="auto" w:sz="4" w:space="0"/>
                    <w:left w:val="single" w:color="auto" w:sz="4" w:space="0"/>
                    <w:bottom w:val="single" w:color="auto" w:sz="4" w:space="0"/>
                    <w:right w:val="single" w:color="auto" w:sz="4" w:space="0"/>
                  </w:tcBorders>
                  <w:vAlign w:val="center"/>
                </w:tcPr>
                <w:p>
                  <w:pPr>
                    <w:widowControl/>
                    <w:snapToGrid w:val="0"/>
                    <w:jc w:val="center"/>
                  </w:pPr>
                  <w:r>
                    <w:t>总用水量(m</w:t>
                  </w:r>
                  <w:r>
                    <w:rPr>
                      <w:vertAlign w:val="superscript"/>
                    </w:rPr>
                    <w:t>3</w:t>
                  </w:r>
                  <w:r>
                    <w:t>/d)</w:t>
                  </w:r>
                </w:p>
              </w:tc>
              <w:tc>
                <w:tcPr>
                  <w:tcW w:w="676" w:type="pct"/>
                  <w:tcBorders>
                    <w:top w:val="single" w:color="auto" w:sz="4" w:space="0"/>
                    <w:left w:val="single" w:color="auto" w:sz="4" w:space="0"/>
                    <w:bottom w:val="single" w:color="auto" w:sz="4" w:space="0"/>
                    <w:right w:val="single" w:color="auto" w:sz="4" w:space="0"/>
                  </w:tcBorders>
                </w:tcPr>
                <w:p>
                  <w:pPr>
                    <w:widowControl/>
                    <w:snapToGrid w:val="0"/>
                    <w:jc w:val="center"/>
                  </w:pPr>
                  <w:r>
                    <w:t>新鲜水量(m</w:t>
                  </w:r>
                  <w:r>
                    <w:rPr>
                      <w:vertAlign w:val="superscript"/>
                    </w:rPr>
                    <w:t>3</w:t>
                  </w:r>
                  <w:r>
                    <w:t>/d)</w:t>
                  </w:r>
                </w:p>
              </w:tc>
              <w:tc>
                <w:tcPr>
                  <w:tcW w:w="521" w:type="pct"/>
                  <w:tcBorders>
                    <w:top w:val="single" w:color="auto" w:sz="4" w:space="0"/>
                    <w:left w:val="single" w:color="auto" w:sz="4" w:space="0"/>
                    <w:bottom w:val="single" w:color="auto" w:sz="4" w:space="0"/>
                    <w:right w:val="single" w:color="auto" w:sz="4" w:space="0"/>
                  </w:tcBorders>
                </w:tcPr>
                <w:p>
                  <w:pPr>
                    <w:snapToGrid w:val="0"/>
                    <w:jc w:val="center"/>
                  </w:pPr>
                  <w:r>
                    <w:t>重复用水量(m</w:t>
                  </w:r>
                  <w:r>
                    <w:rPr>
                      <w:vertAlign w:val="superscript"/>
                    </w:rPr>
                    <w:t>3</w:t>
                  </w:r>
                  <w:r>
                    <w:t>/d)</w:t>
                  </w:r>
                </w:p>
              </w:tc>
              <w:tc>
                <w:tcPr>
                  <w:tcW w:w="521" w:type="pct"/>
                  <w:tcBorders>
                    <w:top w:val="single" w:color="auto" w:sz="4" w:space="0"/>
                    <w:left w:val="single" w:color="auto" w:sz="4" w:space="0"/>
                    <w:bottom w:val="single" w:color="auto" w:sz="4" w:space="0"/>
                    <w:right w:val="single" w:color="auto" w:sz="4" w:space="0"/>
                  </w:tcBorders>
                  <w:vAlign w:val="center"/>
                </w:tcPr>
                <w:p>
                  <w:pPr>
                    <w:snapToGrid w:val="0"/>
                    <w:jc w:val="center"/>
                  </w:pPr>
                  <w:r>
                    <w:t>损耗量(m</w:t>
                  </w:r>
                  <w:r>
                    <w:rPr>
                      <w:vertAlign w:val="superscript"/>
                    </w:rPr>
                    <w:t>3</w:t>
                  </w:r>
                  <w:r>
                    <w:t>/d)</w:t>
                  </w: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r>
                    <w:t>排水量(m</w:t>
                  </w:r>
                  <w:r>
                    <w:rPr>
                      <w:vertAlign w:val="superscript"/>
                    </w:rPr>
                    <w:t>3</w:t>
                  </w:r>
                  <w:r>
                    <w:t>/d)</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pPr>
                  <w:r>
                    <w:t>排水去向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7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办公</w:t>
                  </w:r>
                </w:p>
                <w:p>
                  <w:pPr>
                    <w:pStyle w:val="71"/>
                    <w:snapToGrid w:val="0"/>
                    <w:jc w:val="center"/>
                    <w:rPr>
                      <w:rFonts w:ascii="Times New Roman" w:hAnsi="Times New Roman"/>
                      <w:color w:val="auto"/>
                      <w:sz w:val="21"/>
                      <w:szCs w:val="21"/>
                    </w:rPr>
                  </w:pPr>
                  <w:r>
                    <w:rPr>
                      <w:rFonts w:ascii="Times New Roman" w:hAnsi="Times New Roman"/>
                      <w:color w:val="auto"/>
                      <w:sz w:val="21"/>
                      <w:szCs w:val="21"/>
                    </w:rPr>
                    <w:t>生活</w:t>
                  </w:r>
                </w:p>
              </w:tc>
              <w:tc>
                <w:tcPr>
                  <w:tcW w:w="59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65L/人·天</w:t>
                  </w:r>
                </w:p>
              </w:tc>
              <w:tc>
                <w:tcPr>
                  <w:tcW w:w="469"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300人</w:t>
                  </w:r>
                </w:p>
              </w:tc>
              <w:tc>
                <w:tcPr>
                  <w:tcW w:w="676"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19.5</w:t>
                  </w:r>
                </w:p>
              </w:tc>
              <w:tc>
                <w:tcPr>
                  <w:tcW w:w="676"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19.5</w:t>
                  </w:r>
                </w:p>
              </w:tc>
              <w:tc>
                <w:tcPr>
                  <w:tcW w:w="521"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0</w:t>
                  </w:r>
                </w:p>
              </w:tc>
              <w:tc>
                <w:tcPr>
                  <w:tcW w:w="521"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3.9</w:t>
                  </w:r>
                </w:p>
              </w:tc>
              <w:tc>
                <w:tcPr>
                  <w:tcW w:w="585"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15.6</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szCs w:val="21"/>
                    </w:rPr>
                  </w:pPr>
                  <w:r>
                    <w:rPr>
                      <w:rFonts w:hint="eastAsia"/>
                    </w:rPr>
                    <w:t>园区污水处理厂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7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hint="eastAsia" w:ascii="Times New Roman" w:hAnsi="Times New Roman"/>
                      <w:color w:val="auto"/>
                      <w:sz w:val="21"/>
                      <w:szCs w:val="21"/>
                    </w:rPr>
                    <w:t>稀释</w:t>
                  </w:r>
                  <w:r>
                    <w:rPr>
                      <w:rFonts w:ascii="Times New Roman" w:hAnsi="Times New Roman"/>
                      <w:color w:val="auto"/>
                      <w:sz w:val="21"/>
                      <w:szCs w:val="21"/>
                    </w:rPr>
                    <w:t>用水</w:t>
                  </w:r>
                </w:p>
              </w:tc>
              <w:tc>
                <w:tcPr>
                  <w:tcW w:w="59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w:t>
                  </w:r>
                </w:p>
              </w:tc>
              <w:tc>
                <w:tcPr>
                  <w:tcW w:w="469"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w:t>
                  </w:r>
                </w:p>
              </w:tc>
              <w:tc>
                <w:tcPr>
                  <w:tcW w:w="676"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13.5</w:t>
                  </w:r>
                </w:p>
              </w:tc>
              <w:tc>
                <w:tcPr>
                  <w:tcW w:w="676"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13.5</w:t>
                  </w:r>
                </w:p>
              </w:tc>
              <w:tc>
                <w:tcPr>
                  <w:tcW w:w="521"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0</w:t>
                  </w:r>
                </w:p>
              </w:tc>
              <w:tc>
                <w:tcPr>
                  <w:tcW w:w="521"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13.5</w:t>
                  </w:r>
                </w:p>
              </w:tc>
              <w:tc>
                <w:tcPr>
                  <w:tcW w:w="585"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0</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7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冷却</w:t>
                  </w:r>
                  <w:r>
                    <w:rPr>
                      <w:rFonts w:hint="eastAsia" w:ascii="Times New Roman" w:hAnsi="Times New Roman"/>
                      <w:color w:val="auto"/>
                      <w:sz w:val="21"/>
                      <w:szCs w:val="21"/>
                    </w:rPr>
                    <w:t>用</w:t>
                  </w:r>
                  <w:r>
                    <w:rPr>
                      <w:rFonts w:ascii="Times New Roman" w:hAnsi="Times New Roman"/>
                      <w:color w:val="auto"/>
                      <w:sz w:val="21"/>
                      <w:szCs w:val="21"/>
                    </w:rPr>
                    <w:t>水</w:t>
                  </w:r>
                </w:p>
              </w:tc>
              <w:tc>
                <w:tcPr>
                  <w:tcW w:w="59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w:t>
                  </w:r>
                </w:p>
              </w:tc>
              <w:tc>
                <w:tcPr>
                  <w:tcW w:w="469"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w:t>
                  </w:r>
                </w:p>
              </w:tc>
              <w:tc>
                <w:tcPr>
                  <w:tcW w:w="676"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200</w:t>
                  </w:r>
                </w:p>
              </w:tc>
              <w:tc>
                <w:tcPr>
                  <w:tcW w:w="676"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20</w:t>
                  </w:r>
                </w:p>
              </w:tc>
              <w:tc>
                <w:tcPr>
                  <w:tcW w:w="521"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180</w:t>
                  </w:r>
                </w:p>
              </w:tc>
              <w:tc>
                <w:tcPr>
                  <w:tcW w:w="521"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18</w:t>
                  </w:r>
                </w:p>
              </w:tc>
              <w:tc>
                <w:tcPr>
                  <w:tcW w:w="585"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2</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szCs w:val="21"/>
                    </w:rPr>
                  </w:pPr>
                  <w:r>
                    <w:rPr>
                      <w:szCs w:val="21"/>
                    </w:rPr>
                    <w:t>园区污水处理厂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7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道路洒水</w:t>
                  </w:r>
                </w:p>
              </w:tc>
              <w:tc>
                <w:tcPr>
                  <w:tcW w:w="59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2L/</w:t>
                  </w:r>
                </w:p>
                <w:p>
                  <w:pPr>
                    <w:pStyle w:val="71"/>
                    <w:snapToGrid w:val="0"/>
                    <w:jc w:val="center"/>
                    <w:rPr>
                      <w:rFonts w:ascii="Times New Roman" w:hAnsi="Times New Roman"/>
                      <w:color w:val="auto"/>
                      <w:sz w:val="21"/>
                      <w:szCs w:val="21"/>
                    </w:rPr>
                  </w:pPr>
                  <w:r>
                    <w:rPr>
                      <w:rFonts w:ascii="Times New Roman" w:hAnsi="Times New Roman"/>
                      <w:color w:val="auto"/>
                      <w:sz w:val="21"/>
                      <w:szCs w:val="21"/>
                    </w:rPr>
                    <w:t>（m</w:t>
                  </w:r>
                  <w:r>
                    <w:rPr>
                      <w:rFonts w:ascii="Times New Roman" w:hAnsi="Times New Roman"/>
                      <w:color w:val="auto"/>
                      <w:sz w:val="21"/>
                      <w:szCs w:val="21"/>
                      <w:vertAlign w:val="superscript"/>
                    </w:rPr>
                    <w:t>2</w:t>
                  </w:r>
                  <w:r>
                    <w:rPr>
                      <w:rFonts w:ascii="Times New Roman" w:hAnsi="Times New Roman"/>
                      <w:color w:val="auto"/>
                      <w:sz w:val="21"/>
                      <w:szCs w:val="21"/>
                    </w:rPr>
                    <w:t>·d）</w:t>
                  </w:r>
                </w:p>
              </w:tc>
              <w:tc>
                <w:tcPr>
                  <w:tcW w:w="469"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2000</w:t>
                  </w:r>
                </w:p>
              </w:tc>
              <w:tc>
                <w:tcPr>
                  <w:tcW w:w="676"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4</w:t>
                  </w:r>
                </w:p>
              </w:tc>
              <w:tc>
                <w:tcPr>
                  <w:tcW w:w="676"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4</w:t>
                  </w:r>
                </w:p>
              </w:tc>
              <w:tc>
                <w:tcPr>
                  <w:tcW w:w="521"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0</w:t>
                  </w:r>
                </w:p>
              </w:tc>
              <w:tc>
                <w:tcPr>
                  <w:tcW w:w="521"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4</w:t>
                  </w:r>
                </w:p>
              </w:tc>
              <w:tc>
                <w:tcPr>
                  <w:tcW w:w="585"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0</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7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绿化用水</w:t>
                  </w:r>
                </w:p>
              </w:tc>
              <w:tc>
                <w:tcPr>
                  <w:tcW w:w="59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2L/</w:t>
                  </w:r>
                </w:p>
                <w:p>
                  <w:pPr>
                    <w:pStyle w:val="71"/>
                    <w:snapToGrid w:val="0"/>
                    <w:jc w:val="center"/>
                    <w:rPr>
                      <w:rFonts w:ascii="Times New Roman" w:hAnsi="Times New Roman"/>
                      <w:color w:val="auto"/>
                      <w:sz w:val="21"/>
                      <w:szCs w:val="21"/>
                    </w:rPr>
                  </w:pPr>
                  <w:r>
                    <w:rPr>
                      <w:rFonts w:ascii="Times New Roman" w:hAnsi="Times New Roman"/>
                      <w:color w:val="auto"/>
                      <w:sz w:val="21"/>
                      <w:szCs w:val="21"/>
                    </w:rPr>
                    <w:t>（m</w:t>
                  </w:r>
                  <w:r>
                    <w:rPr>
                      <w:rFonts w:ascii="Times New Roman" w:hAnsi="Times New Roman"/>
                      <w:color w:val="auto"/>
                      <w:sz w:val="21"/>
                      <w:szCs w:val="21"/>
                      <w:vertAlign w:val="superscript"/>
                    </w:rPr>
                    <w:t>2</w:t>
                  </w:r>
                  <w:r>
                    <w:rPr>
                      <w:rFonts w:ascii="Times New Roman" w:hAnsi="Times New Roman"/>
                      <w:color w:val="auto"/>
                      <w:sz w:val="21"/>
                      <w:szCs w:val="21"/>
                    </w:rPr>
                    <w:t>·d）</w:t>
                  </w:r>
                </w:p>
              </w:tc>
              <w:tc>
                <w:tcPr>
                  <w:tcW w:w="469"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6000</w:t>
                  </w:r>
                </w:p>
              </w:tc>
              <w:tc>
                <w:tcPr>
                  <w:tcW w:w="676"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12</w:t>
                  </w:r>
                </w:p>
              </w:tc>
              <w:tc>
                <w:tcPr>
                  <w:tcW w:w="676"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hint="eastAsia" w:ascii="Times New Roman" w:hAnsi="Times New Roman"/>
                      <w:color w:val="auto"/>
                      <w:sz w:val="21"/>
                      <w:szCs w:val="21"/>
                    </w:rPr>
                    <w:t>12</w:t>
                  </w:r>
                </w:p>
              </w:tc>
              <w:tc>
                <w:tcPr>
                  <w:tcW w:w="521"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hint="eastAsia" w:ascii="Times New Roman" w:hAnsi="Times New Roman"/>
                      <w:color w:val="auto"/>
                      <w:sz w:val="21"/>
                      <w:szCs w:val="21"/>
                    </w:rPr>
                    <w:t>0</w:t>
                  </w:r>
                </w:p>
              </w:tc>
              <w:tc>
                <w:tcPr>
                  <w:tcW w:w="521"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hint="eastAsia" w:ascii="Times New Roman" w:hAnsi="Times New Roman"/>
                      <w:color w:val="auto"/>
                      <w:sz w:val="21"/>
                      <w:szCs w:val="21"/>
                    </w:rPr>
                    <w:t>1</w:t>
                  </w:r>
                  <w:r>
                    <w:rPr>
                      <w:rFonts w:ascii="Times New Roman" w:hAnsi="Times New Roman"/>
                      <w:color w:val="auto"/>
                      <w:sz w:val="21"/>
                      <w:szCs w:val="21"/>
                    </w:rPr>
                    <w:t>2</w:t>
                  </w:r>
                </w:p>
              </w:tc>
              <w:tc>
                <w:tcPr>
                  <w:tcW w:w="585"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hint="eastAsia" w:ascii="Times New Roman" w:hAnsi="Times New Roman"/>
                      <w:color w:val="auto"/>
                      <w:sz w:val="21"/>
                      <w:szCs w:val="21"/>
                    </w:rPr>
                    <w:t>0</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7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合计</w:t>
                  </w:r>
                </w:p>
              </w:tc>
              <w:tc>
                <w:tcPr>
                  <w:tcW w:w="594"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p>
              </w:tc>
              <w:tc>
                <w:tcPr>
                  <w:tcW w:w="469"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p>
              </w:tc>
              <w:tc>
                <w:tcPr>
                  <w:tcW w:w="676"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szCs w:val="22"/>
                    </w:rPr>
                  </w:pPr>
                  <w:r>
                    <w:rPr>
                      <w:rFonts w:hint="eastAsia"/>
                      <w:sz w:val="22"/>
                      <w:szCs w:val="22"/>
                    </w:rPr>
                    <w:t>24</w:t>
                  </w:r>
                  <w:r>
                    <w:rPr>
                      <w:sz w:val="22"/>
                      <w:szCs w:val="22"/>
                    </w:rPr>
                    <w:t>9</w:t>
                  </w:r>
                </w:p>
              </w:tc>
              <w:tc>
                <w:tcPr>
                  <w:tcW w:w="676" w:type="pct"/>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69</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180</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5</w:t>
                  </w:r>
                  <w:r>
                    <w:rPr>
                      <w:sz w:val="22"/>
                      <w:szCs w:val="22"/>
                    </w:rPr>
                    <w:t>1</w:t>
                  </w:r>
                  <w:r>
                    <w:rPr>
                      <w:rFonts w:hint="eastAsia"/>
                      <w:sz w:val="22"/>
                      <w:szCs w:val="22"/>
                    </w:rPr>
                    <w:t>.4</w:t>
                  </w:r>
                </w:p>
              </w:tc>
              <w:tc>
                <w:tcPr>
                  <w:tcW w:w="585" w:type="pct"/>
                  <w:tcBorders>
                    <w:top w:val="single" w:color="auto" w:sz="4" w:space="0"/>
                    <w:left w:val="single" w:color="auto" w:sz="4" w:space="0"/>
                    <w:bottom w:val="single" w:color="auto" w:sz="4" w:space="0"/>
                    <w:right w:val="single" w:color="auto" w:sz="4" w:space="0"/>
                  </w:tcBorders>
                  <w:vAlign w:val="center"/>
                </w:tcPr>
                <w:p>
                  <w:pPr>
                    <w:pStyle w:val="71"/>
                    <w:snapToGrid w:val="0"/>
                    <w:jc w:val="center"/>
                    <w:rPr>
                      <w:rFonts w:ascii="Times New Roman" w:hAnsi="Times New Roman"/>
                      <w:color w:val="auto"/>
                      <w:sz w:val="21"/>
                      <w:szCs w:val="21"/>
                    </w:rPr>
                  </w:pPr>
                  <w:r>
                    <w:rPr>
                      <w:rFonts w:ascii="Times New Roman" w:hAnsi="Times New Roman"/>
                      <w:color w:val="auto"/>
                      <w:sz w:val="21"/>
                      <w:szCs w:val="21"/>
                    </w:rPr>
                    <w:t>17.6</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szCs w:val="21"/>
                    </w:rPr>
                  </w:pPr>
                </w:p>
              </w:tc>
            </w:tr>
          </w:tbl>
          <w:p>
            <w:pPr>
              <w:pStyle w:val="26"/>
              <w:snapToGrid w:val="0"/>
              <w:spacing w:before="0" w:beforeAutospacing="0" w:after="0" w:afterAutospacing="0"/>
              <w:outlineLvl w:val="0"/>
              <w:rPr>
                <w:rFonts w:ascii="Times New Roman" w:hAnsi="Times New Roman"/>
                <w:szCs w:val="24"/>
              </w:rPr>
            </w:pPr>
            <w:r>
              <w:rPr>
                <w:rFonts w:ascii="Times New Roman" w:hAnsi="Times New Roman"/>
              </w:rPr>
              <w:t xml:space="preserve"> </w:t>
            </w:r>
          </w:p>
          <w:p>
            <w:pPr>
              <w:pStyle w:val="26"/>
              <w:snapToGrid w:val="0"/>
              <w:spacing w:before="0" w:beforeAutospacing="0" w:after="0" w:afterAutospacing="0"/>
              <w:jc w:val="center"/>
              <w:outlineLvl w:val="0"/>
              <w:rPr>
                <w:rFonts w:ascii="Times New Roman" w:hAnsi="Times New Roman"/>
              </w:rPr>
            </w:pPr>
            <w:r>
              <w:rPr>
                <w:rFonts w:ascii="Times New Roman" w:hAnsi="Times New Roman"/>
              </w:rPr>
              <w:drawing>
                <wp:inline distT="0" distB="0" distL="0" distR="0">
                  <wp:extent cx="3434080" cy="2355215"/>
                  <wp:effectExtent l="0" t="0" r="0" b="6985"/>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40456" cy="2359656"/>
                          </a:xfrm>
                          <a:prstGeom prst="rect">
                            <a:avLst/>
                          </a:prstGeom>
                          <a:noFill/>
                          <a:ln>
                            <a:noFill/>
                          </a:ln>
                        </pic:spPr>
                      </pic:pic>
                    </a:graphicData>
                  </a:graphic>
                </wp:inline>
              </w:drawing>
            </w:r>
          </w:p>
          <w:p>
            <w:pPr>
              <w:pStyle w:val="26"/>
              <w:spacing w:before="240" w:beforeAutospacing="0" w:after="0" w:afterAutospacing="0" w:line="360" w:lineRule="auto"/>
              <w:ind w:firstLine="420" w:firstLineChars="200"/>
              <w:jc w:val="center"/>
              <w:outlineLvl w:val="0"/>
              <w:rPr>
                <w:rFonts w:ascii="Times New Roman" w:hAnsi="Times New Roman" w:eastAsia="黑体"/>
                <w:sz w:val="21"/>
                <w:szCs w:val="21"/>
              </w:rPr>
            </w:pPr>
            <w:r>
              <w:rPr>
                <w:rFonts w:ascii="黑体" w:hAnsi="黑体" w:eastAsia="黑体"/>
                <w:sz w:val="21"/>
                <w:szCs w:val="21"/>
              </w:rPr>
              <w:t>图</w:t>
            </w:r>
            <w:r>
              <w:rPr>
                <w:rFonts w:hint="eastAsia" w:ascii="Times New Roman" w:hAnsi="Times New Roman" w:eastAsia="黑体"/>
                <w:sz w:val="21"/>
                <w:szCs w:val="21"/>
              </w:rPr>
              <w:t>2</w:t>
            </w:r>
            <w:r>
              <w:rPr>
                <w:rFonts w:ascii="Times New Roman" w:hAnsi="Times New Roman" w:eastAsia="黑体"/>
                <w:sz w:val="21"/>
                <w:szCs w:val="21"/>
              </w:rPr>
              <w:t xml:space="preserve">-1  </w:t>
            </w:r>
            <w:r>
              <w:rPr>
                <w:rFonts w:ascii="黑体" w:hAnsi="黑体" w:eastAsia="黑体"/>
                <w:sz w:val="21"/>
                <w:szCs w:val="21"/>
              </w:rPr>
              <w:t>项目水平衡图（</w:t>
            </w:r>
            <w:r>
              <w:rPr>
                <w:rFonts w:ascii="Times New Roman" w:hAnsi="Times New Roman" w:eastAsia="黑体"/>
                <w:sz w:val="21"/>
                <w:szCs w:val="21"/>
              </w:rPr>
              <w:t>m</w:t>
            </w:r>
            <w:r>
              <w:rPr>
                <w:rFonts w:ascii="Times New Roman" w:hAnsi="Times New Roman" w:eastAsia="黑体"/>
                <w:sz w:val="21"/>
                <w:szCs w:val="21"/>
                <w:vertAlign w:val="superscript"/>
              </w:rPr>
              <w:t>3</w:t>
            </w:r>
            <w:r>
              <w:rPr>
                <w:rFonts w:ascii="Times New Roman" w:hAnsi="Times New Roman" w:eastAsia="黑体"/>
                <w:sz w:val="21"/>
                <w:szCs w:val="21"/>
              </w:rPr>
              <w:t>/d</w:t>
            </w:r>
            <w:r>
              <w:rPr>
                <w:rFonts w:ascii="黑体" w:hAnsi="黑体" w:eastAsia="黑体"/>
                <w:sz w:val="21"/>
                <w:szCs w:val="21"/>
              </w:rPr>
              <w:t>）</w:t>
            </w:r>
          </w:p>
          <w:p>
            <w:pPr>
              <w:adjustRightInd w:val="0"/>
              <w:snapToGrid w:val="0"/>
              <w:spacing w:line="360" w:lineRule="auto"/>
              <w:ind w:left="480"/>
              <w:rPr>
                <w:kern w:val="0"/>
                <w:sz w:val="24"/>
              </w:rPr>
            </w:pPr>
            <w:r>
              <w:rPr>
                <w:rFonts w:hint="eastAsia" w:ascii="宋体" w:hAnsi="宋体"/>
                <w:kern w:val="0"/>
                <w:sz w:val="24"/>
              </w:rPr>
              <w:t>（2）</w:t>
            </w:r>
            <w:r>
              <w:rPr>
                <w:kern w:val="0"/>
                <w:sz w:val="24"/>
              </w:rPr>
              <w:t>供电</w:t>
            </w:r>
          </w:p>
          <w:p>
            <w:pPr>
              <w:adjustRightInd w:val="0"/>
              <w:snapToGrid w:val="0"/>
              <w:spacing w:line="360" w:lineRule="auto"/>
              <w:ind w:firstLine="480" w:firstLineChars="200"/>
              <w:rPr>
                <w:kern w:val="0"/>
                <w:sz w:val="24"/>
              </w:rPr>
            </w:pPr>
            <w:r>
              <w:rPr>
                <w:rFonts w:hint="eastAsia"/>
                <w:sz w:val="24"/>
              </w:rPr>
              <w:t>项目用电由园区供电线路供给，厂内设1台变压器。</w:t>
            </w:r>
            <w:r>
              <w:rPr>
                <w:sz w:val="24"/>
              </w:rPr>
              <w:t>预计年用电量约为1600万kW•h。</w:t>
            </w:r>
          </w:p>
          <w:p>
            <w:pPr>
              <w:adjustRightInd w:val="0"/>
              <w:snapToGrid w:val="0"/>
              <w:spacing w:line="360" w:lineRule="auto"/>
              <w:ind w:left="480"/>
              <w:rPr>
                <w:sz w:val="24"/>
              </w:rPr>
            </w:pPr>
            <w:r>
              <w:rPr>
                <w:rFonts w:hint="eastAsia" w:ascii="宋体" w:hAnsi="宋体"/>
                <w:kern w:val="0"/>
                <w:sz w:val="24"/>
              </w:rPr>
              <w:t>（3）</w:t>
            </w:r>
            <w:r>
              <w:rPr>
                <w:rFonts w:hint="eastAsia"/>
                <w:kern w:val="0"/>
                <w:sz w:val="24"/>
              </w:rPr>
              <w:t>供热、制冷</w:t>
            </w:r>
          </w:p>
          <w:p>
            <w:pPr>
              <w:spacing w:line="360" w:lineRule="auto"/>
              <w:ind w:left="630"/>
              <w:rPr>
                <w:sz w:val="24"/>
              </w:rPr>
            </w:pPr>
            <w:r>
              <w:rPr>
                <w:rFonts w:hint="eastAsia"/>
                <w:sz w:val="24"/>
              </w:rPr>
              <w:t>项目冬季不生产，值班人员供暖采用电暖器或空调。</w:t>
            </w:r>
          </w:p>
          <w:p>
            <w:pPr>
              <w:spacing w:line="360" w:lineRule="auto"/>
              <w:ind w:left="630"/>
              <w:rPr>
                <w:b/>
                <w:bCs/>
                <w:kern w:val="0"/>
                <w:sz w:val="24"/>
                <w:szCs w:val="20"/>
              </w:rPr>
            </w:pPr>
            <w:r>
              <w:rPr>
                <w:rFonts w:hint="eastAsia"/>
                <w:b/>
                <w:bCs/>
                <w:kern w:val="0"/>
                <w:sz w:val="24"/>
                <w:szCs w:val="20"/>
              </w:rPr>
              <w:t>1</w:t>
            </w:r>
            <w:r>
              <w:rPr>
                <w:b/>
                <w:bCs/>
                <w:kern w:val="0"/>
                <w:sz w:val="24"/>
                <w:szCs w:val="20"/>
              </w:rPr>
              <w:t>0</w:t>
            </w:r>
            <w:r>
              <w:rPr>
                <w:rFonts w:hint="eastAsia"/>
                <w:b/>
                <w:bCs/>
                <w:kern w:val="0"/>
                <w:sz w:val="24"/>
                <w:szCs w:val="20"/>
              </w:rPr>
              <w:t>、</w:t>
            </w:r>
            <w:r>
              <w:rPr>
                <w:b/>
                <w:bCs/>
                <w:kern w:val="0"/>
                <w:sz w:val="24"/>
                <w:szCs w:val="20"/>
              </w:rPr>
              <w:t>劳动定员及工作制度</w:t>
            </w:r>
          </w:p>
          <w:p>
            <w:pPr>
              <w:spacing w:line="360" w:lineRule="auto"/>
              <w:ind w:firstLine="480" w:firstLineChars="200"/>
              <w:rPr>
                <w:bCs/>
                <w:szCs w:val="21"/>
              </w:rPr>
            </w:pPr>
            <w:r>
              <w:rPr>
                <w:sz w:val="24"/>
              </w:rPr>
              <w:t>项目</w:t>
            </w:r>
            <w:r>
              <w:rPr>
                <w:rFonts w:hint="eastAsia"/>
                <w:sz w:val="24"/>
              </w:rPr>
              <w:t>劳动定员为</w:t>
            </w:r>
            <w:r>
              <w:rPr>
                <w:sz w:val="24"/>
              </w:rPr>
              <w:t>30</w:t>
            </w:r>
            <w:r>
              <w:rPr>
                <w:rFonts w:hint="eastAsia"/>
                <w:sz w:val="24"/>
              </w:rPr>
              <w:t>0人，年工作时间为</w:t>
            </w:r>
            <w:r>
              <w:rPr>
                <w:sz w:val="24"/>
              </w:rPr>
              <w:t>3</w:t>
            </w:r>
            <w:r>
              <w:rPr>
                <w:rFonts w:hint="eastAsia"/>
                <w:sz w:val="24"/>
              </w:rPr>
              <w:t>30d，采用三班制，每班工作时间8h。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vAlign w:val="center"/>
          </w:tcPr>
          <w:p>
            <w:pPr>
              <w:pStyle w:val="26"/>
              <w:spacing w:before="0" w:beforeAutospacing="0" w:after="0" w:afterAutospacing="0"/>
              <w:jc w:val="center"/>
              <w:rPr>
                <w:rFonts w:ascii="Times New Roman" w:hAnsi="Times New Roman"/>
                <w:sz w:val="21"/>
                <w:szCs w:val="21"/>
              </w:rPr>
            </w:pPr>
            <w:r>
              <w:rPr>
                <w:rFonts w:ascii="Times New Roman" w:hAnsi="Times New Roman"/>
                <w:b/>
                <w:bCs/>
                <w:sz w:val="21"/>
                <w:szCs w:val="21"/>
              </w:rPr>
              <w:t>工艺流程和产排污环节</w:t>
            </w:r>
          </w:p>
        </w:tc>
        <w:tc>
          <w:tcPr>
            <w:tcW w:w="8267" w:type="dxa"/>
            <w:vAlign w:val="center"/>
          </w:tcPr>
          <w:p>
            <w:pPr>
              <w:spacing w:line="360" w:lineRule="auto"/>
              <w:ind w:right="118" w:rightChars="56"/>
              <w:rPr>
                <w:b/>
                <w:bCs/>
                <w:sz w:val="24"/>
              </w:rPr>
            </w:pPr>
            <w:r>
              <w:rPr>
                <w:b/>
                <w:bCs/>
                <w:sz w:val="24"/>
              </w:rPr>
              <w:t>工艺流程简述（图示）：</w:t>
            </w:r>
          </w:p>
          <w:p>
            <w:pPr>
              <w:spacing w:line="360" w:lineRule="auto"/>
              <w:ind w:left="420" w:leftChars="200"/>
              <w:rPr>
                <w:b/>
                <w:bCs/>
                <w:snapToGrid w:val="0"/>
                <w:kern w:val="18"/>
                <w:sz w:val="24"/>
                <w:szCs w:val="26"/>
              </w:rPr>
            </w:pPr>
            <w:r>
              <w:rPr>
                <w:rFonts w:hint="eastAsia"/>
                <w:b/>
                <w:bCs/>
                <w:snapToGrid w:val="0"/>
                <w:kern w:val="18"/>
                <w:sz w:val="24"/>
                <w:szCs w:val="26"/>
              </w:rPr>
              <w:t>1.</w:t>
            </w:r>
            <w:r>
              <w:rPr>
                <w:b/>
                <w:bCs/>
                <w:snapToGrid w:val="0"/>
                <w:kern w:val="18"/>
                <w:sz w:val="24"/>
                <w:szCs w:val="26"/>
              </w:rPr>
              <w:t>施工期工艺流程简述：</w:t>
            </w:r>
          </w:p>
          <w:p>
            <w:pPr>
              <w:widowControl/>
              <w:spacing w:line="360" w:lineRule="auto"/>
              <w:ind w:firstLine="480" w:firstLineChars="200"/>
              <w:jc w:val="left"/>
              <w:rPr>
                <w:sz w:val="24"/>
              </w:rPr>
            </w:pPr>
            <w:bookmarkStart w:id="25" w:name="OLE_LINK1"/>
            <w:bookmarkEnd w:id="25"/>
            <w:r>
              <w:rPr>
                <w:sz w:val="24"/>
              </w:rPr>
              <w:t>项目施工建设期主要建设内容包括</w:t>
            </w:r>
            <w:r>
              <w:rPr>
                <w:rFonts w:hint="eastAsia"/>
                <w:sz w:val="24"/>
              </w:rPr>
              <w:t>生产厂房</w:t>
            </w:r>
            <w:r>
              <w:rPr>
                <w:sz w:val="24"/>
              </w:rPr>
              <w:t>及其他辅助工程的建设。施工期的</w:t>
            </w:r>
            <w:r>
              <w:rPr>
                <w:rFonts w:hint="eastAsia"/>
                <w:sz w:val="24"/>
              </w:rPr>
              <w:t>拆除原有建筑、</w:t>
            </w:r>
            <w:r>
              <w:rPr>
                <w:sz w:val="24"/>
              </w:rPr>
              <w:t>地基开挖、设备安装等建设工序将产生扬尘、固体废弃物、废水及噪声的污染物。施工流程及各阶段主要污染物产生情况如下图所示：</w:t>
            </w:r>
          </w:p>
          <w:p>
            <w:pPr>
              <w:pStyle w:val="105"/>
              <w:ind w:firstLine="0" w:firstLineChars="0"/>
              <w:jc w:val="center"/>
              <w:rPr>
                <w:rFonts w:ascii="Times New Roman" w:hAnsi="Times New Roman" w:cs="Times New Roman"/>
              </w:rPr>
            </w:pPr>
            <w:r>
              <w:rPr>
                <w:rFonts w:ascii="Times New Roman" w:hAnsi="Times New Roman" w:cs="Times New Roman"/>
                <w:position w:val="-62"/>
                <w:sz w:val="21"/>
                <w:szCs w:val="21"/>
              </w:rPr>
              <w:drawing>
                <wp:inline distT="0" distB="0" distL="0" distR="0">
                  <wp:extent cx="4099560" cy="1935480"/>
                  <wp:effectExtent l="0" t="0" r="0" b="7620"/>
                  <wp:docPr id="2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099560" cy="1935480"/>
                          </a:xfrm>
                          <a:prstGeom prst="rect">
                            <a:avLst/>
                          </a:prstGeom>
                          <a:noFill/>
                          <a:ln>
                            <a:noFill/>
                          </a:ln>
                        </pic:spPr>
                      </pic:pic>
                    </a:graphicData>
                  </a:graphic>
                </wp:inline>
              </w:drawing>
            </w:r>
          </w:p>
          <w:p>
            <w:pPr>
              <w:spacing w:line="360" w:lineRule="auto"/>
              <w:jc w:val="center"/>
              <w:rPr>
                <w:b/>
                <w:szCs w:val="21"/>
              </w:rPr>
            </w:pPr>
            <w:r>
              <w:rPr>
                <w:b/>
                <w:szCs w:val="21"/>
              </w:rPr>
              <w:t>图</w:t>
            </w:r>
            <w:r>
              <w:rPr>
                <w:rFonts w:hint="eastAsia"/>
                <w:b/>
                <w:szCs w:val="21"/>
              </w:rPr>
              <w:t>2-</w:t>
            </w:r>
            <w:r>
              <w:rPr>
                <w:b/>
                <w:szCs w:val="21"/>
              </w:rPr>
              <w:t>2 施工期工艺流程及产污环节示意图</w:t>
            </w:r>
          </w:p>
          <w:p>
            <w:pPr>
              <w:spacing w:line="360" w:lineRule="auto"/>
              <w:ind w:firstLine="482" w:firstLineChars="200"/>
              <w:rPr>
                <w:b/>
                <w:bCs/>
                <w:snapToGrid w:val="0"/>
                <w:kern w:val="18"/>
                <w:sz w:val="24"/>
                <w:szCs w:val="26"/>
              </w:rPr>
            </w:pPr>
            <w:r>
              <w:rPr>
                <w:rFonts w:hint="eastAsia"/>
                <w:b/>
                <w:bCs/>
                <w:snapToGrid w:val="0"/>
                <w:kern w:val="18"/>
                <w:sz w:val="24"/>
                <w:szCs w:val="26"/>
              </w:rPr>
              <w:t>2.</w:t>
            </w:r>
            <w:r>
              <w:rPr>
                <w:b/>
                <w:bCs/>
                <w:snapToGrid w:val="0"/>
                <w:kern w:val="18"/>
                <w:sz w:val="24"/>
                <w:szCs w:val="26"/>
              </w:rPr>
              <w:t>运营期工艺流程简述：</w:t>
            </w:r>
          </w:p>
          <w:p>
            <w:pPr>
              <w:adjustRightInd w:val="0"/>
              <w:snapToGrid w:val="0"/>
              <w:spacing w:line="360" w:lineRule="auto"/>
              <w:ind w:firstLine="480" w:firstLineChars="200"/>
              <w:rPr>
                <w:sz w:val="24"/>
              </w:rPr>
            </w:pPr>
            <w:r>
              <w:rPr>
                <w:sz w:val="24"/>
              </w:rPr>
              <w:t>项目</w:t>
            </w:r>
            <w:r>
              <w:rPr>
                <w:rFonts w:hint="eastAsia"/>
                <w:sz w:val="24"/>
              </w:rPr>
              <w:t>采用全电熔池窑技术，在玄武岩纤维性能保留以及绿色化方面特点突出。全电熔池窑技术特点：</w:t>
            </w:r>
          </w:p>
          <w:p>
            <w:pPr>
              <w:numPr>
                <w:ilvl w:val="0"/>
                <w:numId w:val="2"/>
              </w:numPr>
              <w:adjustRightInd w:val="0"/>
              <w:snapToGrid w:val="0"/>
              <w:spacing w:line="360" w:lineRule="auto"/>
              <w:ind w:firstLine="480" w:firstLineChars="200"/>
              <w:rPr>
                <w:sz w:val="24"/>
              </w:rPr>
            </w:pPr>
            <w:r>
              <w:rPr>
                <w:rFonts w:hint="eastAsia"/>
                <w:sz w:val="24"/>
              </w:rPr>
              <w:t>利用玄武岩熔融体能够导电的性质，以其自身导电加热自身的。电能全部用于自身加热，是内加热，熔化效率高，且炉体小全保温，因此节能。</w:t>
            </w:r>
          </w:p>
          <w:p>
            <w:pPr>
              <w:numPr>
                <w:ilvl w:val="0"/>
                <w:numId w:val="2"/>
              </w:numPr>
              <w:adjustRightInd w:val="0"/>
              <w:snapToGrid w:val="0"/>
              <w:spacing w:line="360" w:lineRule="auto"/>
              <w:ind w:firstLine="480" w:firstLineChars="200"/>
              <w:rPr>
                <w:sz w:val="24"/>
              </w:rPr>
            </w:pPr>
            <w:r>
              <w:rPr>
                <w:rFonts w:hint="eastAsia"/>
                <w:sz w:val="24"/>
              </w:rPr>
              <w:t>由于采用加热电，完全是氧化气氛，无需控制气氛，不存在铂铭合金“中毒”问题。</w:t>
            </w:r>
          </w:p>
          <w:p>
            <w:pPr>
              <w:numPr>
                <w:ilvl w:val="0"/>
                <w:numId w:val="2"/>
              </w:numPr>
              <w:adjustRightInd w:val="0"/>
              <w:snapToGrid w:val="0"/>
              <w:spacing w:line="360" w:lineRule="auto"/>
              <w:ind w:firstLine="480" w:firstLineChars="200"/>
              <w:rPr>
                <w:sz w:val="24"/>
              </w:rPr>
            </w:pPr>
            <w:r>
              <w:rPr>
                <w:rFonts w:hint="eastAsia"/>
                <w:sz w:val="24"/>
              </w:rPr>
              <w:t>无需控制窑压，使生产环境更清洁。</w:t>
            </w:r>
          </w:p>
          <w:p>
            <w:pPr>
              <w:numPr>
                <w:ilvl w:val="0"/>
                <w:numId w:val="2"/>
              </w:numPr>
              <w:adjustRightInd w:val="0"/>
              <w:snapToGrid w:val="0"/>
              <w:spacing w:line="360" w:lineRule="auto"/>
              <w:ind w:firstLine="480" w:firstLineChars="200"/>
              <w:rPr>
                <w:sz w:val="24"/>
              </w:rPr>
            </w:pPr>
            <w:r>
              <w:rPr>
                <w:rFonts w:hint="eastAsia"/>
                <w:sz w:val="24"/>
              </w:rPr>
              <w:t>实施全程电气和温度自动化控制，使生产更稳定。</w:t>
            </w:r>
          </w:p>
          <w:p>
            <w:pPr>
              <w:numPr>
                <w:ilvl w:val="0"/>
                <w:numId w:val="2"/>
              </w:numPr>
              <w:adjustRightInd w:val="0"/>
              <w:snapToGrid w:val="0"/>
              <w:spacing w:line="360" w:lineRule="auto"/>
              <w:ind w:firstLine="480" w:firstLineChars="200"/>
              <w:rPr>
                <w:sz w:val="24"/>
              </w:rPr>
            </w:pPr>
            <w:r>
              <w:rPr>
                <w:rFonts w:hint="eastAsia"/>
                <w:sz w:val="24"/>
              </w:rPr>
              <w:t>窑内设熔化部、澄清部、均化部和成型部，各部间用挡墙分隔，避免温度互相干扰。</w:t>
            </w:r>
          </w:p>
          <w:p>
            <w:pPr>
              <w:numPr>
                <w:ilvl w:val="0"/>
                <w:numId w:val="2"/>
              </w:numPr>
              <w:adjustRightInd w:val="0"/>
              <w:snapToGrid w:val="0"/>
              <w:spacing w:line="360" w:lineRule="auto"/>
              <w:ind w:firstLine="480" w:firstLineChars="200"/>
              <w:rPr>
                <w:sz w:val="24"/>
              </w:rPr>
            </w:pPr>
            <w:r>
              <w:rPr>
                <w:rFonts w:hint="eastAsia"/>
                <w:sz w:val="24"/>
              </w:rPr>
              <w:t>全程表面加热，有利于气泡的排出和岩浆的均化(化学均匀性和热均匀性)。</w:t>
            </w:r>
          </w:p>
          <w:p>
            <w:pPr>
              <w:numPr>
                <w:ilvl w:val="0"/>
                <w:numId w:val="2"/>
              </w:numPr>
              <w:adjustRightInd w:val="0"/>
              <w:snapToGrid w:val="0"/>
              <w:spacing w:line="360" w:lineRule="auto"/>
              <w:ind w:firstLine="480" w:firstLineChars="200"/>
              <w:rPr>
                <w:sz w:val="24"/>
              </w:rPr>
            </w:pPr>
            <w:r>
              <w:rPr>
                <w:rFonts w:hint="eastAsia"/>
                <w:sz w:val="24"/>
              </w:rPr>
              <w:t>熔化部电极侧设冷却水包，避免电极过热。</w:t>
            </w:r>
          </w:p>
          <w:p>
            <w:pPr>
              <w:numPr>
                <w:ilvl w:val="0"/>
                <w:numId w:val="2"/>
              </w:numPr>
              <w:adjustRightInd w:val="0"/>
              <w:snapToGrid w:val="0"/>
              <w:spacing w:line="360" w:lineRule="auto"/>
              <w:ind w:firstLine="480" w:firstLineChars="200"/>
              <w:rPr>
                <w:sz w:val="24"/>
              </w:rPr>
            </w:pPr>
            <w:r>
              <w:rPr>
                <w:rFonts w:hint="eastAsia"/>
                <w:sz w:val="24"/>
              </w:rPr>
              <w:t>成型部漏板上方设带孔的加热板，使进入漏板的岩浆更均匀、作业更稳定。</w:t>
            </w:r>
          </w:p>
          <w:p>
            <w:pPr>
              <w:adjustRightInd w:val="0"/>
              <w:snapToGrid w:val="0"/>
              <w:spacing w:line="360" w:lineRule="auto"/>
              <w:ind w:firstLine="480" w:firstLineChars="200"/>
              <w:rPr>
                <w:sz w:val="24"/>
              </w:rPr>
            </w:pPr>
            <w:r>
              <w:rPr>
                <w:rFonts w:hint="eastAsia"/>
                <w:sz w:val="24"/>
              </w:rPr>
              <w:t>本项目以玄武岩原矿为主要原料，采用全电熔池窑拉丝熔融技术，连续生产玄武岩纤维独特性能的产品，应用再高端复合材料领域，帕沃可公司“2400孔漏板及3500吨池窑示范生产线”综合性能达到国内外领先水平。</w:t>
            </w:r>
          </w:p>
          <w:p>
            <w:pPr>
              <w:adjustRightInd w:val="0"/>
              <w:snapToGrid w:val="0"/>
              <w:spacing w:line="360" w:lineRule="auto"/>
              <w:ind w:firstLine="480" w:firstLineChars="200"/>
              <w:rPr>
                <w:sz w:val="24"/>
              </w:rPr>
            </w:pPr>
            <w:r>
              <w:rPr>
                <w:rFonts w:hint="eastAsia"/>
                <w:sz w:val="24"/>
              </w:rPr>
              <w:t>玄武岩矿石经熔炼拉丝生产纤维原丝，原丝经加工处理制成短切纤维、挤压型材、无捻粗纱、纺织纱。</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）纤维原丝生产工艺流程</w:t>
            </w:r>
          </w:p>
          <w:p>
            <w:pPr>
              <w:adjustRightInd w:val="0"/>
              <w:snapToGrid w:val="0"/>
              <w:spacing w:line="360" w:lineRule="auto"/>
              <w:ind w:firstLine="480" w:firstLineChars="200"/>
              <w:rPr>
                <w:sz w:val="24"/>
              </w:rPr>
            </w:pPr>
            <w:r>
              <w:rPr>
                <w:rFonts w:hint="eastAsia"/>
                <w:sz w:val="24"/>
              </w:rPr>
              <w:t>①上料</w:t>
            </w:r>
          </w:p>
          <w:p>
            <w:pPr>
              <w:adjustRightInd w:val="0"/>
              <w:snapToGrid w:val="0"/>
              <w:spacing w:line="360" w:lineRule="auto"/>
              <w:ind w:firstLine="480" w:firstLineChars="200"/>
              <w:rPr>
                <w:sz w:val="24"/>
              </w:rPr>
            </w:pPr>
            <w:r>
              <w:rPr>
                <w:rFonts w:hint="eastAsia"/>
                <w:sz w:val="24"/>
              </w:rPr>
              <w:t>经过厂家清洗包装好的原料，进入车间原辅材料区域堆放，使用叉车运至拉丝区域，通过行车吊装到全电熔炉上方的加料仓。料仓一般装有1-2 天的使用。料仓下方配套有自动加料机，通过铂铑合金探针检测全电熔炉内部液面高度信号，将信号反馈给自动加料机，当检测到液面下沉的时候，自动加料开始，当检测到液面高度达到要求的时候，加料机自动停止。</w:t>
            </w:r>
          </w:p>
          <w:p>
            <w:pPr>
              <w:adjustRightInd w:val="0"/>
              <w:snapToGrid w:val="0"/>
              <w:spacing w:line="360" w:lineRule="auto"/>
              <w:ind w:firstLine="480" w:firstLineChars="200"/>
              <w:rPr>
                <w:sz w:val="24"/>
              </w:rPr>
            </w:pPr>
            <w:r>
              <w:rPr>
                <w:rFonts w:hint="eastAsia"/>
                <w:sz w:val="24"/>
              </w:rPr>
              <w:t>②熔化</w:t>
            </w:r>
          </w:p>
          <w:p>
            <w:pPr>
              <w:adjustRightInd w:val="0"/>
              <w:snapToGrid w:val="0"/>
              <w:spacing w:line="360" w:lineRule="auto"/>
              <w:ind w:firstLine="480" w:firstLineChars="200"/>
              <w:rPr>
                <w:sz w:val="24"/>
              </w:rPr>
            </w:pPr>
            <w:r>
              <w:rPr>
                <w:rFonts w:hint="eastAsia"/>
                <w:sz w:val="24"/>
              </w:rPr>
              <w:t>玄武岩矿石通过自动加料系统加入密闭全电熔池窑进行熔化，池窑采用电为能源，熔化温度范围1400-1450℃。项目使用的玄武岩石料的成分不含氟化物，并且由于火山爆发流出的岩浆温度高达1200℃，玄武岩在火山喷发时不稳定的成分已经在高温下挥发，因此玄武岩在熔炉内融化时不会产生挥发气体和其他杂质，产生的烟尘主要污染因子为含玄武岩石粉的粉尘，粉尘微粒较小，部分以气溶胶的形态产生。溶液高度约265 毫米，从液面处至烟气出口处约450 毫米保温层。其中，溶液中心温度约1500 度，溶液中含铁总量约10%,透热性极差，从而导致降温非常严重，根据实际测量经验每向上1 毫米，约降温3 度。由于整体窑炉内部尺寸约700*350 毫米为溶液区域，故在耐火材料吸收部分热量后，烟气温度已经自然冷却到500 度左右，进入废气收集系统后的温度已经自然冷却到200℃以下。由于需要安装铂铑合金探针，颗粒物无法由烟道直接排放，在烟道口上方设置集气罩，经高温布袋除尘器处理后排放。</w:t>
            </w:r>
          </w:p>
          <w:p>
            <w:pPr>
              <w:adjustRightInd w:val="0"/>
              <w:snapToGrid w:val="0"/>
              <w:spacing w:line="360" w:lineRule="auto"/>
              <w:ind w:firstLine="480" w:firstLineChars="200"/>
              <w:rPr>
                <w:sz w:val="24"/>
              </w:rPr>
            </w:pPr>
            <w:r>
              <w:rPr>
                <w:rFonts w:hint="eastAsia"/>
                <w:sz w:val="24"/>
              </w:rPr>
              <w:t>池窑内胆由高档耐火材料砌筑而成，保温层采用氧化铝泡沫砖砌筑而成，冷却水套为sus310 耐热不锈钢制作而成，紧贴熔炉内胆，用作冷却耐火材料，并且保护钼电极。冷却水在冷却水套内循环，不与其他介质接触。</w:t>
            </w:r>
          </w:p>
          <w:p>
            <w:pPr>
              <w:adjustRightInd w:val="0"/>
              <w:snapToGrid w:val="0"/>
              <w:spacing w:line="360" w:lineRule="auto"/>
              <w:ind w:firstLine="480" w:firstLineChars="200"/>
              <w:rPr>
                <w:sz w:val="24"/>
              </w:rPr>
            </w:pPr>
            <w:r>
              <w:rPr>
                <w:rFonts w:hint="eastAsia"/>
                <w:sz w:val="24"/>
              </w:rPr>
              <w:t>③漏板</w:t>
            </w:r>
          </w:p>
          <w:p>
            <w:pPr>
              <w:adjustRightInd w:val="0"/>
              <w:snapToGrid w:val="0"/>
              <w:spacing w:line="360" w:lineRule="auto"/>
              <w:ind w:firstLine="480" w:firstLineChars="200"/>
              <w:rPr>
                <w:sz w:val="24"/>
              </w:rPr>
            </w:pPr>
            <w:r>
              <w:rPr>
                <w:rFonts w:hint="eastAsia"/>
                <w:sz w:val="24"/>
              </w:rPr>
              <w:t>在池窑内的玄武岩溶液通过静压力流出漏板，形成丝根。每当池窑重新启动时，前期流出的丝根不符合产品质量要求，人工将废丝缠绕至40 毫米左右，投入加料舱内，与玄武岩原料一起再次融化。</w:t>
            </w:r>
          </w:p>
          <w:p>
            <w:pPr>
              <w:adjustRightInd w:val="0"/>
              <w:snapToGrid w:val="0"/>
              <w:spacing w:line="360" w:lineRule="auto"/>
              <w:ind w:firstLine="480" w:firstLineChars="200"/>
              <w:rPr>
                <w:sz w:val="24"/>
              </w:rPr>
            </w:pPr>
            <w:r>
              <w:rPr>
                <w:rFonts w:hint="eastAsia"/>
                <w:sz w:val="24"/>
              </w:rPr>
              <w:t>④涂油</w:t>
            </w:r>
          </w:p>
          <w:p>
            <w:pPr>
              <w:adjustRightInd w:val="0"/>
              <w:snapToGrid w:val="0"/>
              <w:spacing w:line="360" w:lineRule="auto"/>
              <w:ind w:firstLine="480" w:firstLineChars="200"/>
              <w:rPr>
                <w:sz w:val="24"/>
              </w:rPr>
            </w:pPr>
            <w:r>
              <w:rPr>
                <w:rFonts w:hint="eastAsia"/>
                <w:sz w:val="24"/>
              </w:rPr>
              <w:t>待漏板形成的丝根在空气中冷却至60℃以下后，使用隔膜泵将浸润剂输送至拉丝机上方的涂油器，涂油器上方为石墨辊，其为圆柱状，持续滚动状态，表面黏附浸润剂，经过冷却的玄武岩纤维丝束经过涂油器石墨辊表面，在整束纤维涂敷一定量的浸润剂，从而达到符合国标的纤维含油率。</w:t>
            </w:r>
          </w:p>
          <w:p>
            <w:pPr>
              <w:adjustRightInd w:val="0"/>
              <w:snapToGrid w:val="0"/>
              <w:spacing w:line="360" w:lineRule="auto"/>
              <w:ind w:firstLine="480" w:firstLineChars="200"/>
              <w:rPr>
                <w:sz w:val="24"/>
              </w:rPr>
            </w:pPr>
            <w:r>
              <w:rPr>
                <w:rFonts w:hint="eastAsia"/>
                <w:sz w:val="24"/>
              </w:rPr>
              <w:t>浸润剂具有优异的耐磨性，高弹性和良好的粘接性，可以在纤维表面形成一层较厚而坚韧的连续保护膜，防止纤维表面摩擦损伤，同时满足高速拉丝工艺的需要。</w:t>
            </w:r>
          </w:p>
          <w:p>
            <w:pPr>
              <w:adjustRightInd w:val="0"/>
              <w:snapToGrid w:val="0"/>
              <w:spacing w:line="360" w:lineRule="auto"/>
              <w:ind w:firstLine="480" w:firstLineChars="200"/>
              <w:rPr>
                <w:sz w:val="24"/>
              </w:rPr>
            </w:pPr>
            <w:r>
              <w:rPr>
                <w:rFonts w:hint="eastAsia"/>
                <w:sz w:val="24"/>
              </w:rPr>
              <w:t>⑤拉丝</w:t>
            </w:r>
          </w:p>
          <w:p>
            <w:pPr>
              <w:adjustRightInd w:val="0"/>
              <w:snapToGrid w:val="0"/>
              <w:spacing w:line="360" w:lineRule="auto"/>
              <w:ind w:firstLine="480" w:firstLineChars="200"/>
              <w:rPr>
                <w:rFonts w:ascii="宋体" w:hAnsi="宋体"/>
                <w:sz w:val="24"/>
              </w:rPr>
            </w:pPr>
            <w:r>
              <w:rPr>
                <w:rFonts w:hint="eastAsia" w:ascii="宋体" w:hAnsi="宋体"/>
                <w:sz w:val="24"/>
              </w:rPr>
              <w:t>将浸润好的玄武岩纤维通过拉丝机的排线装置有序地卷绕在拉丝机上，拉丝机通过快速牵引将纱线拉至所需长度。</w:t>
            </w:r>
          </w:p>
          <w:p>
            <w:pPr>
              <w:adjustRightInd w:val="0"/>
              <w:snapToGrid w:val="0"/>
              <w:spacing w:line="360" w:lineRule="auto"/>
              <w:ind w:firstLine="480" w:firstLineChars="200"/>
              <w:rPr>
                <w:sz w:val="24"/>
              </w:rPr>
            </w:pPr>
            <w:r>
              <w:rPr>
                <w:rFonts w:hint="eastAsia"/>
                <w:sz w:val="24"/>
              </w:rPr>
              <w:t>⑥烘干</w:t>
            </w:r>
          </w:p>
          <w:p>
            <w:pPr>
              <w:adjustRightInd w:val="0"/>
              <w:snapToGrid w:val="0"/>
              <w:spacing w:line="360" w:lineRule="auto"/>
              <w:ind w:firstLine="480" w:firstLineChars="200"/>
              <w:rPr>
                <w:sz w:val="24"/>
              </w:rPr>
            </w:pPr>
            <w:r>
              <w:rPr>
                <w:rFonts w:hint="eastAsia"/>
                <w:sz w:val="24"/>
              </w:rPr>
              <w:t>增强型玄武岩原丝含水量必须有控制在一定的范围，一般含水率在0.1%左右，用自然干燥难以实现上述要求，这就必须采用专用的烘干设备进行干燥。玄武岩原丝的烘干目的主要有两个：1、去除原丝丝饼内的水分，使其含水率达到规定的指标；2、浸润剂中的粘结剂经过加热熔融后，转为聚合、交联、成膜，使原丝性能得到改善。拉好的原丝筒，需进行表面洪干，将原丝表面的水蒸发。烘干利用电作为能源。</w:t>
            </w:r>
          </w:p>
          <w:p>
            <w:pPr>
              <w:adjustRightInd w:val="0"/>
              <w:snapToGrid w:val="0"/>
              <w:spacing w:line="360" w:lineRule="auto"/>
              <w:ind w:firstLine="480" w:firstLineChars="200"/>
              <w:rPr>
                <w:sz w:val="24"/>
              </w:rPr>
            </w:pPr>
            <w:r>
              <w:rPr>
                <w:rFonts w:hint="eastAsia"/>
                <w:sz w:val="24"/>
              </w:rPr>
              <w:t>纤维原丝生产工艺流程及产污环节见图2</w:t>
            </w:r>
            <w:r>
              <w:rPr>
                <w:sz w:val="24"/>
              </w:rPr>
              <w:t>-3。</w:t>
            </w:r>
          </w:p>
          <w:p>
            <w:pPr>
              <w:adjustRightInd w:val="0"/>
              <w:snapToGrid w:val="0"/>
              <w:spacing w:line="360" w:lineRule="auto"/>
              <w:ind w:firstLine="482" w:firstLineChars="200"/>
            </w:pPr>
            <w:r>
              <w:rPr>
                <w:b/>
                <w:bCs/>
                <w:sz w:val="24"/>
              </w:rPr>
              <mc:AlternateContent>
                <mc:Choice Requires="wps">
                  <w:drawing>
                    <wp:anchor distT="45720" distB="45720" distL="114300" distR="114300" simplePos="0" relativeHeight="251668480" behindDoc="0" locked="0" layoutInCell="1" allowOverlap="1">
                      <wp:simplePos x="0" y="0"/>
                      <wp:positionH relativeFrom="column">
                        <wp:posOffset>3644900</wp:posOffset>
                      </wp:positionH>
                      <wp:positionV relativeFrom="paragraph">
                        <wp:posOffset>4107180</wp:posOffset>
                      </wp:positionV>
                      <wp:extent cx="1283970" cy="264160"/>
                      <wp:effectExtent l="0" t="0" r="0" b="0"/>
                      <wp:wrapNone/>
                      <wp:docPr id="20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83970" cy="264160"/>
                              </a:xfrm>
                              <a:prstGeom prst="rect">
                                <a:avLst/>
                              </a:prstGeom>
                              <a:noFill/>
                              <a:ln>
                                <a:noFill/>
                              </a:ln>
                              <a:effectLst/>
                            </wps:spPr>
                            <wps:txbx>
                              <w:txbxContent>
                                <w:p>
                                  <w:r>
                                    <w:rPr>
                                      <w:rFonts w:hint="eastAsia"/>
                                    </w:rPr>
                                    <w:t>烘干废气</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87pt;margin-top:323.4pt;height:20.8pt;width:101.1pt;z-index:251668480;mso-width-relative:page;mso-height-relative:margin;mso-height-percent:200;" filled="f" stroked="f" coordsize="21600,21600" o:gfxdata="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I11QZ2AAAAAsB&#10;AAAPAAAAAAAAAAEAIAAAACIAAABkcnMvZG93bnJldi54bWxQSwECFAAUAAAACACHTuJAP7vB8xsC&#10;AAAlBAAADgAAAAAAAAABACAAAAAnAQAAZHJzL2Uyb0RvYy54bWxQSwUGAAAAAAYABgBZAQAAtAUA&#10;AAAA&#10;">
                      <v:fill on="f" focussize="0,0"/>
                      <v:stroke on="f"/>
                      <v:imagedata o:title=""/>
                      <o:lock v:ext="edit" aspectratio="f"/>
                      <v:textbox style="mso-fit-shape-to-text:t;">
                        <w:txbxContent>
                          <w:p>
                            <w:r>
                              <w:rPr>
                                <w:rFonts w:hint="eastAsia"/>
                              </w:rPr>
                              <w:t>烘干废气</w:t>
                            </w:r>
                          </w:p>
                        </w:txbxContent>
                      </v:textbox>
                    </v:shape>
                  </w:pict>
                </mc:Fallback>
              </mc:AlternateContent>
            </w:r>
            <w:r>
              <w:rPr>
                <w:b/>
                <w:bCs/>
                <w:sz w:val="24"/>
              </w:rPr>
              <mc:AlternateContent>
                <mc:Choice Requires="wps">
                  <w:drawing>
                    <wp:anchor distT="0" distB="0" distL="114300" distR="114300" simplePos="0" relativeHeight="251667456" behindDoc="0" locked="0" layoutInCell="1" allowOverlap="1">
                      <wp:simplePos x="0" y="0"/>
                      <wp:positionH relativeFrom="column">
                        <wp:posOffset>3162935</wp:posOffset>
                      </wp:positionH>
                      <wp:positionV relativeFrom="paragraph">
                        <wp:posOffset>4233545</wp:posOffset>
                      </wp:positionV>
                      <wp:extent cx="464820" cy="0"/>
                      <wp:effectExtent l="0" t="38100" r="11430" b="38100"/>
                      <wp:wrapNone/>
                      <wp:docPr id="200" name="AutoShape 10"/>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10" o:spid="_x0000_s1026" o:spt="32" type="#_x0000_t32" style="position:absolute;left:0pt;margin-left:249.05pt;margin-top:333.35pt;height:0pt;width:36.6pt;z-index:251667456;mso-width-relative:page;mso-height-relative:page;" filled="f" stroked="t" coordsize="21600,21600" o:gfxdata="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2D3Z1wAAAAsBAAAPAAAAAAAA&#10;AAEAIAAAACIAAABkcnMvZG93bnJldi54bWxQSwECFAAUAAAACACHTuJAYVIuzBMCAAA9BAAADgAA&#10;AAAAAAABACAAAAAmAQAAZHJzL2Uyb0RvYy54bWxQSwUGAAAAAAYABgBZAQAAqwUAAA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66432" behindDoc="0" locked="0" layoutInCell="1" allowOverlap="1">
                      <wp:simplePos x="0" y="0"/>
                      <wp:positionH relativeFrom="column">
                        <wp:posOffset>3637280</wp:posOffset>
                      </wp:positionH>
                      <wp:positionV relativeFrom="paragraph">
                        <wp:posOffset>3419475</wp:posOffset>
                      </wp:positionV>
                      <wp:extent cx="1283970" cy="264160"/>
                      <wp:effectExtent l="0" t="0" r="0" b="0"/>
                      <wp:wrapNone/>
                      <wp:docPr id="19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83970" cy="264160"/>
                              </a:xfrm>
                              <a:prstGeom prst="rect">
                                <a:avLst/>
                              </a:prstGeom>
                              <a:noFill/>
                              <a:ln>
                                <a:noFill/>
                              </a:ln>
                              <a:effectLst/>
                            </wps:spPr>
                            <wps:txbx>
                              <w:txbxContent>
                                <w:p>
                                  <w:r>
                                    <w:t>噪声</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86.4pt;margin-top:269.25pt;height:20.8pt;width:101.1pt;z-index:251666432;mso-width-relative:page;mso-height-relative:margin;mso-height-percent:200;" filled="f" stroked="f" coordsize="21600,21600" o:gfxdata="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88Rx9gAAAAL&#10;AQAADwAAAAAAAAABACAAAAAiAAAAZHJzL2Rvd25yZXYueG1sUEsBAhQAFAAAAAgAh07iQCa9uRkc&#10;AgAAJQQAAA4AAAAAAAAAAQAgAAAAJwEAAGRycy9lMm9Eb2MueG1sUEsFBgAAAAAGAAYAWQEAALUF&#10;AAAAAA==&#10;">
                      <v:fill on="f" focussize="0,0"/>
                      <v:stroke on="f"/>
                      <v:imagedata o:title=""/>
                      <o:lock v:ext="edit" aspectratio="f"/>
                      <v:textbox style="mso-fit-shape-to-text:t;">
                        <w:txbxContent>
                          <w:p>
                            <w:r>
                              <w:t>噪声</w:t>
                            </w:r>
                          </w:p>
                        </w:txbxContent>
                      </v:textbox>
                    </v:shape>
                  </w:pict>
                </mc:Fallback>
              </mc:AlternateContent>
            </w:r>
            <w:r>
              <w:rPr>
                <w:b/>
                <w:bCs/>
                <w:sz w:val="24"/>
              </w:rPr>
              <mc:AlternateContent>
                <mc:Choice Requires="wps">
                  <w:drawing>
                    <wp:anchor distT="0" distB="0" distL="114300" distR="114300" simplePos="0" relativeHeight="251665408" behindDoc="0" locked="0" layoutInCell="1" allowOverlap="1">
                      <wp:simplePos x="0" y="0"/>
                      <wp:positionH relativeFrom="column">
                        <wp:posOffset>3155315</wp:posOffset>
                      </wp:positionH>
                      <wp:positionV relativeFrom="paragraph">
                        <wp:posOffset>3545840</wp:posOffset>
                      </wp:positionV>
                      <wp:extent cx="464820" cy="0"/>
                      <wp:effectExtent l="0" t="38100" r="11430" b="38100"/>
                      <wp:wrapNone/>
                      <wp:docPr id="198" name="AutoShape 8"/>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8" o:spid="_x0000_s1026" o:spt="32" type="#_x0000_t32" style="position:absolute;left:0pt;margin-left:248.45pt;margin-top:279.2pt;height:0pt;width:36.6pt;z-index:251665408;mso-width-relative:page;mso-height-relative:page;" filled="f" stroked="t" coordsize="21600,21600" o:gfxdata="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HKjdfXAAAACwEAAA8AAAAAAAAA&#10;AQAgAAAAIgAAAGRycy9kb3ducmV2LnhtbFBLAQIUABQAAAAIAIdO4kAPfcl1EgIAADwEAAAOAAAA&#10;AAAAAAEAIAAAACYBAABkcnMvZTJvRG9jLnhtbFBLBQYAAAAABgAGAFkBAACqBQAAAAA=&#10;">
                      <v:fill on="f" focussize="0,0"/>
                      <v:stroke color="#000000" joinstyle="round" dashstyle="dash" endarrow="block"/>
                      <v:imagedata o:title=""/>
                      <o:lock v:ext="edit" aspectratio="f"/>
                    </v:shape>
                  </w:pict>
                </mc:Fallback>
              </mc:AlternateContent>
            </w:r>
            <w:r>
              <w:rPr>
                <w:b/>
                <w:bCs/>
                <w:sz w:val="24"/>
              </w:rPr>
              <mc:AlternateContent>
                <mc:Choice Requires="wps">
                  <w:drawing>
                    <wp:anchor distT="0" distB="0" distL="114300" distR="114300" simplePos="0" relativeHeight="251663360" behindDoc="0" locked="0" layoutInCell="1" allowOverlap="1">
                      <wp:simplePos x="0" y="0"/>
                      <wp:positionH relativeFrom="column">
                        <wp:posOffset>3153410</wp:posOffset>
                      </wp:positionH>
                      <wp:positionV relativeFrom="paragraph">
                        <wp:posOffset>2900045</wp:posOffset>
                      </wp:positionV>
                      <wp:extent cx="464820" cy="0"/>
                      <wp:effectExtent l="0" t="38100" r="11430" b="38100"/>
                      <wp:wrapNone/>
                      <wp:docPr id="197" name="AutoShape 6"/>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6" o:spid="_x0000_s1026" o:spt="32" type="#_x0000_t32" style="position:absolute;left:0pt;margin-left:248.3pt;margin-top:228.35pt;height:0pt;width:36.6pt;z-index:251663360;mso-width-relative:page;mso-height-relative:page;" filled="f" stroked="t" coordsize="21600,21600" o:gfxdata="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cqdstYAAAALAQAADwAAAAAAAAAB&#10;ACAAAAAiAAAAZHJzL2Rvd25yZXYueG1sUEsBAhQAFAAAAAgAh07iQKXfUvoSAgAAPAQAAA4AAAAA&#10;AAAAAQAgAAAAJQEAAGRycy9lMm9Eb2MueG1sUEsFBgAAAAAGAAYAWQEAAKkFAAAA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64384" behindDoc="0" locked="0" layoutInCell="1" allowOverlap="1">
                      <wp:simplePos x="0" y="0"/>
                      <wp:positionH relativeFrom="column">
                        <wp:posOffset>3627755</wp:posOffset>
                      </wp:positionH>
                      <wp:positionV relativeFrom="paragraph">
                        <wp:posOffset>2773680</wp:posOffset>
                      </wp:positionV>
                      <wp:extent cx="1283970" cy="264160"/>
                      <wp:effectExtent l="0" t="0" r="0" b="0"/>
                      <wp:wrapNone/>
                      <wp:docPr id="19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83970" cy="264160"/>
                              </a:xfrm>
                              <a:prstGeom prst="rect">
                                <a:avLst/>
                              </a:prstGeom>
                              <a:noFill/>
                              <a:ln>
                                <a:noFill/>
                              </a:ln>
                              <a:effectLst/>
                            </wps:spPr>
                            <wps:txbx>
                              <w:txbxContent>
                                <w:p>
                                  <w:r>
                                    <w:t>废浸润剂、噪声</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85.65pt;margin-top:218.4pt;height:20.8pt;width:101.1pt;z-index:251664384;mso-width-relative:page;mso-height-relative:margin;mso-height-percent:200;" filled="f" stroked="f" coordsize="21600,21600" o:gfxdata="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RD8WvZAAAA&#10;CwEAAA8AAAAAAAAAAQAgAAAAIgAAAGRycy9kb3ducmV2LnhtbFBLAQIUABQAAAAIAIdO4kAV5p18&#10;HAIAACUEAAAOAAAAAAAAAAEAIAAAACgBAABkcnMvZTJvRG9jLnhtbFBLBQYAAAAABgAGAFkBAAC2&#10;BQAAAAA=&#10;">
                      <v:fill on="f" focussize="0,0"/>
                      <v:stroke on="f"/>
                      <v:imagedata o:title=""/>
                      <o:lock v:ext="edit" aspectratio="f"/>
                      <v:textbox style="mso-fit-shape-to-text:t;">
                        <w:txbxContent>
                          <w:p>
                            <w:r>
                              <w:t>废浸润剂、噪声</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3130550</wp:posOffset>
                      </wp:positionH>
                      <wp:positionV relativeFrom="paragraph">
                        <wp:posOffset>1604645</wp:posOffset>
                      </wp:positionV>
                      <wp:extent cx="464820" cy="0"/>
                      <wp:effectExtent l="0" t="38100" r="11430" b="38100"/>
                      <wp:wrapNone/>
                      <wp:docPr id="195" name="AutoShape 2"/>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2" o:spid="_x0000_s1026" o:spt="32" type="#_x0000_t32" style="position:absolute;left:0pt;margin-left:246.5pt;margin-top:126.35pt;height:0pt;width:36.6pt;z-index:251659264;mso-width-relative:page;mso-height-relative:page;" filled="f" stroked="t" coordsize="21600,21600" o:gfxdata="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UYeHtYAAAALAQAADwAAAAAAAAAB&#10;ACAAAAAiAAAAZHJzL2Rvd25yZXYueG1sUEsBAhQAFAAAAAgAh07iQAklklgSAgAAPAQAAA4AAAAA&#10;AAAAAQAgAAAAJQEAAGRycy9lMm9Eb2MueG1sUEsFBgAAAAAGAAYAWQEAAKkFAAAAAA==&#10;">
                      <v:fill on="f" focussize="0,0"/>
                      <v:stroke color="#000000" joinstyle="round" dashstyle="dash" endarrow="block"/>
                      <v:imagedata o:title=""/>
                      <o:lock v:ext="edit" aspectratio="f"/>
                    </v:shape>
                  </w:pict>
                </mc:Fallback>
              </mc:AlternateContent>
            </w:r>
            <w:r>
              <w:rPr>
                <w:b/>
                <w:bCs/>
                <w:sz w:val="24"/>
              </w:rPr>
              <mc:AlternateContent>
                <mc:Choice Requires="wps">
                  <w:drawing>
                    <wp:anchor distT="0" distB="0" distL="114300" distR="114300" simplePos="0" relativeHeight="251661312" behindDoc="0" locked="0" layoutInCell="1" allowOverlap="1">
                      <wp:simplePos x="0" y="0"/>
                      <wp:positionH relativeFrom="column">
                        <wp:posOffset>3138170</wp:posOffset>
                      </wp:positionH>
                      <wp:positionV relativeFrom="paragraph">
                        <wp:posOffset>2208530</wp:posOffset>
                      </wp:positionV>
                      <wp:extent cx="464820" cy="0"/>
                      <wp:effectExtent l="0" t="38100" r="11430" b="38100"/>
                      <wp:wrapNone/>
                      <wp:docPr id="194" name="AutoShape 4"/>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4" o:spid="_x0000_s1026" o:spt="32" type="#_x0000_t32" style="position:absolute;left:0pt;margin-left:247.1pt;margin-top:173.9pt;height:0pt;width:36.6pt;z-index:251661312;mso-width-relative:page;mso-height-relative:page;" filled="f" stroked="t" coordsize="21600,21600" o:gfxdata="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myufdYAAAALAQAADwAAAAAAAAAB&#10;ACAAAAAiAAAAZHJzL2Rvd25yZXYueG1sUEsBAhQAFAAAAAgAh07iQPEWXOUSAgAAPAQAAA4AAAAA&#10;AAAAAQAgAAAAJQEAAGRycy9lMm9Eb2MueG1sUEsFBgAAAAAGAAYAWQEAAKkFAAAA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62336" behindDoc="0" locked="0" layoutInCell="1" allowOverlap="1">
                      <wp:simplePos x="0" y="0"/>
                      <wp:positionH relativeFrom="column">
                        <wp:posOffset>3604895</wp:posOffset>
                      </wp:positionH>
                      <wp:positionV relativeFrom="paragraph">
                        <wp:posOffset>2074545</wp:posOffset>
                      </wp:positionV>
                      <wp:extent cx="1283970" cy="264160"/>
                      <wp:effectExtent l="0" t="0" r="0" b="0"/>
                      <wp:wrapNone/>
                      <wp:docPr id="19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83970" cy="264160"/>
                              </a:xfrm>
                              <a:prstGeom prst="rect">
                                <a:avLst/>
                              </a:prstGeom>
                              <a:noFill/>
                              <a:ln>
                                <a:noFill/>
                              </a:ln>
                              <a:effectLst/>
                            </wps:spPr>
                            <wps:txbx>
                              <w:txbxContent>
                                <w:p>
                                  <w:r>
                                    <w:rPr>
                                      <w:rFonts w:hint="eastAsia"/>
                                    </w:rPr>
                                    <w:t>废丝</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83.85pt;margin-top:163.35pt;height:20.8pt;width:101.1pt;z-index:251662336;mso-width-relative:page;mso-height-relative:margin;mso-height-percent:200;" filled="f" stroked="f" coordsize="21600,21600" o:gfxdata="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54pm3ZAAAA&#10;CwEAAA8AAAAAAAAAAQAgAAAAIgAAAGRycy9kb3ducmV2LnhtbFBLAQIUABQAAAAIAIdO4kA7LVHp&#10;HAIAACUEAAAOAAAAAAAAAAEAIAAAACgBAABkcnMvZTJvRG9jLnhtbFBLBQYAAAAABgAGAFkBAAC2&#10;BQAAAAA=&#10;">
                      <v:fill on="f" focussize="0,0"/>
                      <v:stroke on="f"/>
                      <v:imagedata o:title=""/>
                      <o:lock v:ext="edit" aspectratio="f"/>
                      <v:textbox style="mso-fit-shape-to-text:t;">
                        <w:txbxContent>
                          <w:p>
                            <w:r>
                              <w:rPr>
                                <w:rFonts w:hint="eastAsia"/>
                              </w:rPr>
                              <w:t>废丝</w:t>
                            </w:r>
                          </w:p>
                        </w:txbxContent>
                      </v:textbox>
                    </v:shape>
                  </w:pict>
                </mc:Fallback>
              </mc:AlternateContent>
            </w:r>
            <w:r>
              <mc:AlternateContent>
                <mc:Choice Requires="wps">
                  <w:drawing>
                    <wp:anchor distT="45720" distB="45720" distL="114300" distR="114300" simplePos="0" relativeHeight="251660288" behindDoc="0" locked="0" layoutInCell="1" allowOverlap="1">
                      <wp:simplePos x="0" y="0"/>
                      <wp:positionH relativeFrom="column">
                        <wp:posOffset>3596005</wp:posOffset>
                      </wp:positionH>
                      <wp:positionV relativeFrom="paragraph">
                        <wp:posOffset>1470660</wp:posOffset>
                      </wp:positionV>
                      <wp:extent cx="1283970" cy="264160"/>
                      <wp:effectExtent l="0" t="0" r="0" b="0"/>
                      <wp:wrapNone/>
                      <wp:docPr id="19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83970" cy="264160"/>
                              </a:xfrm>
                              <a:prstGeom prst="rect">
                                <a:avLst/>
                              </a:prstGeom>
                              <a:noFill/>
                              <a:ln>
                                <a:noFill/>
                              </a:ln>
                              <a:effectLst/>
                            </wps:spPr>
                            <wps:txbx>
                              <w:txbxContent>
                                <w:p>
                                  <w:r>
                                    <w:t>烟尘、噪声</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83.15pt;margin-top:115.8pt;height:20.8pt;width:101.1pt;z-index:251660288;mso-width-relative:page;mso-height-relative:margin;mso-height-percent:200;" filled="f" stroked="f" coordsize="21600,21600" o:gfxdata="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1R8FLZAAAA&#10;CwEAAA8AAAAAAAAAAQAgAAAAIgAAAGRycy9kb3ducmV2LnhtbFBLAQIUABQAAAAIAIdO4kDYuyKq&#10;HAIAACUEAAAOAAAAAAAAAAEAIAAAACgBAABkcnMvZTJvRG9jLnhtbFBLBQYAAAAABgAGAFkBAAC2&#10;BQAAAAA=&#10;">
                      <v:fill on="f" focussize="0,0"/>
                      <v:stroke on="f"/>
                      <v:imagedata o:title=""/>
                      <o:lock v:ext="edit" aspectratio="f"/>
                      <v:textbox style="mso-fit-shape-to-text:t;">
                        <w:txbxContent>
                          <w:p>
                            <w:r>
                              <w:t>烟尘、噪声</w:t>
                            </w:r>
                          </w:p>
                        </w:txbxContent>
                      </v:textbox>
                    </v:shape>
                  </w:pict>
                </mc:Fallback>
              </mc:AlternateContent>
            </w:r>
            <w:r>
              <w:drawing>
                <wp:inline distT="0" distB="0" distL="0" distR="0">
                  <wp:extent cx="3009900" cy="5181600"/>
                  <wp:effectExtent l="0" t="0" r="0" b="0"/>
                  <wp:docPr id="2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09900" cy="5181600"/>
                          </a:xfrm>
                          <a:prstGeom prst="rect">
                            <a:avLst/>
                          </a:prstGeom>
                          <a:noFill/>
                          <a:ln>
                            <a:noFill/>
                          </a:ln>
                        </pic:spPr>
                      </pic:pic>
                    </a:graphicData>
                  </a:graphic>
                </wp:inline>
              </w:drawing>
            </w:r>
          </w:p>
          <w:p>
            <w:pPr>
              <w:adjustRightInd w:val="0"/>
              <w:snapToGrid w:val="0"/>
              <w:spacing w:line="360" w:lineRule="auto"/>
              <w:jc w:val="center"/>
              <w:rPr>
                <w:sz w:val="24"/>
              </w:rPr>
            </w:pPr>
            <w:r>
              <w:t>图</w:t>
            </w:r>
            <w:r>
              <w:rPr>
                <w:rFonts w:hint="eastAsia"/>
              </w:rPr>
              <w:t>2</w:t>
            </w:r>
            <w:r>
              <w:t xml:space="preserve">-3  </w:t>
            </w:r>
            <w:r>
              <w:rPr>
                <w:rFonts w:hint="eastAsia"/>
                <w:sz w:val="24"/>
              </w:rPr>
              <w:t xml:space="preserve">纤维原丝生产工艺流程及产污环节图 </w:t>
            </w:r>
          </w:p>
          <w:p>
            <w:pPr>
              <w:adjustRightInd w:val="0"/>
              <w:snapToGrid w:val="0"/>
              <w:spacing w:line="360" w:lineRule="auto"/>
              <w:ind w:firstLine="480" w:firstLineChars="200"/>
              <w:rPr>
                <w:sz w:val="24"/>
              </w:rPr>
            </w:pPr>
            <w:r>
              <w:rPr>
                <w:sz w:val="24"/>
              </w:rPr>
              <w:t>（</w:t>
            </w:r>
            <w:r>
              <w:rPr>
                <w:rFonts w:hint="eastAsia"/>
                <w:sz w:val="24"/>
              </w:rPr>
              <w:t>2</w:t>
            </w:r>
            <w:r>
              <w:rPr>
                <w:sz w:val="24"/>
              </w:rPr>
              <w:t>）</w:t>
            </w:r>
            <w:r>
              <w:rPr>
                <w:rFonts w:hint="eastAsia"/>
                <w:sz w:val="24"/>
              </w:rPr>
              <w:t>短切纱生产工艺</w:t>
            </w:r>
          </w:p>
          <w:p>
            <w:pPr>
              <w:adjustRightInd w:val="0"/>
              <w:snapToGrid w:val="0"/>
              <w:spacing w:line="360" w:lineRule="auto"/>
              <w:ind w:firstLine="480" w:firstLineChars="200"/>
              <w:rPr>
                <w:sz w:val="24"/>
              </w:rPr>
            </w:pPr>
            <w:r>
              <w:rPr>
                <w:rFonts w:hint="eastAsia"/>
                <w:sz w:val="24"/>
              </w:rPr>
              <w:t>短切纱是用烘干后的连续纤维原丝经短切机按用户要求尺寸短切形成的，再经人工检验、称重、包装后入成品库。短切玄武岩纤维由连续玄武岩纤维经短切机加工而成，短切玄武岩纤维可以作增强塑料、沥青、水泥等多种基材，制品在汽车、建筑、航空、日常用品等领域应用广泛。主要长度规格为：3mm、4.5mm、6mm、12mm、18mm、24mm等。</w:t>
            </w:r>
          </w:p>
          <w:p>
            <w:pPr>
              <w:adjustRightInd w:val="0"/>
              <w:snapToGrid w:val="0"/>
              <w:spacing w:line="360" w:lineRule="auto"/>
              <w:ind w:firstLine="480" w:firstLineChars="200"/>
              <w:rPr>
                <w:sz w:val="24"/>
              </w:rPr>
            </w:pPr>
            <w:r>
              <w:rPr>
                <w:rFonts w:hint="eastAsia"/>
                <w:sz w:val="24"/>
              </w:rPr>
              <w:t>短切纱生产工艺流程及产污环节见图2</w:t>
            </w:r>
            <w:r>
              <w:rPr>
                <w:sz w:val="24"/>
              </w:rPr>
              <w:t>-4。</w:t>
            </w:r>
          </w:p>
          <w:p>
            <w:pPr>
              <w:adjustRightInd w:val="0"/>
              <w:snapToGrid w:val="0"/>
              <w:spacing w:line="360" w:lineRule="auto"/>
              <w:jc w:val="center"/>
            </w:pPr>
            <w:r>
              <w:rPr>
                <w:b/>
                <w:bCs/>
                <w:sz w:val="24"/>
              </w:rPr>
              <mc:AlternateContent>
                <mc:Choice Requires="wps">
                  <w:drawing>
                    <wp:anchor distT="45720" distB="45720" distL="114300" distR="114300" simplePos="0" relativeHeight="251674624" behindDoc="0" locked="0" layoutInCell="1" allowOverlap="1">
                      <wp:simplePos x="0" y="0"/>
                      <wp:positionH relativeFrom="column">
                        <wp:posOffset>4088765</wp:posOffset>
                      </wp:positionH>
                      <wp:positionV relativeFrom="paragraph">
                        <wp:posOffset>1212850</wp:posOffset>
                      </wp:positionV>
                      <wp:extent cx="1183005" cy="264160"/>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3005" cy="264160"/>
                              </a:xfrm>
                              <a:prstGeom prst="rect">
                                <a:avLst/>
                              </a:prstGeom>
                              <a:noFill/>
                              <a:ln>
                                <a:noFill/>
                              </a:ln>
                              <a:effectLst/>
                            </wps:spPr>
                            <wps:txbx>
                              <w:txbxContent>
                                <w:p>
                                  <w:r>
                                    <w:rPr>
                                      <w:rFonts w:hint="eastAsia"/>
                                    </w:rPr>
                                    <w:t>噪声、废包装材料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21.95pt;margin-top:95.5pt;height:20.8pt;width:93.15pt;z-index:251674624;mso-width-relative:page;mso-height-relative:margin;mso-height-percent:200;" filled="f" stroked="f" coordsize="21600,21600" o:gfxdata="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QEkf9gAAAAL&#10;AQAADwAAAAAAAAABACAAAAAiAAAAZHJzL2Rvd25yZXYueG1sUEsBAhQAFAAAAAgAh07iQJPBUQgc&#10;AgAAJAQAAA4AAAAAAAAAAQAgAAAAJwEAAGRycy9lMm9Eb2MueG1sUEsFBgAAAAAGAAYAWQEAALUF&#10;AAAAAA==&#10;">
                      <v:fill on="f" focussize="0,0"/>
                      <v:stroke on="f"/>
                      <v:imagedata o:title=""/>
                      <o:lock v:ext="edit" aspectratio="f"/>
                      <v:textbox style="mso-fit-shape-to-text:t;">
                        <w:txbxContent>
                          <w:p>
                            <w:r>
                              <w:rPr>
                                <w:rFonts w:hint="eastAsia"/>
                              </w:rPr>
                              <w:t>噪声、废包装材料</w:t>
                            </w:r>
                          </w:p>
                        </w:txbxContent>
                      </v:textbox>
                    </v:shape>
                  </w:pict>
                </mc:Fallback>
              </mc:AlternateContent>
            </w:r>
            <w:r>
              <w:rPr>
                <w:b/>
                <w:bCs/>
                <w:sz w:val="24"/>
              </w:rPr>
              <mc:AlternateContent>
                <mc:Choice Requires="wps">
                  <w:drawing>
                    <wp:anchor distT="0" distB="0" distL="114300" distR="114300" simplePos="0" relativeHeight="251673600" behindDoc="0" locked="0" layoutInCell="1" allowOverlap="1">
                      <wp:simplePos x="0" y="0"/>
                      <wp:positionH relativeFrom="column">
                        <wp:posOffset>3934460</wp:posOffset>
                      </wp:positionH>
                      <wp:positionV relativeFrom="paragraph">
                        <wp:posOffset>1427480</wp:posOffset>
                      </wp:positionV>
                      <wp:extent cx="220980" cy="226695"/>
                      <wp:effectExtent l="3175" t="0" r="4445" b="20955"/>
                      <wp:wrapNone/>
                      <wp:docPr id="30" name="AutoShape 16"/>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16" o:spid="_x0000_s1026" o:spt="32" type="#_x0000_t32" style="position:absolute;left:0pt;flip:y;margin-left:309.8pt;margin-top:112.4pt;height:17.85pt;width:17.4pt;z-index:251673600;mso-width-relative:page;mso-height-relative:page;" filled="f" stroked="t" coordsize="21600,21600" o:gfxdata="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wuWj1gAAAAsB&#10;AAAPAAAAAAAAAAEAIAAAACIAAABkcnMvZG93bnJldi54bWxQSwECFAAUAAAACACHTuJAEjNrTB0C&#10;AABLBAAADgAAAAAAAAABACAAAAAlAQAAZHJzL2Uyb0RvYy54bWxQSwUGAAAAAAYABgBZAQAAtAUA&#10;AA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72576" behindDoc="0" locked="0" layoutInCell="1" allowOverlap="1">
                      <wp:simplePos x="0" y="0"/>
                      <wp:positionH relativeFrom="column">
                        <wp:posOffset>2431415</wp:posOffset>
                      </wp:positionH>
                      <wp:positionV relativeFrom="paragraph">
                        <wp:posOffset>1201420</wp:posOffset>
                      </wp:positionV>
                      <wp:extent cx="864870" cy="264160"/>
                      <wp:effectExtent l="0" t="0" r="0" b="0"/>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64870" cy="264160"/>
                              </a:xfrm>
                              <a:prstGeom prst="rect">
                                <a:avLst/>
                              </a:prstGeom>
                              <a:noFill/>
                              <a:ln>
                                <a:noFill/>
                              </a:ln>
                              <a:effectLst/>
                            </wps:spPr>
                            <wps:txbx>
                              <w:txbxContent>
                                <w:p>
                                  <w:r>
                                    <w:rPr>
                                      <w:rFonts w:hint="eastAsia"/>
                                    </w:rPr>
                                    <w:t>废丝</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91.45pt;margin-top:94.6pt;height:20.8pt;width:68.1pt;z-index:251672576;mso-width-relative:page;mso-height-relative:margin;mso-height-percent:200;" filled="f" stroked="f" coordsize="21600,21600" o:gfxdata="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ymGgdkAAAAL&#10;AQAADwAAAAAAAAABACAAAAAiAAAAZHJzL2Rvd25yZXYueG1sUEsBAhQAFAAAAAgAh07iQFZZVokb&#10;AgAAIwQAAA4AAAAAAAAAAQAgAAAAKAEAAGRycy9lMm9Eb2MueG1sUEsFBgAAAAAGAAYAWQEAALUF&#10;AAAAAA==&#10;">
                      <v:fill on="f" focussize="0,0"/>
                      <v:stroke on="f"/>
                      <v:imagedata o:title=""/>
                      <o:lock v:ext="edit" aspectratio="f"/>
                      <v:textbox style="mso-fit-shape-to-text:t;">
                        <w:txbxContent>
                          <w:p>
                            <w:r>
                              <w:rPr>
                                <w:rFonts w:hint="eastAsia"/>
                              </w:rPr>
                              <w:t>废丝</w:t>
                            </w:r>
                          </w:p>
                        </w:txbxContent>
                      </v:textbox>
                    </v:shape>
                  </w:pict>
                </mc:Fallback>
              </mc:AlternateContent>
            </w:r>
            <w:r>
              <w:rPr>
                <w:b/>
                <w:bCs/>
                <w:sz w:val="24"/>
              </w:rPr>
              <mc:AlternateContent>
                <mc:Choice Requires="wps">
                  <w:drawing>
                    <wp:anchor distT="45720" distB="45720" distL="114300" distR="114300" simplePos="0" relativeHeight="251670528" behindDoc="0" locked="0" layoutInCell="1" allowOverlap="1">
                      <wp:simplePos x="0" y="0"/>
                      <wp:positionH relativeFrom="column">
                        <wp:posOffset>1494155</wp:posOffset>
                      </wp:positionH>
                      <wp:positionV relativeFrom="paragraph">
                        <wp:posOffset>1201420</wp:posOffset>
                      </wp:positionV>
                      <wp:extent cx="864870" cy="264160"/>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64870" cy="264160"/>
                              </a:xfrm>
                              <a:prstGeom prst="rect">
                                <a:avLst/>
                              </a:prstGeom>
                              <a:noFill/>
                              <a:ln>
                                <a:noFill/>
                              </a:ln>
                              <a:effectLst/>
                            </wps:spPr>
                            <wps:txbx>
                              <w:txbxContent>
                                <w:p>
                                  <w:r>
                                    <w:rPr>
                                      <w:rFonts w:hint="eastAsia"/>
                                    </w:rPr>
                                    <w:t>噪声、废丝</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17.65pt;margin-top:94.6pt;height:20.8pt;width:68.1pt;z-index:251670528;mso-width-relative:page;mso-height-relative:margin;mso-height-percent:200;" filled="f" stroked="f" coordsize="21600,21600" o:gfxdata="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uLyAvYAAAACwEA&#10;AA8AAAAAAAAAAQAgAAAAIgAAAGRycy9kb3ducmV2LnhtbFBLAQIUABQAAAAIAIdO4kA+0CmTGgIA&#10;ACMEAAAOAAAAAAAAAAEAIAAAACcBAABkcnMvZTJvRG9jLnhtbFBLBQYAAAAABgAGAFkBAACzBQAA&#10;AAA=&#10;">
                      <v:fill on="f" focussize="0,0"/>
                      <v:stroke on="f"/>
                      <v:imagedata o:title=""/>
                      <o:lock v:ext="edit" aspectratio="f"/>
                      <v:textbox style="mso-fit-shape-to-text:t;">
                        <w:txbxContent>
                          <w:p>
                            <w:r>
                              <w:rPr>
                                <w:rFonts w:hint="eastAsia"/>
                              </w:rPr>
                              <w:t>噪声、废丝</w:t>
                            </w:r>
                          </w:p>
                        </w:txbxContent>
                      </v:textbox>
                    </v:shape>
                  </w:pict>
                </mc:Fallback>
              </mc:AlternateContent>
            </w:r>
            <w:r>
              <w:rPr>
                <w:b/>
                <w:bCs/>
                <w:sz w:val="24"/>
              </w:rPr>
              <mc:AlternateContent>
                <mc:Choice Requires="wps">
                  <w:drawing>
                    <wp:anchor distT="0" distB="0" distL="114300" distR="114300" simplePos="0" relativeHeight="251671552" behindDoc="0" locked="0" layoutInCell="1" allowOverlap="1">
                      <wp:simplePos x="0" y="0"/>
                      <wp:positionH relativeFrom="column">
                        <wp:posOffset>2341880</wp:posOffset>
                      </wp:positionH>
                      <wp:positionV relativeFrom="paragraph">
                        <wp:posOffset>1436370</wp:posOffset>
                      </wp:positionV>
                      <wp:extent cx="220980" cy="226695"/>
                      <wp:effectExtent l="3175" t="0" r="4445" b="20955"/>
                      <wp:wrapNone/>
                      <wp:docPr id="27" name="AutoShape 14"/>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14" o:spid="_x0000_s1026" o:spt="32" type="#_x0000_t32" style="position:absolute;left:0pt;flip:y;margin-left:184.4pt;margin-top:113.1pt;height:17.85pt;width:17.4pt;z-index:251671552;mso-width-relative:page;mso-height-relative:page;" filled="f" stroked="t" coordsize="21600,21600" o:gfxdata="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keQVNYAAAAL&#10;AQAADwAAAAAAAAABACAAAAAiAAAAZHJzL2Rvd25yZXYueG1sUEsBAhQAFAAAAAgAh07iQIKMfQYe&#10;AgAASwQAAA4AAAAAAAAAAQAgAAAAJQEAAGRycy9lMm9Eb2MueG1sUEsFBgAAAAAGAAYAWQEAALUF&#10;AAAAAA==&#10;">
                      <v:fill on="f" focussize="0,0"/>
                      <v:stroke color="#000000" joinstyle="round" dashstyle="dash" endarrow="block"/>
                      <v:imagedata o:title=""/>
                      <o:lock v:ext="edit" aspectratio="f"/>
                    </v:shape>
                  </w:pict>
                </mc:Fallback>
              </mc:AlternateContent>
            </w:r>
            <w:r>
              <w:rPr>
                <w:b/>
                <w:bCs/>
                <w:sz w:val="24"/>
              </w:rPr>
              <mc:AlternateContent>
                <mc:Choice Requires="wps">
                  <w:drawing>
                    <wp:anchor distT="0" distB="0" distL="114300" distR="114300" simplePos="0" relativeHeight="251669504" behindDoc="0" locked="0" layoutInCell="1" allowOverlap="1">
                      <wp:simplePos x="0" y="0"/>
                      <wp:positionH relativeFrom="column">
                        <wp:posOffset>1351280</wp:posOffset>
                      </wp:positionH>
                      <wp:positionV relativeFrom="paragraph">
                        <wp:posOffset>1430020</wp:posOffset>
                      </wp:positionV>
                      <wp:extent cx="220980" cy="226695"/>
                      <wp:effectExtent l="3175" t="0" r="4445" b="20955"/>
                      <wp:wrapNone/>
                      <wp:docPr id="26" name="AutoShape 12"/>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12" o:spid="_x0000_s1026" o:spt="32" type="#_x0000_t32" style="position:absolute;left:0pt;flip:y;margin-left:106.4pt;margin-top:112.6pt;height:17.85pt;width:17.4pt;z-index:251669504;mso-width-relative:page;mso-height-relative:page;" filled="f" stroked="t" coordsize="21600,21600" o:gfxdata="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sIN+zVAAAACwEA&#10;AA8AAAAAAAAAAQAgAAAAIgAAAGRycy9kb3ducmV2LnhtbFBLAQIUABQAAAAIAIdO4kD5U1RGHQIA&#10;AEsEAAAOAAAAAAAAAAEAIAAAACQBAABkcnMvZTJvRG9jLnhtbFBLBQYAAAAABgAGAFkBAACzBQAA&#10;AAA=&#10;">
                      <v:fill on="f" focussize="0,0"/>
                      <v:stroke color="#000000" joinstyle="round" dashstyle="dash" endarrow="block"/>
                      <v:imagedata o:title=""/>
                      <o:lock v:ext="edit" aspectratio="f"/>
                    </v:shape>
                  </w:pict>
                </mc:Fallback>
              </mc:AlternateContent>
            </w:r>
            <w:r>
              <w:drawing>
                <wp:inline distT="0" distB="0" distL="0" distR="0">
                  <wp:extent cx="5295900" cy="2141220"/>
                  <wp:effectExtent l="0" t="0" r="0" b="0"/>
                  <wp:docPr id="2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95900" cy="2141220"/>
                          </a:xfrm>
                          <a:prstGeom prst="rect">
                            <a:avLst/>
                          </a:prstGeom>
                          <a:noFill/>
                          <a:ln>
                            <a:noFill/>
                          </a:ln>
                        </pic:spPr>
                      </pic:pic>
                    </a:graphicData>
                  </a:graphic>
                </wp:inline>
              </w:drawing>
            </w:r>
          </w:p>
          <w:p>
            <w:pPr>
              <w:adjustRightInd w:val="0"/>
              <w:snapToGrid w:val="0"/>
              <w:spacing w:line="360" w:lineRule="auto"/>
              <w:jc w:val="center"/>
              <w:rPr>
                <w:sz w:val="24"/>
              </w:rPr>
            </w:pPr>
            <w:r>
              <w:t>图</w:t>
            </w:r>
            <w:r>
              <w:rPr>
                <w:rFonts w:hint="eastAsia"/>
              </w:rPr>
              <w:t>2</w:t>
            </w:r>
            <w:r>
              <w:t xml:space="preserve">-4  </w:t>
            </w:r>
            <w:r>
              <w:rPr>
                <w:rFonts w:hint="eastAsia"/>
                <w:sz w:val="24"/>
              </w:rPr>
              <w:t>短切纱生产工艺流程及产污环节图</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）无捻粗纱生产工艺</w:t>
            </w:r>
          </w:p>
          <w:p>
            <w:pPr>
              <w:adjustRightInd w:val="0"/>
              <w:snapToGrid w:val="0"/>
              <w:spacing w:line="360" w:lineRule="auto"/>
              <w:ind w:firstLine="480" w:firstLineChars="200"/>
              <w:rPr>
                <w:sz w:val="24"/>
              </w:rPr>
            </w:pPr>
            <w:r>
              <w:rPr>
                <w:rFonts w:hint="eastAsia"/>
                <w:sz w:val="24"/>
              </w:rPr>
              <w:t>无捻粗纱是用烘干后的多股平行原丝或单股平行原丝经无捻粗纱机在不加捻、常温的状态下合并而成的集束体，集束好的粗纱再经人工检验、称重、包装后入成品库。</w:t>
            </w:r>
          </w:p>
          <w:p>
            <w:pPr>
              <w:adjustRightInd w:val="0"/>
              <w:snapToGrid w:val="0"/>
              <w:spacing w:line="360" w:lineRule="auto"/>
              <w:ind w:firstLine="480" w:firstLineChars="200"/>
              <w:rPr>
                <w:sz w:val="24"/>
              </w:rPr>
            </w:pPr>
            <w:r>
              <w:rPr>
                <w:rFonts w:hint="eastAsia"/>
                <w:sz w:val="24"/>
              </w:rPr>
              <w:t>退绕：将绕丝筒上的玄武岩纤维原丝在初捻捻线机上（俗称退绕机）退介、加捻、卷绕成所需卷装形式（纱管、筒子或纬管）的单纱。通过退绕加工，提高了单纱的纺织工艺性能，改变了卷装，以满足后加工的要求。</w:t>
            </w:r>
          </w:p>
          <w:p>
            <w:pPr>
              <w:adjustRightInd w:val="0"/>
              <w:snapToGrid w:val="0"/>
              <w:spacing w:line="360" w:lineRule="auto"/>
              <w:ind w:firstLine="480" w:firstLineChars="200"/>
              <w:rPr>
                <w:sz w:val="24"/>
              </w:rPr>
            </w:pPr>
            <w:r>
              <w:rPr>
                <w:rFonts w:hint="eastAsia"/>
                <w:sz w:val="24"/>
              </w:rPr>
              <w:t>络纱：将单纱或股纱或多根原丝通过络纱机络成所需卷装量和卷装形式的筒子，以满足应用要求。</w:t>
            </w:r>
          </w:p>
          <w:p>
            <w:pPr>
              <w:adjustRightInd w:val="0"/>
              <w:snapToGrid w:val="0"/>
              <w:spacing w:line="360" w:lineRule="auto"/>
              <w:ind w:firstLine="480" w:firstLineChars="200"/>
              <w:rPr>
                <w:sz w:val="24"/>
              </w:rPr>
            </w:pPr>
            <w:r>
              <w:rPr>
                <w:rFonts w:hint="eastAsia"/>
                <w:sz w:val="24"/>
              </w:rPr>
              <w:t>无捻粗纱生产工艺流程及产污环节见图2</w:t>
            </w:r>
            <w:r>
              <w:rPr>
                <w:sz w:val="24"/>
              </w:rPr>
              <w:t>-5。</w:t>
            </w:r>
          </w:p>
          <w:p>
            <w:pPr>
              <w:adjustRightInd w:val="0"/>
              <w:snapToGrid w:val="0"/>
              <w:spacing w:line="360" w:lineRule="auto"/>
              <w:jc w:val="center"/>
            </w:pPr>
            <w:r>
              <w:rPr>
                <w:b/>
                <w:bCs/>
                <w:sz w:val="24"/>
              </w:rPr>
              <mc:AlternateContent>
                <mc:Choice Requires="wps">
                  <w:drawing>
                    <wp:anchor distT="45720" distB="45720" distL="114300" distR="114300" simplePos="0" relativeHeight="251680768" behindDoc="0" locked="0" layoutInCell="1" allowOverlap="1">
                      <wp:simplePos x="0" y="0"/>
                      <wp:positionH relativeFrom="column">
                        <wp:posOffset>3934460</wp:posOffset>
                      </wp:positionH>
                      <wp:positionV relativeFrom="paragraph">
                        <wp:posOffset>1220470</wp:posOffset>
                      </wp:positionV>
                      <wp:extent cx="1183005" cy="264160"/>
                      <wp:effectExtent l="0" t="0" r="0" b="0"/>
                      <wp:wrapNone/>
                      <wp:docPr id="2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3005" cy="264160"/>
                              </a:xfrm>
                              <a:prstGeom prst="rect">
                                <a:avLst/>
                              </a:prstGeom>
                              <a:noFill/>
                              <a:ln>
                                <a:noFill/>
                              </a:ln>
                              <a:effectLst/>
                            </wps:spPr>
                            <wps:txbx>
                              <w:txbxContent>
                                <w:p>
                                  <w:r>
                                    <w:rPr>
                                      <w:rFonts w:hint="eastAsia"/>
                                    </w:rPr>
                                    <w:t>噪声、废包装材料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09.8pt;margin-top:96.1pt;height:20.8pt;width:93.15pt;z-index:251680768;mso-width-relative:page;mso-height-relative:margin;mso-height-percent:200;" filled="f" stroked="f" coordsize="21600,21600" o:gfxdata="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X/zbtkAAAAL&#10;AQAADwAAAAAAAAABACAAAAAiAAAAZHJzL2Rvd25yZXYueG1sUEsBAhQAFAAAAAgAh07iQApcrucb&#10;AgAAJAQAAA4AAAAAAAAAAQAgAAAAKAEAAGRycy9lMm9Eb2MueG1sUEsFBgAAAAAGAAYAWQEAALUF&#10;AAAAAA==&#10;">
                      <v:fill on="f" focussize="0,0"/>
                      <v:stroke on="f"/>
                      <v:imagedata o:title=""/>
                      <o:lock v:ext="edit" aspectratio="f"/>
                      <v:textbox style="mso-fit-shape-to-text:t;">
                        <w:txbxContent>
                          <w:p>
                            <w:r>
                              <w:rPr>
                                <w:rFonts w:hint="eastAsia"/>
                              </w:rPr>
                              <w:t>噪声、废包装材料</w:t>
                            </w:r>
                          </w:p>
                        </w:txbxContent>
                      </v:textbox>
                    </v:shape>
                  </w:pict>
                </mc:Fallback>
              </mc:AlternateContent>
            </w:r>
            <w:r>
              <w:rPr>
                <w:b/>
                <w:bCs/>
                <w:sz w:val="24"/>
              </w:rPr>
              <mc:AlternateContent>
                <mc:Choice Requires="wps">
                  <w:drawing>
                    <wp:anchor distT="0" distB="0" distL="114300" distR="114300" simplePos="0" relativeHeight="251679744" behindDoc="0" locked="0" layoutInCell="1" allowOverlap="1">
                      <wp:simplePos x="0" y="0"/>
                      <wp:positionH relativeFrom="column">
                        <wp:posOffset>4065905</wp:posOffset>
                      </wp:positionH>
                      <wp:positionV relativeFrom="paragraph">
                        <wp:posOffset>1436370</wp:posOffset>
                      </wp:positionV>
                      <wp:extent cx="220980" cy="226695"/>
                      <wp:effectExtent l="3175" t="0" r="4445" b="20955"/>
                      <wp:wrapNone/>
                      <wp:docPr id="24" name="AutoShape 22"/>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22" o:spid="_x0000_s1026" o:spt="32" type="#_x0000_t32" style="position:absolute;left:0pt;flip:y;margin-left:320.15pt;margin-top:113.1pt;height:17.85pt;width:17.4pt;z-index:251679744;mso-width-relative:page;mso-height-relative:page;" filled="f" stroked="t" coordsize="21600,21600" o:gfxdata="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7dwP41gAAAAsB&#10;AAAPAAAAAAAAAAEAIAAAACIAAABkcnMvZG93bnJldi54bWxQSwECFAAUAAAACACHTuJAWKTXZR0C&#10;AABLBAAADgAAAAAAAAABACAAAAAlAQAAZHJzL2Uyb0RvYy54bWxQSwUGAAAAAAYABgBZAQAAtAUA&#10;AA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78720" behindDoc="0" locked="0" layoutInCell="1" allowOverlap="1">
                      <wp:simplePos x="0" y="0"/>
                      <wp:positionH relativeFrom="column">
                        <wp:posOffset>2461895</wp:posOffset>
                      </wp:positionH>
                      <wp:positionV relativeFrom="paragraph">
                        <wp:posOffset>1201420</wp:posOffset>
                      </wp:positionV>
                      <wp:extent cx="864870" cy="264160"/>
                      <wp:effectExtent l="0" t="0" r="0" b="0"/>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64870" cy="264160"/>
                              </a:xfrm>
                              <a:prstGeom prst="rect">
                                <a:avLst/>
                              </a:prstGeom>
                              <a:noFill/>
                              <a:ln>
                                <a:noFill/>
                              </a:ln>
                              <a:effectLst/>
                            </wps:spPr>
                            <wps:txbx>
                              <w:txbxContent>
                                <w:p>
                                  <w:r>
                                    <w:rPr>
                                      <w:rFonts w:hint="eastAsia"/>
                                    </w:rPr>
                                    <w:t>废丝</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93.85pt;margin-top:94.6pt;height:20.8pt;width:68.1pt;z-index:251678720;mso-width-relative:page;mso-height-relative:margin;mso-height-percent:200;" filled="f" stroked="f" coordsize="21600,21600" o:gfxdata="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DzdJNkAAAAL&#10;AQAADwAAAAAAAAABACAAAAAiAAAAZHJzL2Rvd25yZXYueG1sUEsBAhQAFAAAAAgAh07iQMYAVW4b&#10;AgAAIwQAAA4AAAAAAAAAAQAgAAAAKAEAAGRycy9lMm9Eb2MueG1sUEsFBgAAAAAGAAYAWQEAALUF&#10;AAAAAA==&#10;">
                      <v:fill on="f" focussize="0,0"/>
                      <v:stroke on="f"/>
                      <v:imagedata o:title=""/>
                      <o:lock v:ext="edit" aspectratio="f"/>
                      <v:textbox style="mso-fit-shape-to-text:t;">
                        <w:txbxContent>
                          <w:p>
                            <w:r>
                              <w:rPr>
                                <w:rFonts w:hint="eastAsia"/>
                              </w:rPr>
                              <w:t>废丝</w:t>
                            </w:r>
                          </w:p>
                        </w:txbxContent>
                      </v:textbox>
                    </v:shape>
                  </w:pict>
                </mc:Fallback>
              </mc:AlternateContent>
            </w:r>
            <w:r>
              <w:rPr>
                <w:b/>
                <w:bCs/>
                <w:sz w:val="24"/>
              </w:rPr>
              <mc:AlternateContent>
                <mc:Choice Requires="wps">
                  <w:drawing>
                    <wp:anchor distT="0" distB="0" distL="114300" distR="114300" simplePos="0" relativeHeight="251677696" behindDoc="0" locked="0" layoutInCell="1" allowOverlap="1">
                      <wp:simplePos x="0" y="0"/>
                      <wp:positionH relativeFrom="column">
                        <wp:posOffset>2372360</wp:posOffset>
                      </wp:positionH>
                      <wp:positionV relativeFrom="paragraph">
                        <wp:posOffset>1436370</wp:posOffset>
                      </wp:positionV>
                      <wp:extent cx="220980" cy="226695"/>
                      <wp:effectExtent l="3175" t="0" r="4445" b="20955"/>
                      <wp:wrapNone/>
                      <wp:docPr id="22" name="AutoShape 20"/>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20" o:spid="_x0000_s1026" o:spt="32" type="#_x0000_t32" style="position:absolute;left:0pt;flip:y;margin-left:186.8pt;margin-top:113.1pt;height:17.85pt;width:17.4pt;z-index:251677696;mso-width-relative:page;mso-height-relative:page;" filled="f" stroked="t" coordsize="21600,21600" o:gfxdata="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jpVtNcAAAAL&#10;AQAADwAAAAAAAAABACAAAAAiAAAAZHJzL2Rvd25yZXYueG1sUEsBAhQAFAAAAAgAh07iQHx1aiwd&#10;AgAASwQAAA4AAAAAAAAAAQAgAAAAJgEAAGRycy9lMm9Eb2MueG1sUEsFBgAAAAAGAAYAWQEAALUF&#10;AAAA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76672" behindDoc="0" locked="0" layoutInCell="1" allowOverlap="1">
                      <wp:simplePos x="0" y="0"/>
                      <wp:positionH relativeFrom="column">
                        <wp:posOffset>1507490</wp:posOffset>
                      </wp:positionH>
                      <wp:positionV relativeFrom="paragraph">
                        <wp:posOffset>1224915</wp:posOffset>
                      </wp:positionV>
                      <wp:extent cx="864870" cy="264160"/>
                      <wp:effectExtent l="0" t="0" r="0" b="0"/>
                      <wp:wrapNone/>
                      <wp:docPr id="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64870" cy="264160"/>
                              </a:xfrm>
                              <a:prstGeom prst="rect">
                                <a:avLst/>
                              </a:prstGeom>
                              <a:noFill/>
                              <a:ln>
                                <a:noFill/>
                              </a:ln>
                              <a:effectLst/>
                            </wps:spPr>
                            <wps:txbx>
                              <w:txbxContent>
                                <w:p>
                                  <w:r>
                                    <w:rPr>
                                      <w:rFonts w:hint="eastAsia"/>
                                    </w:rPr>
                                    <w:t>噪声、废丝</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18.7pt;margin-top:96.45pt;height:20.8pt;width:68.1pt;z-index:251676672;mso-width-relative:page;mso-height-relative:margin;mso-height-percent:200;" filled="f" stroked="f" coordsize="21600,21600" o:gfxdata="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G9Ofy2AAAAAsB&#10;AAAPAAAAAAAAAAEAIAAAACIAAABkcnMvZG93bnJldi54bWxQSwECFAAUAAAACACHTuJAFhKqWhsC&#10;AAAjBAAADgAAAAAAAAABACAAAAAnAQAAZHJzL2Uyb0RvYy54bWxQSwUGAAAAAAYABgBZAQAAtAUA&#10;AAAA&#10;">
                      <v:fill on="f" focussize="0,0"/>
                      <v:stroke on="f"/>
                      <v:imagedata o:title=""/>
                      <o:lock v:ext="edit" aspectratio="f"/>
                      <v:textbox style="mso-fit-shape-to-text:t;">
                        <w:txbxContent>
                          <w:p>
                            <w:r>
                              <w:rPr>
                                <w:rFonts w:hint="eastAsia"/>
                              </w:rPr>
                              <w:t>噪声、废丝</w:t>
                            </w:r>
                          </w:p>
                        </w:txbxContent>
                      </v:textbox>
                    </v:shape>
                  </w:pict>
                </mc:Fallback>
              </mc:AlternateContent>
            </w:r>
            <w:r>
              <w:rPr>
                <w:b/>
                <w:bCs/>
                <w:sz w:val="24"/>
              </w:rPr>
              <mc:AlternateContent>
                <mc:Choice Requires="wps">
                  <w:drawing>
                    <wp:anchor distT="0" distB="0" distL="114300" distR="114300" simplePos="0" relativeHeight="251675648" behindDoc="0" locked="0" layoutInCell="1" allowOverlap="1">
                      <wp:simplePos x="0" y="0"/>
                      <wp:positionH relativeFrom="column">
                        <wp:posOffset>1419860</wp:posOffset>
                      </wp:positionH>
                      <wp:positionV relativeFrom="paragraph">
                        <wp:posOffset>1414145</wp:posOffset>
                      </wp:positionV>
                      <wp:extent cx="220980" cy="226695"/>
                      <wp:effectExtent l="3175" t="0" r="4445" b="20955"/>
                      <wp:wrapNone/>
                      <wp:docPr id="20" name="AutoShape 18"/>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18" o:spid="_x0000_s1026" o:spt="32" type="#_x0000_t32" style="position:absolute;left:0pt;flip:y;margin-left:111.8pt;margin-top:111.35pt;height:17.85pt;width:17.4pt;z-index:251675648;mso-width-relative:page;mso-height-relative:page;" filled="f" stroked="t" coordsize="21600,21600" o:gfxdata="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BRSGtQAAAALAQAA&#10;DwAAAAAAAAABACAAAAAiAAAAZHJzL2Rvd25yZXYueG1sUEsBAhQAFAAAAAgAh07iQOkyFQUdAgAA&#10;SwQAAA4AAAAAAAAAAQAgAAAAIwEAAGRycy9lMm9Eb2MueG1sUEsFBgAAAAAGAAYAWQEAALIFAAAA&#10;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81792" behindDoc="0" locked="0" layoutInCell="1" allowOverlap="1">
                      <wp:simplePos x="0" y="0"/>
                      <wp:positionH relativeFrom="column">
                        <wp:posOffset>682625</wp:posOffset>
                      </wp:positionH>
                      <wp:positionV relativeFrom="paragraph">
                        <wp:posOffset>1661795</wp:posOffset>
                      </wp:positionV>
                      <wp:extent cx="769620" cy="349885"/>
                      <wp:effectExtent l="4445" t="4445" r="6985" b="7620"/>
                      <wp:wrapNone/>
                      <wp:docPr id="3" name="文本框 13"/>
                      <wp:cNvGraphicFramePr/>
                      <a:graphic xmlns:a="http://schemas.openxmlformats.org/drawingml/2006/main">
                        <a:graphicData uri="http://schemas.microsoft.com/office/word/2010/wordprocessingShape">
                          <wps:wsp>
                            <wps:cNvSpPr txBox="1"/>
                            <wps:spPr>
                              <a:xfrm>
                                <a:off x="0" y="0"/>
                                <a:ext cx="769620" cy="349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b/>
                                    </w:rPr>
                                  </w:pPr>
                                  <w:r>
                                    <w:rPr>
                                      <w:rFonts w:ascii="仿宋" w:hAnsi="仿宋" w:eastAsia="仿宋"/>
                                      <w:b/>
                                    </w:rPr>
                                    <w:t>无捻纺纱</w:t>
                                  </w:r>
                                </w:p>
                              </w:txbxContent>
                            </wps:txbx>
                            <wps:bodyPr upright="1"/>
                          </wps:wsp>
                        </a:graphicData>
                      </a:graphic>
                    </wp:anchor>
                  </w:drawing>
                </mc:Choice>
                <mc:Fallback>
                  <w:pict>
                    <v:shape id="文本框 13" o:spid="_x0000_s1026" o:spt="202" type="#_x0000_t202" style="position:absolute;left:0pt;margin-left:53.75pt;margin-top:130.85pt;height:27.55pt;width:60.6pt;z-index:251681792;mso-width-relative:page;mso-height-relative:page;" fillcolor="#FFFFFF" filled="t" stroked="t" coordsize="21600,21600" o:gfxdata="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TgO02QAAAAsBAAAPAAAAAAAAAAEAIAAA&#10;ACIAAABkcnMvZG93bnJldi54bWxQSwECFAAUAAAACACHTuJA4iIo9QsCAAA2BAAADgAAAAAAAAAB&#10;ACAAAAAoAQAAZHJzL2Uyb0RvYy54bWxQSwUGAAAAAAYABgBZAQAApQUAAAAA&#10;">
                      <v:fill on="t" focussize="0,0"/>
                      <v:stroke color="#000000" joinstyle="miter"/>
                      <v:imagedata o:title=""/>
                      <o:lock v:ext="edit" aspectratio="f"/>
                      <v:textbox>
                        <w:txbxContent>
                          <w:p>
                            <w:pPr>
                              <w:rPr>
                                <w:rFonts w:ascii="仿宋" w:hAnsi="仿宋" w:eastAsia="仿宋"/>
                                <w:b/>
                              </w:rPr>
                            </w:pPr>
                            <w:r>
                              <w:rPr>
                                <w:rFonts w:ascii="仿宋" w:hAnsi="仿宋" w:eastAsia="仿宋"/>
                                <w:b/>
                              </w:rPr>
                              <w:t>无捻纺纱</w:t>
                            </w:r>
                          </w:p>
                        </w:txbxContent>
                      </v:textbox>
                    </v:shape>
                  </w:pict>
                </mc:Fallback>
              </mc:AlternateContent>
            </w:r>
            <w:r>
              <w:drawing>
                <wp:inline distT="0" distB="0" distL="0" distR="0">
                  <wp:extent cx="5295900" cy="2141220"/>
                  <wp:effectExtent l="0" t="0" r="0" b="0"/>
                  <wp:docPr id="2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95900" cy="2141220"/>
                          </a:xfrm>
                          <a:prstGeom prst="rect">
                            <a:avLst/>
                          </a:prstGeom>
                          <a:noFill/>
                          <a:ln>
                            <a:noFill/>
                          </a:ln>
                        </pic:spPr>
                      </pic:pic>
                    </a:graphicData>
                  </a:graphic>
                </wp:inline>
              </w:drawing>
            </w:r>
          </w:p>
          <w:p>
            <w:pPr>
              <w:adjustRightInd w:val="0"/>
              <w:snapToGrid w:val="0"/>
              <w:spacing w:line="360" w:lineRule="auto"/>
              <w:jc w:val="center"/>
              <w:rPr>
                <w:sz w:val="24"/>
              </w:rPr>
            </w:pPr>
            <w:r>
              <w:t>图</w:t>
            </w:r>
            <w:r>
              <w:rPr>
                <w:rFonts w:hint="eastAsia"/>
              </w:rPr>
              <w:t>2</w:t>
            </w:r>
            <w:r>
              <w:t xml:space="preserve">-5  </w:t>
            </w:r>
            <w:r>
              <w:rPr>
                <w:rFonts w:hint="eastAsia"/>
                <w:sz w:val="24"/>
              </w:rPr>
              <w:t>无捻粗纱生产工艺流程及产污环节图</w:t>
            </w:r>
          </w:p>
          <w:p>
            <w:pPr>
              <w:adjustRightInd w:val="0"/>
              <w:snapToGrid w:val="0"/>
              <w:spacing w:line="360" w:lineRule="auto"/>
              <w:ind w:firstLine="480" w:firstLineChars="200"/>
              <w:rPr>
                <w:sz w:val="24"/>
              </w:rPr>
            </w:pPr>
            <w:r>
              <w:rPr>
                <w:rFonts w:hint="eastAsia"/>
                <w:sz w:val="24"/>
              </w:rPr>
              <w:t>（4）纺织纱生产工艺</w:t>
            </w:r>
          </w:p>
          <w:p>
            <w:pPr>
              <w:adjustRightInd w:val="0"/>
              <w:snapToGrid w:val="0"/>
              <w:spacing w:line="360" w:lineRule="auto"/>
              <w:ind w:firstLine="480" w:firstLineChars="200"/>
              <w:rPr>
                <w:sz w:val="24"/>
              </w:rPr>
            </w:pPr>
            <w:r>
              <w:rPr>
                <w:rFonts w:hint="eastAsia"/>
                <w:sz w:val="24"/>
              </w:rPr>
              <w:t>纺织纱是由多根玄武岩纤维原丝经过加捻和并股而成的纱线，再经人工检验、称重、包装后入成品库。</w:t>
            </w:r>
          </w:p>
          <w:p>
            <w:pPr>
              <w:adjustRightInd w:val="0"/>
              <w:snapToGrid w:val="0"/>
              <w:spacing w:line="360" w:lineRule="auto"/>
              <w:ind w:firstLine="480" w:firstLineChars="200"/>
              <w:rPr>
                <w:sz w:val="24"/>
              </w:rPr>
            </w:pPr>
            <w:r>
              <w:rPr>
                <w:rFonts w:hint="eastAsia"/>
                <w:sz w:val="24"/>
              </w:rPr>
              <w:t>退绕：将绕丝筒上的玄武岩纤维原丝在初捻捻线机上（俗称退绕机）退介、加捻、卷绕成所需卷装形式（纱管、筒子或纬管）的单纱。通过退绕加工，提高了单纱的纺织工艺性能，改变了卷装，以满足后加工的要求。</w:t>
            </w:r>
          </w:p>
          <w:p>
            <w:pPr>
              <w:adjustRightInd w:val="0"/>
              <w:snapToGrid w:val="0"/>
              <w:spacing w:line="360" w:lineRule="auto"/>
              <w:ind w:firstLine="480" w:firstLineChars="200"/>
              <w:rPr>
                <w:sz w:val="24"/>
              </w:rPr>
            </w:pPr>
            <w:r>
              <w:rPr>
                <w:rFonts w:hint="eastAsia"/>
                <w:sz w:val="24"/>
              </w:rPr>
              <w:t>并捻：将两根或多根单纱在复捻捻线机（或称并捻机）上退介、并股，作第二次反向加捻，卷绕成听需卷装形式（纱管、筒子或纬管）的股纱。通过捻加工，改善纱线结构的稳定性，进一步提高纺织工艺性能，增大卷装量以满足后加工和应用要求。</w:t>
            </w:r>
          </w:p>
          <w:p>
            <w:pPr>
              <w:adjustRightInd w:val="0"/>
              <w:snapToGrid w:val="0"/>
              <w:spacing w:line="360" w:lineRule="auto"/>
              <w:ind w:firstLine="480" w:firstLineChars="200"/>
              <w:rPr>
                <w:sz w:val="24"/>
              </w:rPr>
            </w:pPr>
            <w:r>
              <w:rPr>
                <w:rFonts w:hint="eastAsia"/>
                <w:sz w:val="24"/>
              </w:rPr>
              <w:t>纺织纱生产工艺流程及产污环节见图2</w:t>
            </w:r>
            <w:r>
              <w:rPr>
                <w:sz w:val="24"/>
              </w:rPr>
              <w:t>-6。</w:t>
            </w:r>
          </w:p>
          <w:p>
            <w:pPr>
              <w:adjustRightInd w:val="0"/>
              <w:snapToGrid w:val="0"/>
              <w:spacing w:line="360" w:lineRule="auto"/>
              <w:jc w:val="center"/>
            </w:pPr>
            <w:r>
              <w:rPr>
                <w:b/>
                <w:bCs/>
                <w:sz w:val="24"/>
              </w:rPr>
              <mc:AlternateContent>
                <mc:Choice Requires="wps">
                  <w:drawing>
                    <wp:anchor distT="0" distB="0" distL="114300" distR="114300" simplePos="0" relativeHeight="251686912" behindDoc="0" locked="0" layoutInCell="1" allowOverlap="1">
                      <wp:simplePos x="0" y="0"/>
                      <wp:positionH relativeFrom="column">
                        <wp:posOffset>4035425</wp:posOffset>
                      </wp:positionH>
                      <wp:positionV relativeFrom="paragraph">
                        <wp:posOffset>1433195</wp:posOffset>
                      </wp:positionV>
                      <wp:extent cx="220980" cy="226695"/>
                      <wp:effectExtent l="3175" t="0" r="4445" b="20955"/>
                      <wp:wrapNone/>
                      <wp:docPr id="18" name="AutoShape 29"/>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29" o:spid="_x0000_s1026" o:spt="32" type="#_x0000_t32" style="position:absolute;left:0pt;flip:y;margin-left:317.75pt;margin-top:112.85pt;height:17.85pt;width:17.4pt;z-index:251686912;mso-width-relative:page;mso-height-relative:page;" filled="f" stroked="t" coordsize="21600,21600" o:gfxdata="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DHlwn1wAAAAsB&#10;AAAPAAAAAAAAAAEAIAAAACIAAABkcnMvZG93bnJldi54bWxQSwECFAAUAAAACACHTuJAfZmy2xwC&#10;AABLBAAADgAAAAAAAAABACAAAAAmAQAAZHJzL2Uyb0RvYy54bWxQSwUGAAAAAAYABgBZAQAAtAUA&#10;AA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85888" behindDoc="0" locked="0" layoutInCell="1" allowOverlap="1">
                      <wp:simplePos x="0" y="0"/>
                      <wp:positionH relativeFrom="column">
                        <wp:posOffset>2431415</wp:posOffset>
                      </wp:positionH>
                      <wp:positionV relativeFrom="paragraph">
                        <wp:posOffset>1198245</wp:posOffset>
                      </wp:positionV>
                      <wp:extent cx="864870" cy="264160"/>
                      <wp:effectExtent l="0" t="0" r="0" b="0"/>
                      <wp:wrapNone/>
                      <wp:docPr id="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64870" cy="264160"/>
                              </a:xfrm>
                              <a:prstGeom prst="rect">
                                <a:avLst/>
                              </a:prstGeom>
                              <a:noFill/>
                              <a:ln>
                                <a:noFill/>
                              </a:ln>
                              <a:effectLst/>
                            </wps:spPr>
                            <wps:txbx>
                              <w:txbxContent>
                                <w:p>
                                  <w:r>
                                    <w:rPr>
                                      <w:rFonts w:hint="eastAsia"/>
                                    </w:rPr>
                                    <w:t>废丝</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91.45pt;margin-top:94.35pt;height:20.8pt;width:68.1pt;z-index:251685888;mso-width-relative:page;mso-height-relative:margin;mso-height-percent:200;" filled="f" stroked="f" coordsize="21600,21600" o:gfxdata="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FDlpI2QAAAAsB&#10;AAAPAAAAAAAAAAEAIAAAACIAAABkcnMvZG93bnJldi54bWxQSwECFAAUAAAACACHTuJAQ54/whoC&#10;AAAjBAAADgAAAAAAAAABACAAAAAoAQAAZHJzL2Uyb0RvYy54bWxQSwUGAAAAAAYABgBZAQAAtAUA&#10;AAAA&#10;">
                      <v:fill on="f" focussize="0,0"/>
                      <v:stroke on="f"/>
                      <v:imagedata o:title=""/>
                      <o:lock v:ext="edit" aspectratio="f"/>
                      <v:textbox style="mso-fit-shape-to-text:t;">
                        <w:txbxContent>
                          <w:p>
                            <w:r>
                              <w:rPr>
                                <w:rFonts w:hint="eastAsia"/>
                              </w:rPr>
                              <w:t>废丝</w:t>
                            </w:r>
                          </w:p>
                        </w:txbxContent>
                      </v:textbox>
                    </v:shape>
                  </w:pict>
                </mc:Fallback>
              </mc:AlternateContent>
            </w:r>
            <w:r>
              <w:rPr>
                <w:b/>
                <w:bCs/>
                <w:sz w:val="24"/>
              </w:rPr>
              <mc:AlternateContent>
                <mc:Choice Requires="wps">
                  <w:drawing>
                    <wp:anchor distT="0" distB="0" distL="114300" distR="114300" simplePos="0" relativeHeight="251684864" behindDoc="0" locked="0" layoutInCell="1" allowOverlap="1">
                      <wp:simplePos x="0" y="0"/>
                      <wp:positionH relativeFrom="column">
                        <wp:posOffset>2341880</wp:posOffset>
                      </wp:positionH>
                      <wp:positionV relativeFrom="paragraph">
                        <wp:posOffset>1433195</wp:posOffset>
                      </wp:positionV>
                      <wp:extent cx="220980" cy="226695"/>
                      <wp:effectExtent l="3175" t="0" r="4445" b="20955"/>
                      <wp:wrapNone/>
                      <wp:docPr id="16" name="AutoShape 27"/>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27" o:spid="_x0000_s1026" o:spt="32" type="#_x0000_t32" style="position:absolute;left:0pt;flip:y;margin-left:184.4pt;margin-top:112.85pt;height:17.85pt;width:17.4pt;z-index:251684864;mso-width-relative:page;mso-height-relative:page;" filled="f" stroked="t" coordsize="21600,21600" o:gfxdata="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pbwwNcAAAAL&#10;AQAADwAAAAAAAAABACAAAAAiAAAAZHJzL2Rvd25yZXYueG1sUEsBAhQAFAAAAAgAh07iQNTxW88d&#10;AgAASwQAAA4AAAAAAAAAAQAgAAAAJgEAAGRycy9lMm9Eb2MueG1sUEsFBgAAAAAGAAYAWQEAALUF&#10;AAAA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83840" behindDoc="0" locked="0" layoutInCell="1" allowOverlap="1">
                      <wp:simplePos x="0" y="0"/>
                      <wp:positionH relativeFrom="column">
                        <wp:posOffset>1477010</wp:posOffset>
                      </wp:positionH>
                      <wp:positionV relativeFrom="paragraph">
                        <wp:posOffset>1229360</wp:posOffset>
                      </wp:positionV>
                      <wp:extent cx="864870" cy="264160"/>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64870" cy="264160"/>
                              </a:xfrm>
                              <a:prstGeom prst="rect">
                                <a:avLst/>
                              </a:prstGeom>
                              <a:noFill/>
                              <a:ln>
                                <a:noFill/>
                              </a:ln>
                              <a:effectLst/>
                            </wps:spPr>
                            <wps:txbx>
                              <w:txbxContent>
                                <w:p>
                                  <w:r>
                                    <w:rPr>
                                      <w:rFonts w:hint="eastAsia"/>
                                    </w:rPr>
                                    <w:t>噪声、废丝</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16.3pt;margin-top:96.8pt;height:20.8pt;width:68.1pt;z-index:251683840;mso-width-relative:page;mso-height-relative:margin;mso-height-percent:200;" filled="f" stroked="f" coordsize="21600,21600" o:gfxdata="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7Bem/YAAAACwEA&#10;AA8AAAAAAAAAAQAgAAAAIgAAAGRycy9kb3ducmV2LnhtbFBLAQIUABQAAAAIAIdO4kCTjMD2GgIA&#10;ACMEAAAOAAAAAAAAAAEAIAAAACcBAABkcnMvZTJvRG9jLnhtbFBLBQYAAAAABgAGAFkBAACzBQAA&#10;AAA=&#10;">
                      <v:fill on="f" focussize="0,0"/>
                      <v:stroke on="f"/>
                      <v:imagedata o:title=""/>
                      <o:lock v:ext="edit" aspectratio="f"/>
                      <v:textbox style="mso-fit-shape-to-text:t;">
                        <w:txbxContent>
                          <w:p>
                            <w:r>
                              <w:rPr>
                                <w:rFonts w:hint="eastAsia"/>
                              </w:rPr>
                              <w:t>噪声、废丝</w:t>
                            </w:r>
                          </w:p>
                        </w:txbxContent>
                      </v:textbox>
                    </v:shape>
                  </w:pict>
                </mc:Fallback>
              </mc:AlternateContent>
            </w:r>
            <w:r>
              <w:rPr>
                <w:b/>
                <w:bCs/>
                <w:sz w:val="24"/>
              </w:rPr>
              <mc:AlternateContent>
                <mc:Choice Requires="wps">
                  <w:drawing>
                    <wp:anchor distT="0" distB="0" distL="114300" distR="114300" simplePos="0" relativeHeight="251682816" behindDoc="0" locked="0" layoutInCell="1" allowOverlap="1">
                      <wp:simplePos x="0" y="0"/>
                      <wp:positionH relativeFrom="column">
                        <wp:posOffset>1389380</wp:posOffset>
                      </wp:positionH>
                      <wp:positionV relativeFrom="paragraph">
                        <wp:posOffset>1410970</wp:posOffset>
                      </wp:positionV>
                      <wp:extent cx="220980" cy="226695"/>
                      <wp:effectExtent l="3175" t="0" r="4445" b="20955"/>
                      <wp:wrapNone/>
                      <wp:docPr id="14" name="AutoShape 25"/>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25" o:spid="_x0000_s1026" o:spt="32" type="#_x0000_t32" style="position:absolute;left:0pt;flip:y;margin-left:109.4pt;margin-top:111.1pt;height:17.85pt;width:17.4pt;z-index:251682816;mso-width-relative:page;mso-height-relative:page;" filled="f" stroked="t" coordsize="21600,21600" o:gfxdata="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EeMk1QAAAAsB&#10;AAAPAAAAAAAAAAEAIAAAACIAAABkcnMvZG93bnJldi54bWxQSwECFAAUAAAACACHTuJAAYs1Qh4C&#10;AABLBAAADgAAAAAAAAABACAAAAAkAQAAZHJzL2Uyb0RvYy54bWxQSwUGAAAAAAYABgBZAQAAtAUA&#10;AA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88960" behindDoc="0" locked="0" layoutInCell="1" allowOverlap="1">
                      <wp:simplePos x="0" y="0"/>
                      <wp:positionH relativeFrom="column">
                        <wp:posOffset>652145</wp:posOffset>
                      </wp:positionH>
                      <wp:positionV relativeFrom="paragraph">
                        <wp:posOffset>1658620</wp:posOffset>
                      </wp:positionV>
                      <wp:extent cx="769620" cy="349885"/>
                      <wp:effectExtent l="4445" t="4445" r="6985" b="7620"/>
                      <wp:wrapNone/>
                      <wp:docPr id="4" name="文本框 16"/>
                      <wp:cNvGraphicFramePr/>
                      <a:graphic xmlns:a="http://schemas.openxmlformats.org/drawingml/2006/main">
                        <a:graphicData uri="http://schemas.microsoft.com/office/word/2010/wordprocessingShape">
                          <wps:wsp>
                            <wps:cNvSpPr txBox="1"/>
                            <wps:spPr>
                              <a:xfrm>
                                <a:off x="0" y="0"/>
                                <a:ext cx="769620" cy="349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b/>
                                    </w:rPr>
                                  </w:pPr>
                                  <w:r>
                                    <w:rPr>
                                      <w:rFonts w:hint="eastAsia" w:ascii="仿宋" w:hAnsi="仿宋" w:eastAsia="仿宋"/>
                                      <w:b/>
                                    </w:rPr>
                                    <w:t>加</w:t>
                                  </w:r>
                                  <w:r>
                                    <w:rPr>
                                      <w:rFonts w:ascii="仿宋" w:hAnsi="仿宋" w:eastAsia="仿宋"/>
                                      <w:b/>
                                    </w:rPr>
                                    <w:t>捻纺纱</w:t>
                                  </w:r>
                                </w:p>
                              </w:txbxContent>
                            </wps:txbx>
                            <wps:bodyPr upright="1"/>
                          </wps:wsp>
                        </a:graphicData>
                      </a:graphic>
                    </wp:anchor>
                  </w:drawing>
                </mc:Choice>
                <mc:Fallback>
                  <w:pict>
                    <v:shape id="文本框 16" o:spid="_x0000_s1026" o:spt="202" type="#_x0000_t202" style="position:absolute;left:0pt;margin-left:51.35pt;margin-top:130.6pt;height:27.55pt;width:60.6pt;z-index:251688960;mso-width-relative:page;mso-height-relative:page;" fillcolor="#FFFFFF" filled="t" stroked="t" coordsize="21600,21600" o:gfxdata="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8vvG9kAAAALAQAADwAAAAAAAAABACAA&#10;AAAiAAAAZHJzL2Rvd25yZXYueG1sUEsBAhQAFAAAAAgAh07iQBvvj20MAgAANgQAAA4AAAAAAAAA&#10;AQAgAAAAKAEAAGRycy9lMm9Eb2MueG1sUEsFBgAAAAAGAAYAWQEAAKYFAAAAAA==&#10;">
                      <v:fill on="t" focussize="0,0"/>
                      <v:stroke color="#000000" joinstyle="miter"/>
                      <v:imagedata o:title=""/>
                      <o:lock v:ext="edit" aspectratio="f"/>
                      <v:textbox>
                        <w:txbxContent>
                          <w:p>
                            <w:pPr>
                              <w:rPr>
                                <w:rFonts w:ascii="仿宋" w:hAnsi="仿宋" w:eastAsia="仿宋"/>
                                <w:b/>
                              </w:rPr>
                            </w:pPr>
                            <w:r>
                              <w:rPr>
                                <w:rFonts w:hint="eastAsia" w:ascii="仿宋" w:hAnsi="仿宋" w:eastAsia="仿宋"/>
                                <w:b/>
                              </w:rPr>
                              <w:t>加</w:t>
                            </w:r>
                            <w:r>
                              <w:rPr>
                                <w:rFonts w:ascii="仿宋" w:hAnsi="仿宋" w:eastAsia="仿宋"/>
                                <w:b/>
                              </w:rPr>
                              <w:t>捻纺纱</w:t>
                            </w:r>
                          </w:p>
                        </w:txbxContent>
                      </v:textbox>
                    </v:shape>
                  </w:pict>
                </mc:Fallback>
              </mc:AlternateContent>
            </w:r>
            <w:r>
              <w:rPr>
                <w:b/>
                <w:bCs/>
                <w:sz w:val="24"/>
              </w:rPr>
              <mc:AlternateContent>
                <mc:Choice Requires="wps">
                  <w:drawing>
                    <wp:anchor distT="45720" distB="45720" distL="114300" distR="114300" simplePos="0" relativeHeight="251687936" behindDoc="0" locked="0" layoutInCell="1" allowOverlap="1">
                      <wp:simplePos x="0" y="0"/>
                      <wp:positionH relativeFrom="column">
                        <wp:posOffset>3903980</wp:posOffset>
                      </wp:positionH>
                      <wp:positionV relativeFrom="paragraph">
                        <wp:posOffset>1217295</wp:posOffset>
                      </wp:positionV>
                      <wp:extent cx="1183005" cy="264160"/>
                      <wp:effectExtent l="0" t="0" r="0" b="0"/>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3005" cy="264160"/>
                              </a:xfrm>
                              <a:prstGeom prst="rect">
                                <a:avLst/>
                              </a:prstGeom>
                              <a:noFill/>
                              <a:ln>
                                <a:noFill/>
                              </a:ln>
                              <a:effectLst/>
                            </wps:spPr>
                            <wps:txbx>
                              <w:txbxContent>
                                <w:p>
                                  <w:r>
                                    <w:rPr>
                                      <w:rFonts w:hint="eastAsia"/>
                                    </w:rPr>
                                    <w:t>噪声、废包装材料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07.4pt;margin-top:95.85pt;height:20.8pt;width:93.15pt;z-index:251687936;mso-width-relative:page;mso-height-relative:margin;mso-height-percent:200;" filled="f" stroked="f" coordsize="21600,21600" o:gfxdata="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NciRNkAAAAL&#10;AQAADwAAAAAAAAABACAAAAAiAAAAZHJzL2Rvd25yZXYueG1sUEsBAhQAFAAAAAgAh07iQB76RL8b&#10;AgAAJAQAAA4AAAAAAAAAAQAgAAAAKAEAAGRycy9lMm9Eb2MueG1sUEsFBgAAAAAGAAYAWQEAALUF&#10;AAAAAA==&#10;">
                      <v:fill on="f" focussize="0,0"/>
                      <v:stroke on="f"/>
                      <v:imagedata o:title=""/>
                      <o:lock v:ext="edit" aspectratio="f"/>
                      <v:textbox style="mso-fit-shape-to-text:t;">
                        <w:txbxContent>
                          <w:p>
                            <w:r>
                              <w:rPr>
                                <w:rFonts w:hint="eastAsia"/>
                              </w:rPr>
                              <w:t>噪声、废包装材料</w:t>
                            </w:r>
                          </w:p>
                        </w:txbxContent>
                      </v:textbox>
                    </v:shape>
                  </w:pict>
                </mc:Fallback>
              </mc:AlternateContent>
            </w:r>
            <w:r>
              <w:drawing>
                <wp:inline distT="0" distB="0" distL="0" distR="0">
                  <wp:extent cx="5295900" cy="2141220"/>
                  <wp:effectExtent l="0" t="0" r="0" b="0"/>
                  <wp:docPr id="2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95900" cy="2141220"/>
                          </a:xfrm>
                          <a:prstGeom prst="rect">
                            <a:avLst/>
                          </a:prstGeom>
                          <a:noFill/>
                          <a:ln>
                            <a:noFill/>
                          </a:ln>
                        </pic:spPr>
                      </pic:pic>
                    </a:graphicData>
                  </a:graphic>
                </wp:inline>
              </w:drawing>
            </w:r>
          </w:p>
          <w:p>
            <w:pPr>
              <w:adjustRightInd w:val="0"/>
              <w:snapToGrid w:val="0"/>
              <w:spacing w:line="360" w:lineRule="auto"/>
              <w:jc w:val="center"/>
              <w:rPr>
                <w:sz w:val="24"/>
              </w:rPr>
            </w:pPr>
            <w:r>
              <w:t>图</w:t>
            </w:r>
            <w:r>
              <w:rPr>
                <w:rFonts w:hint="eastAsia"/>
              </w:rPr>
              <w:t>2</w:t>
            </w:r>
            <w:r>
              <w:t xml:space="preserve">-6  </w:t>
            </w:r>
            <w:r>
              <w:rPr>
                <w:rFonts w:hint="eastAsia"/>
                <w:sz w:val="24"/>
              </w:rPr>
              <w:t>纺织纱生产工艺流程及产污环节图</w:t>
            </w:r>
          </w:p>
          <w:p>
            <w:pPr>
              <w:adjustRightInd w:val="0"/>
              <w:snapToGrid w:val="0"/>
              <w:spacing w:line="360" w:lineRule="auto"/>
              <w:ind w:left="480"/>
              <w:rPr>
                <w:sz w:val="24"/>
              </w:rPr>
            </w:pPr>
            <w:r>
              <w:rPr>
                <w:rFonts w:hint="eastAsia"/>
                <w:sz w:val="24"/>
              </w:rPr>
              <w:t>（5）玄武岩纤维拉挤型材生产工艺</w:t>
            </w:r>
          </w:p>
          <w:p>
            <w:pPr>
              <w:adjustRightInd w:val="0"/>
              <w:snapToGrid w:val="0"/>
              <w:spacing w:line="360" w:lineRule="auto"/>
              <w:ind w:firstLine="480" w:firstLineChars="200"/>
              <w:rPr>
                <w:sz w:val="24"/>
              </w:rPr>
            </w:pPr>
            <w:r>
              <w:rPr>
                <w:rFonts w:hint="eastAsia"/>
                <w:sz w:val="24"/>
              </w:rPr>
              <w:t>玄武岩纤维拉挤型材以玄武岩纤维为增强材料与填料固化剂等的基体相结合经拉挤工艺成型的一种新型复合材料。</w:t>
            </w:r>
          </w:p>
          <w:p>
            <w:pPr>
              <w:adjustRightInd w:val="0"/>
              <w:snapToGrid w:val="0"/>
              <w:spacing w:line="360" w:lineRule="auto"/>
              <w:ind w:firstLine="480" w:firstLineChars="200"/>
              <w:rPr>
                <w:sz w:val="24"/>
              </w:rPr>
            </w:pPr>
            <w:r>
              <w:rPr>
                <w:rFonts w:hint="eastAsia"/>
                <w:sz w:val="24"/>
              </w:rPr>
              <w:t>将玄武岩纤维原丝整齐的排列在纱架上，在玄武岩纤维表面均匀涂增强剂，穿过预成型装置，以连续方式准确地传递，以便确保它们的相对位置，组建接近制品的最终形状，然后再进入模具，进行加热固化成型，型材由一个自动同步移动的切割锯按要求的长度切割，将切割好的拉挤型材通过检验、包装入库。</w:t>
            </w:r>
          </w:p>
          <w:p>
            <w:pPr>
              <w:adjustRightInd w:val="0"/>
              <w:snapToGrid w:val="0"/>
              <w:spacing w:line="360" w:lineRule="auto"/>
              <w:ind w:firstLine="480" w:firstLineChars="200"/>
              <w:rPr>
                <w:sz w:val="24"/>
              </w:rPr>
            </w:pPr>
            <w:r>
              <w:rPr>
                <w:rFonts w:hint="eastAsia"/>
                <w:sz w:val="24"/>
              </w:rPr>
              <w:t>玄武岩纤维拉挤型材生产工艺流程及产污环节见图2-</w:t>
            </w:r>
            <w:r>
              <w:rPr>
                <w:sz w:val="24"/>
              </w:rPr>
              <w:t>7</w:t>
            </w:r>
            <w:r>
              <w:rPr>
                <w:rFonts w:hint="eastAsia"/>
                <w:sz w:val="24"/>
              </w:rPr>
              <w:t>。</w:t>
            </w:r>
          </w:p>
          <w:p>
            <w:pPr>
              <w:adjustRightInd w:val="0"/>
              <w:snapToGrid w:val="0"/>
              <w:spacing w:line="360" w:lineRule="auto"/>
              <w:ind w:firstLine="482" w:firstLineChars="200"/>
              <w:rPr>
                <w:sz w:val="24"/>
              </w:rPr>
            </w:pPr>
            <w:r>
              <w:rPr>
                <w:b/>
                <w:bCs/>
                <w:sz w:val="24"/>
              </w:rPr>
              <mc:AlternateContent>
                <mc:Choice Requires="wps">
                  <w:drawing>
                    <wp:anchor distT="45720" distB="45720" distL="114300" distR="114300" simplePos="0" relativeHeight="251699200" behindDoc="0" locked="0" layoutInCell="1" allowOverlap="1">
                      <wp:simplePos x="0" y="0"/>
                      <wp:positionH relativeFrom="column">
                        <wp:posOffset>4471670</wp:posOffset>
                      </wp:positionH>
                      <wp:positionV relativeFrom="paragraph">
                        <wp:posOffset>2540</wp:posOffset>
                      </wp:positionV>
                      <wp:extent cx="626745" cy="264160"/>
                      <wp:effectExtent l="0" t="0" r="0" b="0"/>
                      <wp:wrapNone/>
                      <wp:docPr id="3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6745" cy="264160"/>
                              </a:xfrm>
                              <a:prstGeom prst="rect">
                                <a:avLst/>
                              </a:prstGeom>
                              <a:noFill/>
                              <a:ln>
                                <a:noFill/>
                              </a:ln>
                              <a:effectLst/>
                            </wps:spPr>
                            <wps:txbx>
                              <w:txbxContent>
                                <w:p>
                                  <w:r>
                                    <w:rPr>
                                      <w:rFonts w:hint="eastAsia"/>
                                    </w:rPr>
                                    <w:t>噪声</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52.1pt;margin-top:0.2pt;height:20.8pt;width:49.35pt;z-index:251699200;mso-width-relative:page;mso-height-relative:margin;mso-height-percent:200;" filled="f" stroked="f" coordsize="21600,21600" o:gfxdata="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ZGx4T1AAAAAcBAAAP&#10;AAAAAAAAAAEAIAAAACIAAABkcnMvZG93bnJldi54bWxQSwECFAAUAAAACACHTuJAj4s7MBwCAAAj&#10;BAAADgAAAAAAAAABACAAAAAjAQAAZHJzL2Uyb0RvYy54bWxQSwUGAAAAAAYABgBZAQAAsQUAAAAA&#10;">
                      <v:fill on="f" focussize="0,0"/>
                      <v:stroke on="f"/>
                      <v:imagedata o:title=""/>
                      <o:lock v:ext="edit" aspectratio="f"/>
                      <v:textbox style="mso-fit-shape-to-text:t;">
                        <w:txbxContent>
                          <w:p>
                            <w:r>
                              <w:rPr>
                                <w:rFonts w:hint="eastAsia"/>
                              </w:rPr>
                              <w:t>噪声</w:t>
                            </w:r>
                          </w:p>
                        </w:txbxContent>
                      </v:textbox>
                    </v:shape>
                  </w:pict>
                </mc:Fallback>
              </mc:AlternateContent>
            </w:r>
            <w:r>
              <w:rPr>
                <w:b/>
                <w:bCs/>
                <w:sz w:val="24"/>
              </w:rPr>
              <mc:AlternateContent>
                <mc:Choice Requires="wps">
                  <w:drawing>
                    <wp:anchor distT="0" distB="0" distL="114300" distR="114300" simplePos="0" relativeHeight="251698176" behindDoc="0" locked="0" layoutInCell="1" allowOverlap="1">
                      <wp:simplePos x="0" y="0"/>
                      <wp:positionH relativeFrom="column">
                        <wp:posOffset>4509770</wp:posOffset>
                      </wp:positionH>
                      <wp:positionV relativeFrom="paragraph">
                        <wp:posOffset>229870</wp:posOffset>
                      </wp:positionV>
                      <wp:extent cx="116840" cy="226695"/>
                      <wp:effectExtent l="4445" t="0" r="12065" b="1905"/>
                      <wp:wrapNone/>
                      <wp:docPr id="19" name="AutoShape 40"/>
                      <wp:cNvGraphicFramePr/>
                      <a:graphic xmlns:a="http://schemas.openxmlformats.org/drawingml/2006/main">
                        <a:graphicData uri="http://schemas.microsoft.com/office/word/2010/wordprocessingShape">
                          <wps:wsp>
                            <wps:cNvCnPr>
                              <a:cxnSpLocks noChangeShapeType="1"/>
                            </wps:cNvCnPr>
                            <wps:spPr bwMode="auto">
                              <a:xfrm flipV="1">
                                <a:off x="0" y="0"/>
                                <a:ext cx="11684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40" o:spid="_x0000_s1026" o:spt="32" type="#_x0000_t32" style="position:absolute;left:0pt;flip:y;margin-left:355.1pt;margin-top:18.1pt;height:17.85pt;width:9.2pt;z-index:251698176;mso-width-relative:page;mso-height-relative:page;" filled="f" stroked="t" coordsize="21600,21600" o:gfxdata="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7tpqzUAAAACQEA&#10;AA8AAAAAAAAAAQAgAAAAIgAAAGRycy9kb3ducmV2LnhtbFBLAQIUABQAAAAIAIdO4kBSbL8EHgIA&#10;AEsEAAAOAAAAAAAAAAEAIAAAACMBAABkcnMvZTJvRG9jLnhtbFBLBQYAAAAABgAGAFkBAACzBQAA&#10;AAA=&#10;">
                      <v:fill on="f" focussize="0,0"/>
                      <v:stroke color="#000000" joinstyle="round" dashstyle="dash" endarrow="block"/>
                      <v:imagedata o:title=""/>
                      <o:lock v:ext="edit" aspectratio="f"/>
                    </v:shape>
                  </w:pict>
                </mc:Fallback>
              </mc:AlternateContent>
            </w:r>
          </w:p>
          <w:p>
            <w:pPr>
              <w:adjustRightInd w:val="0"/>
              <w:snapToGrid w:val="0"/>
              <w:spacing w:line="360" w:lineRule="auto"/>
              <w:jc w:val="center"/>
            </w:pPr>
            <w:r>
              <w:rPr>
                <w:b/>
                <w:bCs/>
                <w:sz w:val="24"/>
              </w:rPr>
              <mc:AlternateContent>
                <mc:Choice Requires="wps">
                  <w:drawing>
                    <wp:anchor distT="45720" distB="45720" distL="114300" distR="114300" simplePos="0" relativeHeight="251691008" behindDoc="0" locked="0" layoutInCell="1" allowOverlap="1">
                      <wp:simplePos x="0" y="0"/>
                      <wp:positionH relativeFrom="column">
                        <wp:posOffset>3141980</wp:posOffset>
                      </wp:positionH>
                      <wp:positionV relativeFrom="paragraph">
                        <wp:posOffset>1115695</wp:posOffset>
                      </wp:positionV>
                      <wp:extent cx="857250" cy="443230"/>
                      <wp:effectExtent l="4445" t="4445" r="14605" b="9525"/>
                      <wp:wrapNone/>
                      <wp:docPr id="6" name="文本框 23"/>
                      <wp:cNvGraphicFramePr/>
                      <a:graphic xmlns:a="http://schemas.openxmlformats.org/drawingml/2006/main">
                        <a:graphicData uri="http://schemas.microsoft.com/office/word/2010/wordprocessingShape">
                          <wps:wsp>
                            <wps:cNvSpPr txBox="1"/>
                            <wps:spPr>
                              <a:xfrm>
                                <a:off x="0" y="0"/>
                                <a:ext cx="857250" cy="443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1" w:firstLineChars="100"/>
                                    <w:rPr>
                                      <w:rFonts w:ascii="仿宋" w:hAnsi="仿宋" w:eastAsia="仿宋"/>
                                      <w:b/>
                                    </w:rPr>
                                  </w:pPr>
                                  <w:r>
                                    <w:rPr>
                                      <w:rFonts w:hint="eastAsia" w:ascii="仿宋" w:hAnsi="仿宋" w:eastAsia="仿宋"/>
                                      <w:b/>
                                    </w:rPr>
                                    <w:t>切割</w:t>
                                  </w:r>
                                </w:p>
                              </w:txbxContent>
                            </wps:txbx>
                            <wps:bodyPr vert="horz" anchor="t" upright="1"/>
                          </wps:wsp>
                        </a:graphicData>
                      </a:graphic>
                    </wp:anchor>
                  </w:drawing>
                </mc:Choice>
                <mc:Fallback>
                  <w:pict>
                    <v:shape id="文本框 23" o:spid="_x0000_s1026" o:spt="202" type="#_x0000_t202" style="position:absolute;left:0pt;margin-left:247.4pt;margin-top:87.85pt;height:34.9pt;width:67.5pt;z-index:251691008;mso-width-relative:page;mso-height-relative:page;" fillcolor="#FFFFFF" filled="t" stroked="t" coordsize="21600,21600" o:gfxdata="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nxupNoA&#10;AAALAQAADwAAAAAAAAABACAAAAAiAAAAZHJzL2Rvd25yZXYueG1sUEsBAhQAFAAAAAgAh07iQBFg&#10;MesdAgAATQQAAA4AAAAAAAAAAQAgAAAAKQEAAGRycy9lMm9Eb2MueG1sUEsFBgAAAAAGAAYAWQEA&#10;ALgFAAAAAA==&#10;">
                      <v:fill on="t" focussize="0,0"/>
                      <v:stroke color="#000000" joinstyle="miter"/>
                      <v:imagedata o:title=""/>
                      <o:lock v:ext="edit" aspectratio="f"/>
                      <v:textbox>
                        <w:txbxContent>
                          <w:p>
                            <w:pPr>
                              <w:ind w:firstLine="211" w:firstLineChars="100"/>
                              <w:rPr>
                                <w:rFonts w:ascii="仿宋" w:hAnsi="仿宋" w:eastAsia="仿宋"/>
                                <w:b/>
                              </w:rPr>
                            </w:pPr>
                            <w:r>
                              <w:rPr>
                                <w:rFonts w:hint="eastAsia" w:ascii="仿宋" w:hAnsi="仿宋" w:eastAsia="仿宋"/>
                                <w:b/>
                              </w:rPr>
                              <w:t>切割</w:t>
                            </w:r>
                          </w:p>
                        </w:txbxContent>
                      </v:textbox>
                    </v:shape>
                  </w:pict>
                </mc:Fallback>
              </mc:AlternateContent>
            </w:r>
            <w:r>
              <w:rPr>
                <w:b/>
                <w:bCs/>
                <w:sz w:val="24"/>
              </w:rPr>
              <mc:AlternateContent>
                <mc:Choice Requires="wps">
                  <w:drawing>
                    <wp:anchor distT="45720" distB="45720" distL="114300" distR="114300" simplePos="0" relativeHeight="251689984" behindDoc="0" locked="0" layoutInCell="1" allowOverlap="1">
                      <wp:simplePos x="0" y="0"/>
                      <wp:positionH relativeFrom="column">
                        <wp:posOffset>4326890</wp:posOffset>
                      </wp:positionH>
                      <wp:positionV relativeFrom="paragraph">
                        <wp:posOffset>1117600</wp:posOffset>
                      </wp:positionV>
                      <wp:extent cx="807085" cy="454660"/>
                      <wp:effectExtent l="4445" t="5080" r="7620" b="16510"/>
                      <wp:wrapNone/>
                      <wp:docPr id="5" name="文本框 20"/>
                      <wp:cNvGraphicFramePr/>
                      <a:graphic xmlns:a="http://schemas.openxmlformats.org/drawingml/2006/main">
                        <a:graphicData uri="http://schemas.microsoft.com/office/word/2010/wordprocessingShape">
                          <wps:wsp>
                            <wps:cNvSpPr txBox="1"/>
                            <wps:spPr>
                              <a:xfrm>
                                <a:off x="0" y="0"/>
                                <a:ext cx="807085" cy="454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1" w:firstLineChars="100"/>
                                    <w:rPr>
                                      <w:rFonts w:ascii="仿宋" w:hAnsi="仿宋" w:eastAsia="仿宋"/>
                                      <w:b/>
                                    </w:rPr>
                                  </w:pPr>
                                  <w:r>
                                    <w:rPr>
                                      <w:rFonts w:hint="eastAsia" w:ascii="仿宋" w:hAnsi="仿宋" w:eastAsia="仿宋"/>
                                      <w:b/>
                                    </w:rPr>
                                    <w:t>固化</w:t>
                                  </w:r>
                                </w:p>
                              </w:txbxContent>
                            </wps:txbx>
                            <wps:bodyPr vert="horz" anchor="t" upright="1"/>
                          </wps:wsp>
                        </a:graphicData>
                      </a:graphic>
                    </wp:anchor>
                  </w:drawing>
                </mc:Choice>
                <mc:Fallback>
                  <w:pict>
                    <v:shape id="文本框 20" o:spid="_x0000_s1026" o:spt="202" type="#_x0000_t202" style="position:absolute;left:0pt;margin-left:340.7pt;margin-top:88pt;height:35.8pt;width:63.55pt;z-index:251689984;mso-width-relative:page;mso-height-relative:page;" fillcolor="#FFFFFF" filled="t" stroked="t" coordsize="21600,21600" o:gfxdata="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AMtd9kAAAAL&#10;AQAADwAAAAAAAAABACAAAAAiAAAAZHJzL2Rvd25yZXYueG1sUEsBAhQAFAAAAAgAh07iQBPWJAYb&#10;AgAATQQAAA4AAAAAAAAAAQAgAAAAKAEAAGRycy9lMm9Eb2MueG1sUEsFBgAAAAAGAAYAWQEAALUF&#10;AAAAAA==&#10;">
                      <v:fill on="t" focussize="0,0"/>
                      <v:stroke color="#000000" joinstyle="miter"/>
                      <v:imagedata o:title=""/>
                      <o:lock v:ext="edit" aspectratio="f"/>
                      <v:textbox>
                        <w:txbxContent>
                          <w:p>
                            <w:pPr>
                              <w:ind w:firstLine="211" w:firstLineChars="100"/>
                              <w:rPr>
                                <w:rFonts w:ascii="仿宋" w:hAnsi="仿宋" w:eastAsia="仿宋"/>
                                <w:b/>
                              </w:rPr>
                            </w:pPr>
                            <w:r>
                              <w:rPr>
                                <w:rFonts w:hint="eastAsia" w:ascii="仿宋" w:hAnsi="仿宋" w:eastAsia="仿宋"/>
                                <w:b/>
                              </w:rPr>
                              <w:t>固化</w:t>
                            </w:r>
                          </w:p>
                        </w:txbxContent>
                      </v:textbox>
                    </v:shape>
                  </w:pict>
                </mc:Fallback>
              </mc:AlternateContent>
            </w:r>
            <w:r>
              <w:rPr>
                <w:b/>
                <w:bCs/>
                <w:sz w:val="24"/>
              </w:rPr>
              <mc:AlternateContent>
                <mc:Choice Requires="wps">
                  <w:drawing>
                    <wp:anchor distT="0" distB="0" distL="114300" distR="114300" simplePos="0" relativeHeight="251696128" behindDoc="0" locked="0" layoutInCell="1" allowOverlap="1">
                      <wp:simplePos x="0" y="0"/>
                      <wp:positionH relativeFrom="column">
                        <wp:posOffset>3623945</wp:posOffset>
                      </wp:positionH>
                      <wp:positionV relativeFrom="paragraph">
                        <wp:posOffset>869315</wp:posOffset>
                      </wp:positionV>
                      <wp:extent cx="220980" cy="226695"/>
                      <wp:effectExtent l="3175" t="0" r="4445" b="20955"/>
                      <wp:wrapNone/>
                      <wp:docPr id="11" name="AutoShape 38"/>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38" o:spid="_x0000_s1026" o:spt="32" type="#_x0000_t32" style="position:absolute;left:0pt;flip:y;margin-left:285.35pt;margin-top:68.45pt;height:17.85pt;width:17.4pt;z-index:251696128;mso-width-relative:page;mso-height-relative:page;" filled="f" stroked="t" coordsize="21600,21600" o:gfxdata="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cjMvVAAAACwEA&#10;AA8AAAAAAAAAAQAgAAAAIgAAAGRycy9kb3ducmV2LnhtbFBLAQIUABQAAAAIAIdO4kB8FIrwHQIA&#10;AEsEAAAOAAAAAAAAAAEAIAAAACQBAABkcnMvZTJvRG9jLnhtbFBLBQYAAAAABgAGAFkBAACzBQAA&#10;A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97152" behindDoc="0" locked="0" layoutInCell="1" allowOverlap="1">
                      <wp:simplePos x="0" y="0"/>
                      <wp:positionH relativeFrom="column">
                        <wp:posOffset>3568700</wp:posOffset>
                      </wp:positionH>
                      <wp:positionV relativeFrom="paragraph">
                        <wp:posOffset>651510</wp:posOffset>
                      </wp:positionV>
                      <wp:extent cx="1183005" cy="26416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3005" cy="264160"/>
                              </a:xfrm>
                              <a:prstGeom prst="rect">
                                <a:avLst/>
                              </a:prstGeom>
                              <a:noFill/>
                              <a:ln>
                                <a:noFill/>
                              </a:ln>
                              <a:effectLst/>
                            </wps:spPr>
                            <wps:txbx>
                              <w:txbxContent>
                                <w:p>
                                  <w:r>
                                    <w:rPr>
                                      <w:rFonts w:hint="eastAsia"/>
                                    </w:rPr>
                                    <w:t>噪声</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81pt;margin-top:51.3pt;height:20.8pt;width:93.15pt;z-index:251697152;mso-width-relative:page;mso-height-relative:margin;mso-height-percent:200;" filled="f" stroked="f" coordsize="21600,21600" o:gfxdata="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c7r8bZAAAA&#10;CwEAAA8AAAAAAAAAAQAgAAAAIgAAAGRycy9kb3ducmV2LnhtbFBLAQIUABQAAAAIAIdO4kD9bDf8&#10;HAIAACQEAAAOAAAAAAAAAAEAIAAAACgBAABkcnMvZTJvRG9jLnhtbFBLBQYAAAAABgAGAFkBAAC2&#10;BQAAAAA=&#10;">
                      <v:fill on="f" focussize="0,0"/>
                      <v:stroke on="f"/>
                      <v:imagedata o:title=""/>
                      <o:lock v:ext="edit" aspectratio="f"/>
                      <v:textbox style="mso-fit-shape-to-text:t;">
                        <w:txbxContent>
                          <w:p>
                            <w:r>
                              <w:rPr>
                                <w:rFonts w:hint="eastAsia"/>
                              </w:rPr>
                              <w:t>噪声</w:t>
                            </w:r>
                          </w:p>
                        </w:txbxContent>
                      </v:textbox>
                    </v:shape>
                  </w:pict>
                </mc:Fallback>
              </mc:AlternateContent>
            </w:r>
            <w:r>
              <w:rPr>
                <w:b/>
                <w:bCs/>
                <w:sz w:val="24"/>
              </w:rPr>
              <mc:AlternateContent>
                <mc:Choice Requires="wps">
                  <w:drawing>
                    <wp:anchor distT="45720" distB="45720" distL="114300" distR="114300" simplePos="0" relativeHeight="251694080" behindDoc="0" locked="0" layoutInCell="1" allowOverlap="1">
                      <wp:simplePos x="0" y="0"/>
                      <wp:positionH relativeFrom="column">
                        <wp:posOffset>4780280</wp:posOffset>
                      </wp:positionH>
                      <wp:positionV relativeFrom="paragraph">
                        <wp:posOffset>681990</wp:posOffset>
                      </wp:positionV>
                      <wp:extent cx="908685" cy="264160"/>
                      <wp:effectExtent l="0" t="0" r="0" b="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08685" cy="264160"/>
                              </a:xfrm>
                              <a:prstGeom prst="rect">
                                <a:avLst/>
                              </a:prstGeom>
                              <a:noFill/>
                              <a:ln>
                                <a:noFill/>
                              </a:ln>
                              <a:effectLst/>
                            </wps:spPr>
                            <wps:txbx>
                              <w:txbxContent>
                                <w:p>
                                  <w:r>
                                    <w:rPr>
                                      <w:rFonts w:hint="eastAsia"/>
                                    </w:rPr>
                                    <w:t>有机废气</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76.4pt;margin-top:53.7pt;height:20.8pt;width:71.55pt;z-index:251694080;mso-width-relative:page;mso-height-relative:margin;mso-height-percent:200;" filled="f" stroked="f" coordsize="21600,21600" o:gfxdata="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28y/dkAAAAL&#10;AQAADwAAAAAAAAABACAAAAAiAAAAZHJzL2Rvd25yZXYueG1sUEsBAhQAFAAAAAgAh07iQNIqCq4b&#10;AgAAIgQAAA4AAAAAAAAAAQAgAAAAKAEAAGRycy9lMm9Eb2MueG1sUEsFBgAAAAAGAAYAWQEAALUF&#10;AAAAAA==&#10;">
                      <v:fill on="f" focussize="0,0"/>
                      <v:stroke on="f"/>
                      <v:imagedata o:title=""/>
                      <o:lock v:ext="edit" aspectratio="f"/>
                      <v:textbox style="mso-fit-shape-to-text:t;">
                        <w:txbxContent>
                          <w:p>
                            <w:r>
                              <w:rPr>
                                <w:rFonts w:hint="eastAsia"/>
                              </w:rPr>
                              <w:t>有机废气</w:t>
                            </w:r>
                          </w:p>
                        </w:txbxContent>
                      </v:textbox>
                    </v:shape>
                  </w:pict>
                </mc:Fallback>
              </mc:AlternateContent>
            </w:r>
            <w:r>
              <w:rPr>
                <w:b/>
                <w:bCs/>
                <w:sz w:val="24"/>
              </w:rPr>
              <mc:AlternateContent>
                <mc:Choice Requires="wps">
                  <w:drawing>
                    <wp:anchor distT="0" distB="0" distL="114300" distR="114300" simplePos="0" relativeHeight="251695104" behindDoc="0" locked="0" layoutInCell="1" allowOverlap="1">
                      <wp:simplePos x="0" y="0"/>
                      <wp:positionH relativeFrom="column">
                        <wp:posOffset>4942205</wp:posOffset>
                      </wp:positionH>
                      <wp:positionV relativeFrom="paragraph">
                        <wp:posOffset>875030</wp:posOffset>
                      </wp:positionV>
                      <wp:extent cx="220980" cy="226695"/>
                      <wp:effectExtent l="3175" t="0" r="4445" b="20955"/>
                      <wp:wrapNone/>
                      <wp:docPr id="10" name="AutoShape 37"/>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37" o:spid="_x0000_s1026" o:spt="32" type="#_x0000_t32" style="position:absolute;left:0pt;flip:y;margin-left:389.15pt;margin-top:68.9pt;height:17.85pt;width:17.4pt;z-index:251695104;mso-width-relative:page;mso-height-relative:page;" filled="f" stroked="t" coordsize="21600,21600" o:gfxdata="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YfwObVAAAACwEA&#10;AA8AAAAAAAAAAQAgAAAAIgAAAGRycy9kb3ducmV2LnhtbFBLAQIUABQAAAAIAIdO4kAVbrhWHQIA&#10;AEsEAAAOAAAAAAAAAAEAIAAAACQBAABkcnMvZTJvRG9jLnhtbFBLBQYAAAAABgAGAFkBAACzBQAA&#10;AAA=&#10;">
                      <v:fill on="f" focussize="0,0"/>
                      <v:stroke color="#000000" joinstyle="round" dashstyle="dash" endarrow="block"/>
                      <v:imagedata o:title=""/>
                      <o:lock v:ext="edit" aspectratio="f"/>
                    </v:shape>
                  </w:pict>
                </mc:Fallback>
              </mc:AlternateContent>
            </w:r>
            <w:r>
              <w:rPr>
                <w:b/>
                <w:bCs/>
                <w:sz w:val="24"/>
              </w:rPr>
              <mc:AlternateContent>
                <mc:Choice Requires="wps">
                  <w:drawing>
                    <wp:anchor distT="45720" distB="45720" distL="114300" distR="114300" simplePos="0" relativeHeight="251693056" behindDoc="0" locked="0" layoutInCell="1" allowOverlap="1">
                      <wp:simplePos x="0" y="0"/>
                      <wp:positionH relativeFrom="column">
                        <wp:posOffset>2292350</wp:posOffset>
                      </wp:positionH>
                      <wp:positionV relativeFrom="paragraph">
                        <wp:posOffset>657225</wp:posOffset>
                      </wp:positionV>
                      <wp:extent cx="1183005" cy="264160"/>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3005" cy="264160"/>
                              </a:xfrm>
                              <a:prstGeom prst="rect">
                                <a:avLst/>
                              </a:prstGeom>
                              <a:noFill/>
                              <a:ln>
                                <a:noFill/>
                              </a:ln>
                              <a:effectLst/>
                            </wps:spPr>
                            <wps:txbx>
                              <w:txbxContent>
                                <w:p>
                                  <w:r>
                                    <w:rPr>
                                      <w:rFonts w:hint="eastAsia"/>
                                    </w:rPr>
                                    <w:t>噪声、废包装材料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80.5pt;margin-top:51.75pt;height:20.8pt;width:93.15pt;z-index:251693056;mso-width-relative:page;mso-height-relative:margin;mso-height-percent:200;" filled="f" stroked="f" coordsize="21600,21600" o:gfxdata="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Kq7uNkAAAAL&#10;AQAADwAAAAAAAAABACAAAAAiAAAAZHJzL2Rvd25yZXYueG1sUEsBAhQAFAAAAAgAh07iQIUkJsIb&#10;AgAAIwQAAA4AAAAAAAAAAQAgAAAAKAEAAGRycy9lMm9Eb2MueG1sUEsFBgAAAAAGAAYAWQEAALUF&#10;AAAAAA==&#10;">
                      <v:fill on="f" focussize="0,0"/>
                      <v:stroke on="f"/>
                      <v:imagedata o:title=""/>
                      <o:lock v:ext="edit" aspectratio="f"/>
                      <v:textbox style="mso-fit-shape-to-text:t;">
                        <w:txbxContent>
                          <w:p>
                            <w:r>
                              <w:rPr>
                                <w:rFonts w:hint="eastAsia"/>
                              </w:rPr>
                              <w:t>噪声、废包装材料</w:t>
                            </w:r>
                          </w:p>
                        </w:txbxContent>
                      </v:textbox>
                    </v:shape>
                  </w:pict>
                </mc:Fallback>
              </mc:AlternateContent>
            </w:r>
            <w:r>
              <w:rPr>
                <w:b/>
                <w:bCs/>
                <w:sz w:val="24"/>
              </w:rPr>
              <mc:AlternateContent>
                <mc:Choice Requires="wps">
                  <w:drawing>
                    <wp:anchor distT="0" distB="0" distL="114300" distR="114300" simplePos="0" relativeHeight="251692032" behindDoc="0" locked="0" layoutInCell="1" allowOverlap="1">
                      <wp:simplePos x="0" y="0"/>
                      <wp:positionH relativeFrom="column">
                        <wp:posOffset>2419985</wp:posOffset>
                      </wp:positionH>
                      <wp:positionV relativeFrom="paragraph">
                        <wp:posOffset>873125</wp:posOffset>
                      </wp:positionV>
                      <wp:extent cx="220980" cy="226695"/>
                      <wp:effectExtent l="3175" t="0" r="4445" b="20955"/>
                      <wp:wrapNone/>
                      <wp:docPr id="7" name="AutoShape 34"/>
                      <wp:cNvGraphicFramePr/>
                      <a:graphic xmlns:a="http://schemas.openxmlformats.org/drawingml/2006/main">
                        <a:graphicData uri="http://schemas.microsoft.com/office/word/2010/wordprocessingShape">
                          <wps:wsp>
                            <wps:cNvCnPr>
                              <a:cxnSpLocks noChangeShapeType="1"/>
                            </wps:cNvCnPr>
                            <wps:spPr bwMode="auto">
                              <a:xfrm flipV="1">
                                <a:off x="0" y="0"/>
                                <a:ext cx="220980" cy="226695"/>
                              </a:xfrm>
                              <a:prstGeom prst="straightConnector1">
                                <a:avLst/>
                              </a:prstGeom>
                              <a:noFill/>
                              <a:ln w="9525" cap="flat">
                                <a:solidFill>
                                  <a:srgbClr val="000000"/>
                                </a:solidFill>
                                <a:prstDash val="dash"/>
                                <a:round/>
                                <a:headEnd type="none" w="med" len="med"/>
                                <a:tailEnd type="triangle" w="med" len="med"/>
                              </a:ln>
                              <a:effectLst/>
                            </wps:spPr>
                            <wps:bodyPr/>
                          </wps:wsp>
                        </a:graphicData>
                      </a:graphic>
                    </wp:anchor>
                  </w:drawing>
                </mc:Choice>
                <mc:Fallback>
                  <w:pict>
                    <v:shape id="AutoShape 34" o:spid="_x0000_s1026" o:spt="32" type="#_x0000_t32" style="position:absolute;left:0pt;flip:y;margin-left:190.55pt;margin-top:68.75pt;height:17.85pt;width:17.4pt;z-index:251692032;mso-width-relative:page;mso-height-relative:page;" filled="f" stroked="t" coordsize="21600,21600" o:gfxdata="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Z5N89YAAAAL&#10;AQAADwAAAAAAAAABACAAAAAiAAAAZHJzL2Rvd25yZXYueG1sUEsBAhQAFAAAAAgAh07iQLEnGAIe&#10;AgAASgQAAA4AAAAAAAAAAQAgAAAAJQEAAGRycy9lMm9Eb2MueG1sUEsFBgAAAAAGAAYAWQEAALUF&#10;AAAAAA==&#10;">
                      <v:fill on="f" focussize="0,0"/>
                      <v:stroke color="#000000" joinstyle="round" dashstyle="dash" endarrow="block"/>
                      <v:imagedata o:title=""/>
                      <o:lock v:ext="edit" aspectratio="f"/>
                    </v:shape>
                  </w:pict>
                </mc:Fallback>
              </mc:AlternateContent>
            </w:r>
            <w:r>
              <w:drawing>
                <wp:inline distT="0" distB="0" distL="0" distR="0">
                  <wp:extent cx="5273040" cy="1691640"/>
                  <wp:effectExtent l="0" t="0" r="3810" b="3810"/>
                  <wp:docPr id="2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3040" cy="1691640"/>
                          </a:xfrm>
                          <a:prstGeom prst="rect">
                            <a:avLst/>
                          </a:prstGeom>
                          <a:noFill/>
                          <a:ln>
                            <a:noFill/>
                          </a:ln>
                        </pic:spPr>
                      </pic:pic>
                    </a:graphicData>
                  </a:graphic>
                </wp:inline>
              </w:drawing>
            </w:r>
          </w:p>
          <w:p>
            <w:pPr>
              <w:adjustRightInd w:val="0"/>
              <w:snapToGrid w:val="0"/>
              <w:spacing w:line="360" w:lineRule="auto"/>
              <w:jc w:val="center"/>
              <w:rPr>
                <w:sz w:val="24"/>
              </w:rPr>
            </w:pPr>
            <w:r>
              <w:t>图</w:t>
            </w:r>
            <w:r>
              <w:rPr>
                <w:rFonts w:hint="eastAsia"/>
              </w:rPr>
              <w:t>2</w:t>
            </w:r>
            <w:r>
              <w:t xml:space="preserve">-7  </w:t>
            </w:r>
            <w:r>
              <w:rPr>
                <w:rFonts w:hint="eastAsia"/>
                <w:sz w:val="24"/>
              </w:rPr>
              <w:t>拉挤型材生产工艺流程及产污环节图</w:t>
            </w:r>
          </w:p>
          <w:p>
            <w:pPr>
              <w:adjustRightInd w:val="0"/>
              <w:snapToGrid w:val="0"/>
              <w:spacing w:line="360" w:lineRule="auto"/>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557" w:type="dxa"/>
            <w:vAlign w:val="center"/>
          </w:tcPr>
          <w:p>
            <w:pPr>
              <w:jc w:val="center"/>
              <w:rPr>
                <w:szCs w:val="21"/>
              </w:rPr>
            </w:pPr>
            <w:r>
              <w:rPr>
                <w:b/>
                <w:szCs w:val="21"/>
              </w:rPr>
              <w:t>与项目有关的原有环境污染问题</w:t>
            </w:r>
          </w:p>
        </w:tc>
        <w:tc>
          <w:tcPr>
            <w:tcW w:w="8267" w:type="dxa"/>
            <w:vAlign w:val="center"/>
          </w:tcPr>
          <w:p>
            <w:pPr>
              <w:pStyle w:val="28"/>
              <w:snapToGrid/>
              <w:ind w:firstLine="480" w:firstLineChars="200"/>
              <w:jc w:val="left"/>
            </w:pPr>
            <w:r>
              <w:rPr>
                <w:rFonts w:hint="eastAsia"/>
                <w:sz w:val="24"/>
                <w:szCs w:val="20"/>
              </w:rPr>
              <w:t>项目所在地为空地，</w:t>
            </w:r>
            <w:r>
              <w:rPr>
                <w:sz w:val="24"/>
                <w:szCs w:val="20"/>
              </w:rPr>
              <w:t>本项目为新建项目，不存在原有污染情况</w:t>
            </w:r>
            <w:r>
              <w:rPr>
                <w:rFonts w:hint="eastAsia"/>
                <w:sz w:val="24"/>
                <w:szCs w:val="20"/>
              </w:rPr>
              <w:t>。</w:t>
            </w:r>
          </w:p>
        </w:tc>
      </w:tr>
    </w:tbl>
    <w:p>
      <w:pPr>
        <w:pStyle w:val="26"/>
        <w:jc w:val="center"/>
        <w:rPr>
          <w:rFonts w:ascii="Times New Roman" w:hAnsi="Times New Roman"/>
          <w:snapToGrid w:val="0"/>
          <w:sz w:val="36"/>
          <w:szCs w:val="36"/>
        </w:rPr>
        <w:sectPr>
          <w:pgSz w:w="11906" w:h="16838"/>
          <w:pgMar w:top="1701" w:right="1531" w:bottom="1701" w:left="1531" w:header="851" w:footer="851" w:gutter="0"/>
          <w:cols w:space="720" w:num="1"/>
          <w:docGrid w:linePitch="312" w:charSpace="0"/>
        </w:sectPr>
      </w:pPr>
    </w:p>
    <w:p>
      <w:pPr>
        <w:pStyle w:val="26"/>
        <w:jc w:val="center"/>
        <w:outlineLvl w:val="0"/>
        <w:rPr>
          <w:rFonts w:ascii="Times New Roman" w:hAnsi="Times New Roman"/>
          <w:b/>
          <w:bCs/>
          <w:snapToGrid w:val="0"/>
          <w:sz w:val="30"/>
          <w:szCs w:val="30"/>
        </w:rPr>
      </w:pPr>
      <w:bookmarkStart w:id="26" w:name="_Toc21336"/>
      <w:bookmarkStart w:id="27" w:name="_Toc944"/>
      <w:r>
        <w:rPr>
          <w:rFonts w:ascii="Times New Roman" w:hAnsi="Times New Roman"/>
          <w:b/>
          <w:bCs/>
          <w:snapToGrid w:val="0"/>
          <w:sz w:val="30"/>
          <w:szCs w:val="30"/>
        </w:rPr>
        <w:t>三、区域环境质量现状、环境保护目标及评价标准</w:t>
      </w:r>
      <w:bookmarkEnd w:id="26"/>
      <w:bookmarkEnd w:id="27"/>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Align w:val="center"/>
          </w:tcPr>
          <w:p>
            <w:pPr>
              <w:adjustRightInd w:val="0"/>
              <w:snapToGrid w:val="0"/>
              <w:jc w:val="center"/>
              <w:rPr>
                <w:b/>
                <w:bCs/>
                <w:kern w:val="0"/>
                <w:szCs w:val="21"/>
              </w:rPr>
            </w:pPr>
            <w:r>
              <w:rPr>
                <w:b/>
                <w:bCs/>
                <w:kern w:val="0"/>
                <w:szCs w:val="21"/>
              </w:rPr>
              <w:t>区域</w:t>
            </w:r>
          </w:p>
          <w:p>
            <w:pPr>
              <w:adjustRightInd w:val="0"/>
              <w:snapToGrid w:val="0"/>
              <w:jc w:val="center"/>
              <w:rPr>
                <w:b/>
                <w:bCs/>
                <w:kern w:val="0"/>
                <w:szCs w:val="21"/>
              </w:rPr>
            </w:pPr>
            <w:r>
              <w:rPr>
                <w:b/>
                <w:bCs/>
                <w:kern w:val="0"/>
                <w:szCs w:val="21"/>
              </w:rPr>
              <w:t>环境</w:t>
            </w:r>
          </w:p>
          <w:p>
            <w:pPr>
              <w:adjustRightInd w:val="0"/>
              <w:snapToGrid w:val="0"/>
              <w:jc w:val="center"/>
              <w:rPr>
                <w:b/>
                <w:bCs/>
                <w:kern w:val="0"/>
                <w:szCs w:val="21"/>
              </w:rPr>
            </w:pPr>
            <w:r>
              <w:rPr>
                <w:b/>
                <w:bCs/>
                <w:kern w:val="0"/>
                <w:szCs w:val="21"/>
              </w:rPr>
              <w:t>质量</w:t>
            </w:r>
          </w:p>
          <w:p>
            <w:pPr>
              <w:adjustRightInd w:val="0"/>
              <w:snapToGrid w:val="0"/>
              <w:jc w:val="center"/>
              <w:rPr>
                <w:kern w:val="0"/>
                <w:szCs w:val="21"/>
              </w:rPr>
            </w:pPr>
            <w:r>
              <w:rPr>
                <w:b/>
                <w:bCs/>
                <w:kern w:val="0"/>
                <w:szCs w:val="21"/>
              </w:rPr>
              <w:t>现状</w:t>
            </w:r>
          </w:p>
        </w:tc>
        <w:tc>
          <w:tcPr>
            <w:tcW w:w="8190" w:type="dxa"/>
            <w:vAlign w:val="center"/>
          </w:tcPr>
          <w:p>
            <w:pPr>
              <w:widowControl/>
              <w:spacing w:line="360" w:lineRule="auto"/>
              <w:ind w:firstLine="482" w:firstLineChars="200"/>
              <w:jc w:val="left"/>
              <w:rPr>
                <w:b/>
                <w:bCs/>
                <w:kern w:val="0"/>
                <w:sz w:val="24"/>
                <w:szCs w:val="20"/>
              </w:rPr>
            </w:pPr>
            <w:r>
              <w:rPr>
                <w:b/>
                <w:bCs/>
                <w:kern w:val="0"/>
                <w:sz w:val="24"/>
                <w:szCs w:val="20"/>
              </w:rPr>
              <w:t>建设项目所在地区域环境质量现状及主要环境问题（环境空气、地表水、声环境等）：</w:t>
            </w:r>
          </w:p>
          <w:p>
            <w:pPr>
              <w:widowControl/>
              <w:spacing w:line="360" w:lineRule="auto"/>
              <w:ind w:firstLine="482" w:firstLineChars="200"/>
              <w:jc w:val="left"/>
              <w:rPr>
                <w:b/>
                <w:bCs/>
                <w:kern w:val="0"/>
                <w:sz w:val="24"/>
                <w:szCs w:val="20"/>
              </w:rPr>
            </w:pPr>
            <w:r>
              <w:rPr>
                <w:rFonts w:hint="eastAsia"/>
                <w:b/>
                <w:bCs/>
                <w:kern w:val="0"/>
                <w:sz w:val="24"/>
                <w:szCs w:val="20"/>
              </w:rPr>
              <w:t>1、</w:t>
            </w:r>
            <w:r>
              <w:rPr>
                <w:b/>
                <w:bCs/>
                <w:kern w:val="0"/>
                <w:sz w:val="24"/>
                <w:szCs w:val="20"/>
              </w:rPr>
              <w:t>环境空气质量现状</w:t>
            </w:r>
          </w:p>
          <w:p>
            <w:pPr>
              <w:spacing w:line="360" w:lineRule="auto"/>
              <w:ind w:firstLine="480" w:firstLineChars="200"/>
              <w:rPr>
                <w:sz w:val="24"/>
              </w:rPr>
            </w:pPr>
            <w:r>
              <w:rPr>
                <w:rFonts w:hint="eastAsia"/>
                <w:sz w:val="24"/>
              </w:rPr>
              <w:t>⑴ 常规污染物</w:t>
            </w:r>
          </w:p>
          <w:p>
            <w:pPr>
              <w:spacing w:line="360" w:lineRule="auto"/>
              <w:ind w:firstLine="480" w:firstLineChars="200"/>
              <w:rPr>
                <w:sz w:val="24"/>
              </w:rPr>
            </w:pPr>
            <w:r>
              <w:rPr>
                <w:rFonts w:hint="eastAsia"/>
                <w:sz w:val="24"/>
              </w:rPr>
              <w:t>引用陕西省生态环境厅办公室2023年1月18日发布的《环保快报》（SNJB0048）中靖边县的数据，判定本项目区域环境空气质量达标情况，见表3-1。</w:t>
            </w:r>
          </w:p>
          <w:p>
            <w:pPr>
              <w:jc w:val="center"/>
              <w:rPr>
                <w:b/>
                <w:sz w:val="24"/>
              </w:rPr>
            </w:pPr>
            <w:r>
              <w:rPr>
                <w:rFonts w:hint="eastAsia"/>
                <w:b/>
                <w:sz w:val="24"/>
              </w:rPr>
              <w:t>表3-1 靖边县2022年环境空气质量状况统计结果</w:t>
            </w:r>
          </w:p>
          <w:tbl>
            <w:tblPr>
              <w:tblStyle w:val="3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2030"/>
              <w:gridCol w:w="1312"/>
              <w:gridCol w:w="1265"/>
              <w:gridCol w:w="107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62"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bCs/>
                      <w:sz w:val="21"/>
                      <w:szCs w:val="21"/>
                    </w:rPr>
                  </w:pPr>
                  <w:r>
                    <w:rPr>
                      <w:rFonts w:hint="eastAsia"/>
                      <w:bCs/>
                      <w:sz w:val="21"/>
                      <w:szCs w:val="21"/>
                    </w:rPr>
                    <w:t>污染物</w:t>
                  </w:r>
                </w:p>
              </w:tc>
              <w:tc>
                <w:tcPr>
                  <w:tcW w:w="1286"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bCs/>
                      <w:sz w:val="21"/>
                      <w:szCs w:val="21"/>
                    </w:rPr>
                  </w:pPr>
                  <w:r>
                    <w:rPr>
                      <w:rFonts w:hint="eastAsia"/>
                      <w:bCs/>
                      <w:sz w:val="21"/>
                      <w:szCs w:val="21"/>
                    </w:rPr>
                    <w:t>年评价指标</w:t>
                  </w:r>
                </w:p>
              </w:tc>
              <w:tc>
                <w:tcPr>
                  <w:tcW w:w="835"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bCs/>
                      <w:sz w:val="21"/>
                      <w:szCs w:val="21"/>
                    </w:rPr>
                  </w:pPr>
                  <w:r>
                    <w:rPr>
                      <w:rFonts w:hint="eastAsia"/>
                      <w:bCs/>
                      <w:sz w:val="21"/>
                      <w:szCs w:val="21"/>
                    </w:rPr>
                    <w:t>现状浓度</w:t>
                  </w:r>
                </w:p>
                <w:p>
                  <w:pPr>
                    <w:pStyle w:val="28"/>
                    <w:adjustRightInd w:val="0"/>
                    <w:spacing w:after="0"/>
                    <w:ind w:firstLine="0" w:firstLineChars="0"/>
                    <w:jc w:val="center"/>
                    <w:rPr>
                      <w:bCs/>
                      <w:sz w:val="21"/>
                      <w:szCs w:val="21"/>
                    </w:rPr>
                  </w:pPr>
                  <w:r>
                    <w:rPr>
                      <w:rFonts w:hint="eastAsia"/>
                      <w:bCs/>
                      <w:sz w:val="21"/>
                      <w:szCs w:val="21"/>
                    </w:rPr>
                    <w:t>（µg/m</w:t>
                  </w:r>
                  <w:r>
                    <w:rPr>
                      <w:rFonts w:hint="eastAsia"/>
                      <w:bCs/>
                      <w:sz w:val="21"/>
                      <w:szCs w:val="21"/>
                      <w:vertAlign w:val="superscript"/>
                    </w:rPr>
                    <w:t>3</w:t>
                  </w:r>
                  <w:r>
                    <w:rPr>
                      <w:rFonts w:hint="eastAsia"/>
                      <w:bCs/>
                      <w:sz w:val="21"/>
                      <w:szCs w:val="21"/>
                    </w:rPr>
                    <w:t>）</w:t>
                  </w:r>
                </w:p>
              </w:tc>
              <w:tc>
                <w:tcPr>
                  <w:tcW w:w="737"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bCs/>
                      <w:sz w:val="21"/>
                      <w:szCs w:val="21"/>
                    </w:rPr>
                  </w:pPr>
                  <w:r>
                    <w:rPr>
                      <w:rFonts w:hint="eastAsia"/>
                      <w:bCs/>
                      <w:sz w:val="21"/>
                      <w:szCs w:val="21"/>
                    </w:rPr>
                    <w:t>标准值（µg/m</w:t>
                  </w:r>
                  <w:r>
                    <w:rPr>
                      <w:rFonts w:hint="eastAsia"/>
                      <w:bCs/>
                      <w:sz w:val="21"/>
                      <w:szCs w:val="21"/>
                      <w:vertAlign w:val="superscript"/>
                    </w:rPr>
                    <w:t>3</w:t>
                  </w:r>
                  <w:r>
                    <w:rPr>
                      <w:rFonts w:hint="eastAsia"/>
                      <w:bCs/>
                      <w:sz w:val="21"/>
                      <w:szCs w:val="21"/>
                    </w:rPr>
                    <w:t>）</w:t>
                  </w:r>
                </w:p>
              </w:tc>
              <w:tc>
                <w:tcPr>
                  <w:tcW w:w="686"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bCs/>
                      <w:sz w:val="21"/>
                      <w:szCs w:val="21"/>
                    </w:rPr>
                  </w:pPr>
                  <w:r>
                    <w:rPr>
                      <w:rFonts w:hint="eastAsia"/>
                      <w:bCs/>
                      <w:sz w:val="21"/>
                      <w:szCs w:val="21"/>
                    </w:rPr>
                    <w:t>占标率</w:t>
                  </w:r>
                </w:p>
              </w:tc>
              <w:tc>
                <w:tcPr>
                  <w:tcW w:w="791"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bCs/>
                      <w:sz w:val="21"/>
                      <w:szCs w:val="21"/>
                    </w:rPr>
                  </w:pPr>
                  <w:r>
                    <w:rPr>
                      <w:rFonts w:hint="eastAsia"/>
                      <w:bCs/>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SO</w:t>
                  </w:r>
                  <w:r>
                    <w:rPr>
                      <w:rFonts w:hint="eastAsia"/>
                      <w:sz w:val="21"/>
                      <w:szCs w:val="21"/>
                      <w:vertAlign w:val="subscript"/>
                    </w:rPr>
                    <w:t>2</w:t>
                  </w:r>
                </w:p>
              </w:tc>
              <w:tc>
                <w:tcPr>
                  <w:tcW w:w="1286"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年平均质量浓度</w:t>
                  </w:r>
                </w:p>
              </w:tc>
              <w:tc>
                <w:tcPr>
                  <w:tcW w:w="835"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10</w:t>
                  </w:r>
                </w:p>
              </w:tc>
              <w:tc>
                <w:tcPr>
                  <w:tcW w:w="737"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60</w:t>
                  </w:r>
                </w:p>
              </w:tc>
              <w:tc>
                <w:tcPr>
                  <w:tcW w:w="68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szCs w:val="21"/>
                    </w:rPr>
                  </w:pPr>
                  <w:r>
                    <w:rPr>
                      <w:rFonts w:hint="eastAsia"/>
                    </w:rPr>
                    <w:t>16.7%</w:t>
                  </w:r>
                </w:p>
              </w:tc>
              <w:tc>
                <w:tcPr>
                  <w:tcW w:w="79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NO</w:t>
                  </w:r>
                  <w:r>
                    <w:rPr>
                      <w:rFonts w:hint="eastAsia"/>
                      <w:sz w:val="21"/>
                      <w:szCs w:val="21"/>
                      <w:vertAlign w:val="subscript"/>
                    </w:rPr>
                    <w:t>2</w:t>
                  </w:r>
                </w:p>
              </w:tc>
              <w:tc>
                <w:tcPr>
                  <w:tcW w:w="1286"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年平均质量浓度</w:t>
                  </w:r>
                </w:p>
              </w:tc>
              <w:tc>
                <w:tcPr>
                  <w:tcW w:w="835"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22</w:t>
                  </w:r>
                </w:p>
              </w:tc>
              <w:tc>
                <w:tcPr>
                  <w:tcW w:w="737"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40</w:t>
                  </w:r>
                </w:p>
              </w:tc>
              <w:tc>
                <w:tcPr>
                  <w:tcW w:w="68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szCs w:val="21"/>
                    </w:rPr>
                  </w:pPr>
                  <w:r>
                    <w:rPr>
                      <w:rFonts w:hint="eastAsia"/>
                    </w:rPr>
                    <w:t>55.0%</w:t>
                  </w:r>
                </w:p>
              </w:tc>
              <w:tc>
                <w:tcPr>
                  <w:tcW w:w="79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PM</w:t>
                  </w:r>
                  <w:r>
                    <w:rPr>
                      <w:rFonts w:hint="eastAsia"/>
                      <w:sz w:val="21"/>
                      <w:szCs w:val="21"/>
                      <w:vertAlign w:val="subscript"/>
                    </w:rPr>
                    <w:t>10</w:t>
                  </w:r>
                </w:p>
              </w:tc>
              <w:tc>
                <w:tcPr>
                  <w:tcW w:w="1286"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年平均质量浓度</w:t>
                  </w:r>
                </w:p>
              </w:tc>
              <w:tc>
                <w:tcPr>
                  <w:tcW w:w="835"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54</w:t>
                  </w:r>
                </w:p>
              </w:tc>
              <w:tc>
                <w:tcPr>
                  <w:tcW w:w="737"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70</w:t>
                  </w:r>
                </w:p>
              </w:tc>
              <w:tc>
                <w:tcPr>
                  <w:tcW w:w="68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szCs w:val="21"/>
                    </w:rPr>
                  </w:pPr>
                  <w:r>
                    <w:rPr>
                      <w:rFonts w:hint="eastAsia"/>
                    </w:rPr>
                    <w:t>77.1%</w:t>
                  </w:r>
                </w:p>
              </w:tc>
              <w:tc>
                <w:tcPr>
                  <w:tcW w:w="79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PM</w:t>
                  </w:r>
                  <w:r>
                    <w:rPr>
                      <w:rFonts w:hint="eastAsia"/>
                      <w:sz w:val="21"/>
                      <w:szCs w:val="21"/>
                      <w:vertAlign w:val="subscript"/>
                    </w:rPr>
                    <w:t>2.5</w:t>
                  </w:r>
                </w:p>
              </w:tc>
              <w:tc>
                <w:tcPr>
                  <w:tcW w:w="1286"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年平均质量浓度</w:t>
                  </w:r>
                </w:p>
              </w:tc>
              <w:tc>
                <w:tcPr>
                  <w:tcW w:w="835"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26</w:t>
                  </w:r>
                </w:p>
              </w:tc>
              <w:tc>
                <w:tcPr>
                  <w:tcW w:w="737"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35</w:t>
                  </w:r>
                </w:p>
              </w:tc>
              <w:tc>
                <w:tcPr>
                  <w:tcW w:w="68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szCs w:val="21"/>
                    </w:rPr>
                  </w:pPr>
                  <w:r>
                    <w:rPr>
                      <w:rFonts w:hint="eastAsia"/>
                    </w:rPr>
                    <w:t>74.3%</w:t>
                  </w:r>
                </w:p>
              </w:tc>
              <w:tc>
                <w:tcPr>
                  <w:tcW w:w="79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CO</w:t>
                  </w:r>
                </w:p>
              </w:tc>
              <w:tc>
                <w:tcPr>
                  <w:tcW w:w="1286"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第95百分位浓度</w:t>
                  </w:r>
                </w:p>
              </w:tc>
              <w:tc>
                <w:tcPr>
                  <w:tcW w:w="835"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1200</w:t>
                  </w:r>
                </w:p>
              </w:tc>
              <w:tc>
                <w:tcPr>
                  <w:tcW w:w="737"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4000</w:t>
                  </w:r>
                </w:p>
              </w:tc>
              <w:tc>
                <w:tcPr>
                  <w:tcW w:w="68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szCs w:val="21"/>
                    </w:rPr>
                  </w:pPr>
                  <w:r>
                    <w:rPr>
                      <w:rFonts w:hint="eastAsia"/>
                    </w:rPr>
                    <w:t>30.0%</w:t>
                  </w:r>
                </w:p>
              </w:tc>
              <w:tc>
                <w:tcPr>
                  <w:tcW w:w="79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O</w:t>
                  </w:r>
                  <w:r>
                    <w:rPr>
                      <w:rFonts w:hint="eastAsia"/>
                      <w:sz w:val="21"/>
                      <w:szCs w:val="21"/>
                      <w:vertAlign w:val="subscript"/>
                    </w:rPr>
                    <w:t>3</w:t>
                  </w:r>
                </w:p>
              </w:tc>
              <w:tc>
                <w:tcPr>
                  <w:tcW w:w="1286"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第90百分位浓度</w:t>
                  </w:r>
                </w:p>
              </w:tc>
              <w:tc>
                <w:tcPr>
                  <w:tcW w:w="835"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129</w:t>
                  </w:r>
                </w:p>
              </w:tc>
              <w:tc>
                <w:tcPr>
                  <w:tcW w:w="737" w:type="pct"/>
                  <w:tcBorders>
                    <w:top w:val="single" w:color="auto" w:sz="4" w:space="0"/>
                    <w:left w:val="single" w:color="auto" w:sz="4" w:space="0"/>
                    <w:bottom w:val="single" w:color="auto" w:sz="4" w:space="0"/>
                    <w:right w:val="single" w:color="auto" w:sz="4" w:space="0"/>
                  </w:tcBorders>
                  <w:vAlign w:val="center"/>
                </w:tcPr>
                <w:p>
                  <w:pPr>
                    <w:pStyle w:val="28"/>
                    <w:adjustRightInd w:val="0"/>
                    <w:spacing w:after="0"/>
                    <w:ind w:firstLine="0" w:firstLineChars="0"/>
                    <w:jc w:val="center"/>
                    <w:rPr>
                      <w:sz w:val="21"/>
                      <w:szCs w:val="21"/>
                    </w:rPr>
                  </w:pPr>
                  <w:r>
                    <w:rPr>
                      <w:rFonts w:hint="eastAsia"/>
                      <w:sz w:val="21"/>
                      <w:szCs w:val="21"/>
                    </w:rPr>
                    <w:t>160</w:t>
                  </w:r>
                </w:p>
              </w:tc>
              <w:tc>
                <w:tcPr>
                  <w:tcW w:w="68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szCs w:val="21"/>
                    </w:rPr>
                  </w:pPr>
                  <w:r>
                    <w:rPr>
                      <w:rFonts w:hint="eastAsia"/>
                    </w:rPr>
                    <w:t>80.6%</w:t>
                  </w:r>
                </w:p>
              </w:tc>
              <w:tc>
                <w:tcPr>
                  <w:tcW w:w="79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达标</w:t>
                  </w:r>
                </w:p>
              </w:tc>
            </w:tr>
          </w:tbl>
          <w:p>
            <w:pPr>
              <w:spacing w:line="360" w:lineRule="auto"/>
              <w:ind w:firstLine="480" w:firstLineChars="200"/>
              <w:rPr>
                <w:rFonts w:ascii="黑体" w:hAnsi="黑体" w:eastAsia="黑体"/>
                <w:sz w:val="24"/>
              </w:rPr>
            </w:pPr>
            <w:r>
              <w:rPr>
                <w:rFonts w:hint="eastAsia"/>
                <w:sz w:val="24"/>
              </w:rPr>
              <w:t>由上表可知，2022年靖边县主要大气污染物中PM</w:t>
            </w:r>
            <w:r>
              <w:rPr>
                <w:rFonts w:hint="eastAsia"/>
                <w:sz w:val="24"/>
                <w:vertAlign w:val="subscript"/>
              </w:rPr>
              <w:t>2.5</w:t>
            </w:r>
            <w:r>
              <w:rPr>
                <w:rFonts w:hint="eastAsia"/>
                <w:sz w:val="24"/>
              </w:rPr>
              <w:t>、PM</w:t>
            </w:r>
            <w:r>
              <w:rPr>
                <w:rFonts w:hint="eastAsia"/>
                <w:sz w:val="24"/>
                <w:vertAlign w:val="subscript"/>
              </w:rPr>
              <w:t>10</w:t>
            </w:r>
            <w:r>
              <w:rPr>
                <w:rFonts w:hint="eastAsia"/>
                <w:sz w:val="24"/>
              </w:rPr>
              <w:t>、SO</w:t>
            </w:r>
            <w:r>
              <w:rPr>
                <w:rFonts w:hint="eastAsia"/>
                <w:sz w:val="24"/>
                <w:vertAlign w:val="subscript"/>
              </w:rPr>
              <w:t>2</w:t>
            </w:r>
            <w:r>
              <w:rPr>
                <w:rFonts w:hint="eastAsia"/>
                <w:sz w:val="24"/>
              </w:rPr>
              <w:t>、NO</w:t>
            </w:r>
            <w:r>
              <w:rPr>
                <w:rFonts w:hint="eastAsia"/>
                <w:sz w:val="24"/>
                <w:vertAlign w:val="subscript"/>
              </w:rPr>
              <w:t>2</w:t>
            </w:r>
            <w:r>
              <w:rPr>
                <w:rFonts w:hint="eastAsia"/>
                <w:sz w:val="24"/>
              </w:rPr>
              <w:t>、CO、O</w:t>
            </w:r>
            <w:r>
              <w:rPr>
                <w:rFonts w:hint="eastAsia"/>
                <w:sz w:val="24"/>
                <w:vertAlign w:val="subscript"/>
              </w:rPr>
              <w:t>3</w:t>
            </w:r>
            <w:r>
              <w:rPr>
                <w:rFonts w:hint="eastAsia"/>
                <w:sz w:val="24"/>
              </w:rPr>
              <w:t>浓度均满足《环境空气质量标准》（GB3095-2012）中二级标准限值要求，因此，项目所在区域为环境空气质量达标区。</w:t>
            </w:r>
          </w:p>
          <w:p>
            <w:pPr>
              <w:spacing w:line="360" w:lineRule="auto"/>
              <w:ind w:firstLine="480" w:firstLineChars="200"/>
              <w:rPr>
                <w:sz w:val="24"/>
              </w:rPr>
            </w:pPr>
            <w:r>
              <w:rPr>
                <w:rFonts w:hint="eastAsia"/>
                <w:sz w:val="24"/>
              </w:rPr>
              <w:t>⑵ 特征污染物</w:t>
            </w:r>
          </w:p>
          <w:p>
            <w:pPr>
              <w:widowControl/>
              <w:spacing w:line="360" w:lineRule="auto"/>
              <w:ind w:firstLine="480" w:firstLineChars="200"/>
              <w:jc w:val="left"/>
              <w:rPr>
                <w:kern w:val="0"/>
                <w:sz w:val="24"/>
              </w:rPr>
            </w:pPr>
            <w:r>
              <w:rPr>
                <w:rFonts w:hint="eastAsia"/>
                <w:kern w:val="0"/>
                <w:sz w:val="24"/>
              </w:rPr>
              <w:t>项目环境空气质量现状引用</w:t>
            </w:r>
            <w:r>
              <w:rPr>
                <w:rFonts w:hint="eastAsia"/>
                <w:sz w:val="24"/>
              </w:rPr>
              <w:t>陕西泽希检测服务有限公司2022年2月19日~2022年2月21日对《陕西盛标新材料科技有限公司年产2万吨塑料功能母粒项目》</w:t>
            </w:r>
            <w:r>
              <w:rPr>
                <w:rFonts w:hint="eastAsia"/>
                <w:kern w:val="0"/>
                <w:sz w:val="24"/>
              </w:rPr>
              <w:t>环境质量现状监测报告，陕西盛标新材料科技有限公司位于项目厂区西南1</w:t>
            </w:r>
            <w:r>
              <w:rPr>
                <w:kern w:val="0"/>
                <w:sz w:val="24"/>
              </w:rPr>
              <w:t>35</w:t>
            </w:r>
            <w:r>
              <w:rPr>
                <w:rFonts w:hint="eastAsia"/>
                <w:kern w:val="0"/>
                <w:sz w:val="24"/>
              </w:rPr>
              <w:t>0m，满足引用建设项目周边5 千米范围内近3 年的现有监测数据的要求。</w:t>
            </w:r>
          </w:p>
          <w:p>
            <w:pPr>
              <w:widowControl/>
              <w:spacing w:line="360" w:lineRule="auto"/>
              <w:ind w:firstLine="480" w:firstLineChars="200"/>
              <w:jc w:val="left"/>
              <w:rPr>
                <w:kern w:val="0"/>
                <w:sz w:val="24"/>
              </w:rPr>
            </w:pPr>
            <w:r>
              <w:rPr>
                <w:rFonts w:hint="eastAsia"/>
                <w:kern w:val="0"/>
                <w:sz w:val="24"/>
              </w:rPr>
              <w:t>（1）监测点位布设</w:t>
            </w:r>
          </w:p>
          <w:p>
            <w:pPr>
              <w:widowControl/>
              <w:spacing w:line="360" w:lineRule="auto"/>
              <w:ind w:firstLine="480" w:firstLineChars="200"/>
              <w:jc w:val="left"/>
              <w:rPr>
                <w:kern w:val="0"/>
                <w:sz w:val="24"/>
              </w:rPr>
            </w:pPr>
            <w:r>
              <w:rPr>
                <w:rFonts w:hint="eastAsia"/>
                <w:kern w:val="0"/>
                <w:sz w:val="24"/>
              </w:rPr>
              <w:t>在陕西盛标新材料科技有限公司设1个监测点位，监测点位示意图见附图5。</w:t>
            </w:r>
          </w:p>
          <w:p>
            <w:pPr>
              <w:widowControl/>
              <w:spacing w:line="360" w:lineRule="auto"/>
              <w:ind w:firstLine="480" w:firstLineChars="200"/>
              <w:jc w:val="left"/>
              <w:rPr>
                <w:kern w:val="0"/>
                <w:sz w:val="24"/>
              </w:rPr>
            </w:pPr>
            <w:r>
              <w:rPr>
                <w:rFonts w:hint="eastAsia"/>
                <w:kern w:val="0"/>
                <w:sz w:val="24"/>
              </w:rPr>
              <w:t>（2）监测因子</w:t>
            </w:r>
          </w:p>
          <w:p>
            <w:pPr>
              <w:widowControl/>
              <w:spacing w:line="360" w:lineRule="auto"/>
              <w:ind w:firstLine="480" w:firstLineChars="200"/>
              <w:jc w:val="left"/>
              <w:rPr>
                <w:kern w:val="0"/>
                <w:sz w:val="24"/>
              </w:rPr>
            </w:pPr>
            <w:r>
              <w:rPr>
                <w:rFonts w:hint="eastAsia"/>
                <w:kern w:val="0"/>
                <w:sz w:val="24"/>
              </w:rPr>
              <w:t>监测因子为：</w:t>
            </w:r>
            <w:r>
              <w:rPr>
                <w:rFonts w:hint="eastAsia"/>
                <w:sz w:val="24"/>
              </w:rPr>
              <w:t>非甲烷总烃、</w:t>
            </w:r>
            <w:r>
              <w:rPr>
                <w:rFonts w:hint="eastAsia"/>
                <w:kern w:val="0"/>
                <w:sz w:val="24"/>
              </w:rPr>
              <w:t>TSP；</w:t>
            </w:r>
          </w:p>
          <w:p>
            <w:pPr>
              <w:widowControl/>
              <w:spacing w:line="360" w:lineRule="auto"/>
              <w:ind w:firstLine="480" w:firstLineChars="200"/>
              <w:jc w:val="left"/>
              <w:rPr>
                <w:kern w:val="0"/>
                <w:sz w:val="24"/>
              </w:rPr>
            </w:pPr>
            <w:r>
              <w:rPr>
                <w:rFonts w:hint="eastAsia"/>
                <w:kern w:val="0"/>
                <w:sz w:val="24"/>
              </w:rPr>
              <w:t>（3）监测时间及频率</w:t>
            </w:r>
          </w:p>
          <w:p>
            <w:pPr>
              <w:widowControl/>
              <w:spacing w:line="360" w:lineRule="auto"/>
              <w:ind w:firstLine="480" w:firstLineChars="200"/>
              <w:jc w:val="left"/>
              <w:rPr>
                <w:kern w:val="0"/>
                <w:sz w:val="24"/>
              </w:rPr>
            </w:pPr>
            <w:r>
              <w:rPr>
                <w:rFonts w:hint="eastAsia"/>
                <w:kern w:val="0"/>
                <w:sz w:val="24"/>
              </w:rPr>
              <w:t>连续监测3天，每天采样24h。</w:t>
            </w:r>
          </w:p>
          <w:p>
            <w:pPr>
              <w:widowControl/>
              <w:spacing w:line="360" w:lineRule="auto"/>
              <w:ind w:firstLine="480" w:firstLineChars="200"/>
              <w:jc w:val="left"/>
              <w:rPr>
                <w:kern w:val="0"/>
                <w:sz w:val="24"/>
              </w:rPr>
            </w:pPr>
            <w:r>
              <w:rPr>
                <w:rFonts w:hint="eastAsia"/>
                <w:kern w:val="0"/>
                <w:sz w:val="24"/>
              </w:rPr>
              <w:t>（4）监测分析方法</w:t>
            </w:r>
          </w:p>
          <w:p>
            <w:pPr>
              <w:widowControl/>
              <w:spacing w:line="360" w:lineRule="auto"/>
              <w:ind w:firstLine="480" w:firstLineChars="200"/>
              <w:jc w:val="left"/>
              <w:rPr>
                <w:kern w:val="0"/>
                <w:sz w:val="24"/>
              </w:rPr>
            </w:pPr>
            <w:r>
              <w:rPr>
                <w:rFonts w:hint="eastAsia"/>
                <w:kern w:val="0"/>
                <w:sz w:val="24"/>
              </w:rPr>
              <w:t>监测按《环境监测技术规范》、《环境空气质量标准》(GB3095-2012)及《环境影响评价技术导则大气环境》(HJ2.2-2018)等相关要求进行监测。</w:t>
            </w:r>
          </w:p>
          <w:p>
            <w:pPr>
              <w:widowControl/>
              <w:spacing w:line="360" w:lineRule="auto"/>
              <w:ind w:firstLine="480" w:firstLineChars="200"/>
              <w:jc w:val="left"/>
              <w:rPr>
                <w:kern w:val="0"/>
                <w:sz w:val="24"/>
              </w:rPr>
            </w:pPr>
            <w:r>
              <w:rPr>
                <w:rFonts w:hint="eastAsia"/>
                <w:kern w:val="0"/>
                <w:sz w:val="24"/>
              </w:rPr>
              <w:t>（5）监测结果</w:t>
            </w:r>
          </w:p>
          <w:p>
            <w:pPr>
              <w:widowControl/>
              <w:spacing w:line="360" w:lineRule="auto"/>
              <w:ind w:firstLine="480" w:firstLineChars="200"/>
              <w:jc w:val="left"/>
              <w:rPr>
                <w:kern w:val="0"/>
                <w:sz w:val="24"/>
              </w:rPr>
            </w:pPr>
            <w:r>
              <w:rPr>
                <w:rFonts w:hint="eastAsia"/>
                <w:kern w:val="0"/>
                <w:sz w:val="24"/>
              </w:rPr>
              <w:t>环境空气现状监测及评价结果见表3-2。</w:t>
            </w:r>
          </w:p>
          <w:p>
            <w:pPr>
              <w:pStyle w:val="106"/>
            </w:pPr>
            <w:r>
              <w:rPr>
                <w:rFonts w:hint="eastAsia" w:ascii="宋体" w:hAnsi="宋体" w:eastAsia="宋体"/>
              </w:rPr>
              <w:t>表3-2  环境空气质量现状评价结果</w:t>
            </w:r>
          </w:p>
          <w:tbl>
            <w:tblPr>
              <w:tblStyle w:val="31"/>
              <w:tblW w:w="7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5"/>
              <w:gridCol w:w="1331"/>
              <w:gridCol w:w="1732"/>
              <w:gridCol w:w="1664"/>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668" w:type="dxa"/>
                  <w:gridSpan w:val="3"/>
                  <w:vAlign w:val="center"/>
                </w:tcPr>
                <w:p>
                  <w:pPr>
                    <w:snapToGrid w:val="0"/>
                    <w:jc w:val="center"/>
                    <w:rPr>
                      <w:szCs w:val="21"/>
                    </w:rPr>
                  </w:pPr>
                  <w:r>
                    <w:rPr>
                      <w:rFonts w:hAnsi="宋体"/>
                      <w:szCs w:val="21"/>
                    </w:rPr>
                    <w:t>监测点位</w:t>
                  </w:r>
                </w:p>
              </w:tc>
              <w:tc>
                <w:tcPr>
                  <w:tcW w:w="1664" w:type="dxa"/>
                  <w:vAlign w:val="center"/>
                </w:tcPr>
                <w:p>
                  <w:pPr>
                    <w:snapToGrid w:val="0"/>
                    <w:jc w:val="center"/>
                    <w:rPr>
                      <w:szCs w:val="21"/>
                    </w:rPr>
                  </w:pPr>
                  <w:r>
                    <w:rPr>
                      <w:rFonts w:hint="eastAsia"/>
                      <w:szCs w:val="21"/>
                    </w:rPr>
                    <w:t>非甲烷总烃</w:t>
                  </w:r>
                </w:p>
              </w:tc>
              <w:tc>
                <w:tcPr>
                  <w:tcW w:w="1632" w:type="dxa"/>
                  <w:vAlign w:val="center"/>
                </w:tcPr>
                <w:p>
                  <w:pPr>
                    <w:snapToGrid w:val="0"/>
                    <w:jc w:val="center"/>
                    <w:rPr>
                      <w:szCs w:val="21"/>
                    </w:rPr>
                  </w:pPr>
                  <w:r>
                    <w:rPr>
                      <w:rFonts w:hint="eastAsia"/>
                      <w:szCs w:val="21"/>
                    </w:rPr>
                    <w:t xml:space="preserve">TSP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05" w:type="dxa"/>
                  <w:vMerge w:val="restart"/>
                  <w:vAlign w:val="center"/>
                </w:tcPr>
                <w:p>
                  <w:pPr>
                    <w:snapToGrid w:val="0"/>
                    <w:jc w:val="center"/>
                    <w:rPr>
                      <w:szCs w:val="21"/>
                    </w:rPr>
                  </w:pPr>
                  <w:r>
                    <w:rPr>
                      <w:rFonts w:hint="eastAsia"/>
                      <w:kern w:val="0"/>
                    </w:rPr>
                    <w:t>陕西盛标新材料科技有限公司</w:t>
                  </w:r>
                </w:p>
              </w:tc>
              <w:tc>
                <w:tcPr>
                  <w:tcW w:w="1331" w:type="dxa"/>
                  <w:vMerge w:val="restart"/>
                  <w:vAlign w:val="center"/>
                </w:tcPr>
                <w:p>
                  <w:pPr>
                    <w:snapToGrid w:val="0"/>
                    <w:jc w:val="center"/>
                    <w:rPr>
                      <w:szCs w:val="21"/>
                    </w:rPr>
                  </w:pPr>
                  <w:r>
                    <w:rPr>
                      <w:szCs w:val="21"/>
                    </w:rPr>
                    <w:t>24</w:t>
                  </w:r>
                  <w:r>
                    <w:rPr>
                      <w:rFonts w:hAnsi="宋体"/>
                      <w:szCs w:val="21"/>
                    </w:rPr>
                    <w:t>小时浓度值</w:t>
                  </w:r>
                </w:p>
              </w:tc>
              <w:tc>
                <w:tcPr>
                  <w:tcW w:w="1732" w:type="dxa"/>
                  <w:vAlign w:val="center"/>
                </w:tcPr>
                <w:p>
                  <w:pPr>
                    <w:snapToGrid w:val="0"/>
                    <w:jc w:val="center"/>
                    <w:rPr>
                      <w:szCs w:val="21"/>
                    </w:rPr>
                  </w:pPr>
                  <w:r>
                    <w:rPr>
                      <w:rFonts w:hAnsi="宋体"/>
                      <w:szCs w:val="21"/>
                    </w:rPr>
                    <w:t>监测值</w:t>
                  </w:r>
                </w:p>
              </w:tc>
              <w:tc>
                <w:tcPr>
                  <w:tcW w:w="1664" w:type="dxa"/>
                  <w:vAlign w:val="center"/>
                </w:tcPr>
                <w:p>
                  <w:pPr>
                    <w:snapToGrid w:val="0"/>
                    <w:jc w:val="center"/>
                    <w:rPr>
                      <w:szCs w:val="21"/>
                    </w:rPr>
                  </w:pPr>
                  <w:r>
                    <w:rPr>
                      <w:szCs w:val="21"/>
                    </w:rPr>
                    <w:t>—</w:t>
                  </w:r>
                </w:p>
              </w:tc>
              <w:tc>
                <w:tcPr>
                  <w:tcW w:w="1632" w:type="dxa"/>
                  <w:vAlign w:val="center"/>
                </w:tcPr>
                <w:p>
                  <w:pPr>
                    <w:snapToGrid w:val="0"/>
                    <w:jc w:val="center"/>
                    <w:rPr>
                      <w:szCs w:val="21"/>
                    </w:rPr>
                  </w:pPr>
                  <w:r>
                    <w:rPr>
                      <w:rFonts w:hint="eastAsia"/>
                      <w:szCs w:val="21"/>
                    </w:rPr>
                    <w:t>143~172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05" w:type="dxa"/>
                  <w:vMerge w:val="continue"/>
                  <w:vAlign w:val="center"/>
                </w:tcPr>
                <w:p>
                  <w:pPr>
                    <w:snapToGrid w:val="0"/>
                    <w:jc w:val="center"/>
                    <w:rPr>
                      <w:szCs w:val="21"/>
                    </w:rPr>
                  </w:pPr>
                </w:p>
              </w:tc>
              <w:tc>
                <w:tcPr>
                  <w:tcW w:w="1331" w:type="dxa"/>
                  <w:vMerge w:val="continue"/>
                  <w:vAlign w:val="center"/>
                </w:tcPr>
                <w:p>
                  <w:pPr>
                    <w:snapToGrid w:val="0"/>
                    <w:jc w:val="center"/>
                    <w:rPr>
                      <w:szCs w:val="21"/>
                    </w:rPr>
                  </w:pPr>
                </w:p>
              </w:tc>
              <w:tc>
                <w:tcPr>
                  <w:tcW w:w="1732" w:type="dxa"/>
                  <w:vAlign w:val="center"/>
                </w:tcPr>
                <w:p>
                  <w:pPr>
                    <w:snapToGrid w:val="0"/>
                    <w:jc w:val="center"/>
                    <w:rPr>
                      <w:szCs w:val="21"/>
                    </w:rPr>
                  </w:pPr>
                  <w:r>
                    <w:rPr>
                      <w:rFonts w:hAnsi="宋体"/>
                      <w:szCs w:val="21"/>
                    </w:rPr>
                    <w:t>最大超标倍数</w:t>
                  </w:r>
                </w:p>
              </w:tc>
              <w:tc>
                <w:tcPr>
                  <w:tcW w:w="1664" w:type="dxa"/>
                  <w:vAlign w:val="center"/>
                </w:tcPr>
                <w:p>
                  <w:pPr>
                    <w:snapToGrid w:val="0"/>
                    <w:jc w:val="center"/>
                    <w:rPr>
                      <w:szCs w:val="21"/>
                    </w:rPr>
                  </w:pPr>
                  <w:r>
                    <w:rPr>
                      <w:szCs w:val="21"/>
                    </w:rPr>
                    <w:t>—</w:t>
                  </w:r>
                </w:p>
              </w:tc>
              <w:tc>
                <w:tcPr>
                  <w:tcW w:w="1632" w:type="dxa"/>
                  <w:vAlign w:val="center"/>
                </w:tcPr>
                <w:p>
                  <w:pPr>
                    <w:snapToGrid w:val="0"/>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05" w:type="dxa"/>
                  <w:vMerge w:val="continue"/>
                  <w:vAlign w:val="center"/>
                </w:tcPr>
                <w:p>
                  <w:pPr>
                    <w:snapToGrid w:val="0"/>
                    <w:jc w:val="center"/>
                    <w:rPr>
                      <w:szCs w:val="21"/>
                    </w:rPr>
                  </w:pPr>
                </w:p>
              </w:tc>
              <w:tc>
                <w:tcPr>
                  <w:tcW w:w="1331" w:type="dxa"/>
                  <w:vMerge w:val="continue"/>
                  <w:vAlign w:val="center"/>
                </w:tcPr>
                <w:p>
                  <w:pPr>
                    <w:snapToGrid w:val="0"/>
                    <w:jc w:val="center"/>
                    <w:rPr>
                      <w:szCs w:val="21"/>
                    </w:rPr>
                  </w:pPr>
                </w:p>
              </w:tc>
              <w:tc>
                <w:tcPr>
                  <w:tcW w:w="1732" w:type="dxa"/>
                  <w:vAlign w:val="center"/>
                </w:tcPr>
                <w:p>
                  <w:pPr>
                    <w:snapToGrid w:val="0"/>
                    <w:jc w:val="center"/>
                    <w:rPr>
                      <w:szCs w:val="21"/>
                    </w:rPr>
                  </w:pPr>
                  <w:r>
                    <w:rPr>
                      <w:rFonts w:hAnsi="宋体"/>
                      <w:szCs w:val="21"/>
                    </w:rPr>
                    <w:t>执行标准值</w:t>
                  </w:r>
                </w:p>
              </w:tc>
              <w:tc>
                <w:tcPr>
                  <w:tcW w:w="1664" w:type="dxa"/>
                  <w:vAlign w:val="center"/>
                </w:tcPr>
                <w:p>
                  <w:pPr>
                    <w:snapToGrid w:val="0"/>
                    <w:jc w:val="center"/>
                    <w:rPr>
                      <w:szCs w:val="21"/>
                    </w:rPr>
                  </w:pPr>
                  <w:r>
                    <w:rPr>
                      <w:szCs w:val="21"/>
                    </w:rPr>
                    <w:t>—</w:t>
                  </w:r>
                </w:p>
              </w:tc>
              <w:tc>
                <w:tcPr>
                  <w:tcW w:w="1632" w:type="dxa"/>
                  <w:vAlign w:val="center"/>
                </w:tcPr>
                <w:p>
                  <w:pPr>
                    <w:snapToGrid w:val="0"/>
                    <w:jc w:val="center"/>
                    <w:rPr>
                      <w:szCs w:val="21"/>
                      <w:highlight w:val="red"/>
                    </w:rPr>
                  </w:pPr>
                  <w:r>
                    <w:rPr>
                      <w:rFonts w:hint="eastAsia"/>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05" w:type="dxa"/>
                  <w:vMerge w:val="continue"/>
                  <w:vAlign w:val="center"/>
                </w:tcPr>
                <w:p>
                  <w:pPr>
                    <w:snapToGrid w:val="0"/>
                    <w:jc w:val="center"/>
                    <w:rPr>
                      <w:szCs w:val="21"/>
                    </w:rPr>
                  </w:pPr>
                </w:p>
              </w:tc>
              <w:tc>
                <w:tcPr>
                  <w:tcW w:w="1331" w:type="dxa"/>
                  <w:vMerge w:val="restart"/>
                  <w:vAlign w:val="center"/>
                </w:tcPr>
                <w:p>
                  <w:pPr>
                    <w:snapToGrid w:val="0"/>
                    <w:jc w:val="center"/>
                    <w:rPr>
                      <w:szCs w:val="21"/>
                    </w:rPr>
                  </w:pPr>
                  <w:r>
                    <w:rPr>
                      <w:szCs w:val="21"/>
                    </w:rPr>
                    <w:t>1</w:t>
                  </w:r>
                  <w:r>
                    <w:rPr>
                      <w:rFonts w:hAnsi="宋体"/>
                      <w:szCs w:val="21"/>
                    </w:rPr>
                    <w:t>小时</w:t>
                  </w:r>
                </w:p>
                <w:p>
                  <w:pPr>
                    <w:snapToGrid w:val="0"/>
                    <w:jc w:val="center"/>
                    <w:rPr>
                      <w:szCs w:val="21"/>
                    </w:rPr>
                  </w:pPr>
                  <w:r>
                    <w:rPr>
                      <w:rFonts w:hAnsi="宋体"/>
                      <w:szCs w:val="21"/>
                    </w:rPr>
                    <w:t>浓度值</w:t>
                  </w:r>
                </w:p>
              </w:tc>
              <w:tc>
                <w:tcPr>
                  <w:tcW w:w="1732" w:type="dxa"/>
                  <w:vAlign w:val="center"/>
                </w:tcPr>
                <w:p>
                  <w:pPr>
                    <w:snapToGrid w:val="0"/>
                    <w:jc w:val="center"/>
                    <w:rPr>
                      <w:szCs w:val="21"/>
                    </w:rPr>
                  </w:pPr>
                  <w:r>
                    <w:rPr>
                      <w:rFonts w:hAnsi="宋体"/>
                      <w:szCs w:val="21"/>
                    </w:rPr>
                    <w:t>监测值</w:t>
                  </w:r>
                </w:p>
              </w:tc>
              <w:tc>
                <w:tcPr>
                  <w:tcW w:w="1664" w:type="dxa"/>
                  <w:vAlign w:val="center"/>
                </w:tcPr>
                <w:p>
                  <w:pPr>
                    <w:snapToGrid w:val="0"/>
                    <w:jc w:val="center"/>
                    <w:rPr>
                      <w:szCs w:val="21"/>
                    </w:rPr>
                  </w:pPr>
                  <w:r>
                    <w:rPr>
                      <w:rFonts w:hint="eastAsia"/>
                      <w:szCs w:val="21"/>
                    </w:rPr>
                    <w:t>420~590</w:t>
                  </w:r>
                </w:p>
              </w:tc>
              <w:tc>
                <w:tcPr>
                  <w:tcW w:w="1632" w:type="dxa"/>
                  <w:vAlign w:val="center"/>
                </w:tcPr>
                <w:p>
                  <w:pPr>
                    <w:snapToGrid w:val="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605" w:type="dxa"/>
                  <w:vMerge w:val="continue"/>
                  <w:vAlign w:val="center"/>
                </w:tcPr>
                <w:p>
                  <w:pPr>
                    <w:snapToGrid w:val="0"/>
                    <w:jc w:val="center"/>
                    <w:rPr>
                      <w:szCs w:val="21"/>
                    </w:rPr>
                  </w:pPr>
                </w:p>
              </w:tc>
              <w:tc>
                <w:tcPr>
                  <w:tcW w:w="1331" w:type="dxa"/>
                  <w:vMerge w:val="continue"/>
                  <w:vAlign w:val="center"/>
                </w:tcPr>
                <w:p>
                  <w:pPr>
                    <w:snapToGrid w:val="0"/>
                    <w:jc w:val="center"/>
                    <w:rPr>
                      <w:szCs w:val="21"/>
                    </w:rPr>
                  </w:pPr>
                </w:p>
              </w:tc>
              <w:tc>
                <w:tcPr>
                  <w:tcW w:w="1732" w:type="dxa"/>
                  <w:vAlign w:val="center"/>
                </w:tcPr>
                <w:p>
                  <w:pPr>
                    <w:snapToGrid w:val="0"/>
                    <w:jc w:val="center"/>
                    <w:rPr>
                      <w:szCs w:val="21"/>
                    </w:rPr>
                  </w:pPr>
                  <w:r>
                    <w:rPr>
                      <w:rFonts w:hAnsi="宋体"/>
                      <w:szCs w:val="21"/>
                    </w:rPr>
                    <w:t>最大超标倍数</w:t>
                  </w:r>
                </w:p>
              </w:tc>
              <w:tc>
                <w:tcPr>
                  <w:tcW w:w="1664" w:type="dxa"/>
                  <w:vAlign w:val="center"/>
                </w:tcPr>
                <w:p>
                  <w:pPr>
                    <w:snapToGrid w:val="0"/>
                    <w:jc w:val="center"/>
                    <w:rPr>
                      <w:szCs w:val="21"/>
                    </w:rPr>
                  </w:pPr>
                  <w:r>
                    <w:rPr>
                      <w:szCs w:val="21"/>
                    </w:rPr>
                    <w:t>0</w:t>
                  </w:r>
                </w:p>
              </w:tc>
              <w:tc>
                <w:tcPr>
                  <w:tcW w:w="1632" w:type="dxa"/>
                  <w:vAlign w:val="center"/>
                </w:tcPr>
                <w:p>
                  <w:pPr>
                    <w:snapToGrid w:val="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05" w:type="dxa"/>
                  <w:vMerge w:val="continue"/>
                  <w:vAlign w:val="center"/>
                </w:tcPr>
                <w:p>
                  <w:pPr>
                    <w:snapToGrid w:val="0"/>
                    <w:jc w:val="center"/>
                    <w:rPr>
                      <w:szCs w:val="21"/>
                    </w:rPr>
                  </w:pPr>
                </w:p>
              </w:tc>
              <w:tc>
                <w:tcPr>
                  <w:tcW w:w="1331" w:type="dxa"/>
                  <w:vMerge w:val="continue"/>
                  <w:vAlign w:val="center"/>
                </w:tcPr>
                <w:p>
                  <w:pPr>
                    <w:snapToGrid w:val="0"/>
                    <w:jc w:val="center"/>
                    <w:rPr>
                      <w:szCs w:val="21"/>
                    </w:rPr>
                  </w:pPr>
                </w:p>
              </w:tc>
              <w:tc>
                <w:tcPr>
                  <w:tcW w:w="1732" w:type="dxa"/>
                  <w:vAlign w:val="center"/>
                </w:tcPr>
                <w:p>
                  <w:pPr>
                    <w:snapToGrid w:val="0"/>
                    <w:jc w:val="center"/>
                    <w:rPr>
                      <w:szCs w:val="21"/>
                    </w:rPr>
                  </w:pPr>
                  <w:r>
                    <w:rPr>
                      <w:rFonts w:hAnsi="宋体"/>
                      <w:szCs w:val="21"/>
                    </w:rPr>
                    <w:t>执行标准值</w:t>
                  </w:r>
                </w:p>
              </w:tc>
              <w:tc>
                <w:tcPr>
                  <w:tcW w:w="1664" w:type="dxa"/>
                  <w:vAlign w:val="center"/>
                </w:tcPr>
                <w:p>
                  <w:pPr>
                    <w:snapToGrid w:val="0"/>
                    <w:jc w:val="center"/>
                    <w:rPr>
                      <w:szCs w:val="21"/>
                    </w:rPr>
                  </w:pPr>
                  <w:r>
                    <w:rPr>
                      <w:rFonts w:hint="eastAsia"/>
                      <w:szCs w:val="21"/>
                    </w:rPr>
                    <w:t>2000</w:t>
                  </w:r>
                </w:p>
              </w:tc>
              <w:tc>
                <w:tcPr>
                  <w:tcW w:w="1632" w:type="dxa"/>
                  <w:vAlign w:val="center"/>
                </w:tcPr>
                <w:p>
                  <w:pPr>
                    <w:snapToGrid w:val="0"/>
                    <w:jc w:val="center"/>
                    <w:rPr>
                      <w:szCs w:val="21"/>
                    </w:rPr>
                  </w:pPr>
                  <w:r>
                    <w:rPr>
                      <w:szCs w:val="21"/>
                    </w:rPr>
                    <w:t>—</w:t>
                  </w:r>
                </w:p>
              </w:tc>
            </w:tr>
          </w:tbl>
          <w:p>
            <w:pPr>
              <w:widowControl/>
              <w:spacing w:line="360" w:lineRule="auto"/>
              <w:ind w:firstLine="480" w:firstLineChars="200"/>
              <w:jc w:val="left"/>
              <w:rPr>
                <w:rFonts w:ascii="黑体" w:hAnsi="黑体" w:eastAsia="黑体"/>
                <w:kern w:val="0"/>
                <w:sz w:val="24"/>
              </w:rPr>
            </w:pPr>
            <w:r>
              <w:rPr>
                <w:rFonts w:hint="eastAsia"/>
                <w:kern w:val="0"/>
                <w:sz w:val="24"/>
              </w:rPr>
              <w:t>由监测结果可知，项目所在区域TSP可以满足《环境空气质量标准》(GB3095-2012)二级标准的要求，</w:t>
            </w:r>
            <w:r>
              <w:rPr>
                <w:rFonts w:hint="eastAsia"/>
                <w:sz w:val="24"/>
              </w:rPr>
              <w:t>非甲烷总烃</w:t>
            </w:r>
            <w:r>
              <w:rPr>
                <w:sz w:val="24"/>
              </w:rPr>
              <w:t>的小时平均值</w:t>
            </w:r>
            <w:r>
              <w:rPr>
                <w:rFonts w:hint="eastAsia"/>
                <w:sz w:val="24"/>
              </w:rPr>
              <w:t>满足《大气污染物综合排放标准详解》2mg/m</w:t>
            </w:r>
            <w:r>
              <w:rPr>
                <w:rFonts w:hint="eastAsia"/>
                <w:sz w:val="24"/>
                <w:vertAlign w:val="superscript"/>
              </w:rPr>
              <w:t>3</w:t>
            </w:r>
            <w:r>
              <w:rPr>
                <w:rFonts w:hint="eastAsia"/>
                <w:sz w:val="24"/>
              </w:rPr>
              <w:t>要求</w:t>
            </w:r>
            <w:r>
              <w:rPr>
                <w:rFonts w:hint="eastAsia"/>
                <w:kern w:val="0"/>
                <w:sz w:val="24"/>
              </w:rPr>
              <w:t>。</w:t>
            </w:r>
          </w:p>
          <w:p>
            <w:pPr>
              <w:widowControl/>
              <w:spacing w:line="360" w:lineRule="auto"/>
              <w:ind w:firstLine="482" w:firstLineChars="200"/>
              <w:jc w:val="left"/>
              <w:rPr>
                <w:b/>
                <w:bCs/>
                <w:kern w:val="0"/>
                <w:sz w:val="24"/>
                <w:szCs w:val="20"/>
              </w:rPr>
            </w:pPr>
            <w:r>
              <w:rPr>
                <w:b/>
                <w:bCs/>
                <w:kern w:val="0"/>
                <w:sz w:val="24"/>
                <w:szCs w:val="20"/>
              </w:rPr>
              <w:t>2</w:t>
            </w:r>
            <w:r>
              <w:rPr>
                <w:rFonts w:hint="eastAsia"/>
                <w:b/>
                <w:bCs/>
                <w:kern w:val="0"/>
                <w:sz w:val="24"/>
                <w:szCs w:val="20"/>
              </w:rPr>
              <w:t>、声环境质量现状</w:t>
            </w:r>
          </w:p>
          <w:p>
            <w:pPr>
              <w:widowControl/>
              <w:spacing w:line="360" w:lineRule="auto"/>
              <w:ind w:firstLine="480" w:firstLineChars="200"/>
              <w:jc w:val="left"/>
            </w:pPr>
            <w:r>
              <w:rPr>
                <w:rFonts w:ascii="宋体" w:hAnsi="宋体" w:cs="宋体"/>
                <w:kern w:val="0"/>
                <w:sz w:val="24"/>
                <w:szCs w:val="20"/>
              </w:rPr>
              <w:t>项目</w:t>
            </w:r>
            <w:r>
              <w:rPr>
                <w:rFonts w:hint="eastAsia" w:ascii="宋体" w:hAnsi="宋体" w:cs="宋体"/>
                <w:kern w:val="0"/>
                <w:sz w:val="24"/>
                <w:szCs w:val="20"/>
              </w:rPr>
              <w:t>厂界外50m范围内无声环境敏感目标</w:t>
            </w:r>
            <w:r>
              <w:rPr>
                <w:rFonts w:ascii="宋体" w:hAnsi="宋体" w:cs="宋体"/>
                <w:kern w:val="0"/>
                <w:sz w:val="24"/>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00" w:type="dxa"/>
            <w:vAlign w:val="center"/>
          </w:tcPr>
          <w:p>
            <w:pPr>
              <w:adjustRightInd w:val="0"/>
              <w:snapToGrid w:val="0"/>
              <w:jc w:val="center"/>
              <w:rPr>
                <w:b/>
                <w:bCs/>
                <w:kern w:val="0"/>
                <w:szCs w:val="21"/>
              </w:rPr>
            </w:pPr>
            <w:r>
              <w:rPr>
                <w:b/>
                <w:bCs/>
                <w:kern w:val="0"/>
                <w:szCs w:val="21"/>
              </w:rPr>
              <w:t>环境</w:t>
            </w:r>
          </w:p>
          <w:p>
            <w:pPr>
              <w:adjustRightInd w:val="0"/>
              <w:snapToGrid w:val="0"/>
              <w:jc w:val="center"/>
              <w:rPr>
                <w:b/>
                <w:bCs/>
                <w:kern w:val="0"/>
                <w:szCs w:val="21"/>
              </w:rPr>
            </w:pPr>
            <w:r>
              <w:rPr>
                <w:b/>
                <w:bCs/>
                <w:kern w:val="0"/>
                <w:szCs w:val="21"/>
              </w:rPr>
              <w:t>保护</w:t>
            </w:r>
          </w:p>
          <w:p>
            <w:pPr>
              <w:adjustRightInd w:val="0"/>
              <w:snapToGrid w:val="0"/>
              <w:jc w:val="center"/>
              <w:rPr>
                <w:kern w:val="0"/>
                <w:szCs w:val="21"/>
              </w:rPr>
            </w:pPr>
            <w:r>
              <w:rPr>
                <w:b/>
                <w:bCs/>
                <w:kern w:val="0"/>
                <w:szCs w:val="21"/>
              </w:rPr>
              <w:t>目标</w:t>
            </w:r>
          </w:p>
        </w:tc>
        <w:tc>
          <w:tcPr>
            <w:tcW w:w="8190" w:type="dxa"/>
            <w:vAlign w:val="center"/>
          </w:tcPr>
          <w:p>
            <w:pPr>
              <w:widowControl/>
              <w:spacing w:line="360" w:lineRule="auto"/>
              <w:rPr>
                <w:b/>
                <w:bCs/>
                <w:kern w:val="0"/>
                <w:sz w:val="24"/>
              </w:rPr>
            </w:pPr>
            <w:r>
              <w:rPr>
                <w:b/>
                <w:bCs/>
                <w:kern w:val="0"/>
                <w:sz w:val="24"/>
              </w:rPr>
              <w:t>主要环境保护目标（列出名单及保护级别）：</w:t>
            </w:r>
          </w:p>
          <w:p>
            <w:pPr>
              <w:widowControl/>
              <w:spacing w:line="360" w:lineRule="auto"/>
              <w:ind w:firstLine="480" w:firstLineChars="200"/>
              <w:jc w:val="left"/>
              <w:rPr>
                <w:kern w:val="0"/>
                <w:sz w:val="24"/>
              </w:rPr>
            </w:pPr>
            <w:r>
              <w:rPr>
                <w:rFonts w:hint="eastAsia"/>
                <w:kern w:val="0"/>
                <w:sz w:val="24"/>
              </w:rPr>
              <w:t>通过现场调查，500m范围内无敏感保护目标，环境保护目标见下表。</w:t>
            </w:r>
          </w:p>
          <w:p>
            <w:pPr>
              <w:widowControl/>
              <w:ind w:firstLine="422" w:firstLineChars="200"/>
              <w:jc w:val="center"/>
              <w:rPr>
                <w:b/>
                <w:bCs/>
                <w:szCs w:val="21"/>
              </w:rPr>
            </w:pPr>
            <w:r>
              <w:rPr>
                <w:b/>
                <w:bCs/>
                <w:szCs w:val="21"/>
              </w:rPr>
              <w:t>表</w:t>
            </w:r>
            <w:r>
              <w:rPr>
                <w:rFonts w:hint="eastAsia"/>
                <w:b/>
                <w:bCs/>
                <w:szCs w:val="21"/>
              </w:rPr>
              <w:t xml:space="preserve">3-4  </w:t>
            </w:r>
            <w:r>
              <w:rPr>
                <w:b/>
                <w:bCs/>
                <w:szCs w:val="21"/>
              </w:rPr>
              <w:t>主要环境保护目标</w:t>
            </w:r>
          </w:p>
          <w:tbl>
            <w:tblPr>
              <w:tblStyle w:val="31"/>
              <w:tblW w:w="0" w:type="auto"/>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0" w:type="dxa"/>
                <w:bottom w:w="0" w:type="dxa"/>
                <w:right w:w="0" w:type="dxa"/>
              </w:tblCellMar>
            </w:tblPr>
            <w:tblGrid>
              <w:gridCol w:w="473"/>
              <w:gridCol w:w="631"/>
              <w:gridCol w:w="1137"/>
              <w:gridCol w:w="1117"/>
              <w:gridCol w:w="551"/>
              <w:gridCol w:w="498"/>
              <w:gridCol w:w="1134"/>
              <w:gridCol w:w="242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73" w:type="dxa"/>
                  <w:vMerge w:val="restart"/>
                  <w:vAlign w:val="center"/>
                </w:tcPr>
                <w:p>
                  <w:pPr>
                    <w:adjustRightInd w:val="0"/>
                    <w:jc w:val="center"/>
                    <w:rPr>
                      <w:b/>
                      <w:bCs/>
                      <w:szCs w:val="21"/>
                    </w:rPr>
                  </w:pPr>
                  <w:r>
                    <w:rPr>
                      <w:b/>
                      <w:bCs/>
                      <w:szCs w:val="21"/>
                    </w:rPr>
                    <w:t>环境</w:t>
                  </w:r>
                </w:p>
                <w:p>
                  <w:pPr>
                    <w:adjustRightInd w:val="0"/>
                    <w:jc w:val="center"/>
                    <w:rPr>
                      <w:b/>
                      <w:bCs/>
                      <w:szCs w:val="21"/>
                    </w:rPr>
                  </w:pPr>
                  <w:r>
                    <w:rPr>
                      <w:b/>
                      <w:bCs/>
                      <w:szCs w:val="21"/>
                    </w:rPr>
                    <w:t>因素</w:t>
                  </w:r>
                </w:p>
              </w:tc>
              <w:tc>
                <w:tcPr>
                  <w:tcW w:w="631" w:type="dxa"/>
                  <w:vMerge w:val="restart"/>
                  <w:vAlign w:val="center"/>
                </w:tcPr>
                <w:p>
                  <w:pPr>
                    <w:adjustRightInd w:val="0"/>
                    <w:jc w:val="center"/>
                    <w:rPr>
                      <w:b/>
                      <w:bCs/>
                      <w:szCs w:val="21"/>
                    </w:rPr>
                  </w:pPr>
                  <w:r>
                    <w:rPr>
                      <w:b/>
                      <w:bCs/>
                      <w:szCs w:val="21"/>
                    </w:rPr>
                    <w:t>名称</w:t>
                  </w:r>
                </w:p>
              </w:tc>
              <w:tc>
                <w:tcPr>
                  <w:tcW w:w="2254" w:type="dxa"/>
                  <w:gridSpan w:val="2"/>
                  <w:tcBorders>
                    <w:right w:val="single" w:color="auto" w:sz="4" w:space="0"/>
                  </w:tcBorders>
                  <w:vAlign w:val="center"/>
                </w:tcPr>
                <w:p>
                  <w:pPr>
                    <w:adjustRightInd w:val="0"/>
                    <w:jc w:val="center"/>
                    <w:rPr>
                      <w:b/>
                      <w:bCs/>
                      <w:szCs w:val="21"/>
                    </w:rPr>
                  </w:pPr>
                  <w:r>
                    <w:rPr>
                      <w:b/>
                      <w:bCs/>
                      <w:szCs w:val="21"/>
                    </w:rPr>
                    <w:t>地理坐标</w:t>
                  </w:r>
                </w:p>
              </w:tc>
              <w:tc>
                <w:tcPr>
                  <w:tcW w:w="1049" w:type="dxa"/>
                  <w:gridSpan w:val="2"/>
                  <w:vAlign w:val="center"/>
                </w:tcPr>
                <w:p>
                  <w:pPr>
                    <w:adjustRightInd w:val="0"/>
                    <w:jc w:val="center"/>
                    <w:rPr>
                      <w:b/>
                      <w:bCs/>
                      <w:szCs w:val="21"/>
                    </w:rPr>
                  </w:pPr>
                  <w:r>
                    <w:rPr>
                      <w:b/>
                      <w:bCs/>
                      <w:szCs w:val="21"/>
                    </w:rPr>
                    <w:t>相对厂址</w:t>
                  </w:r>
                </w:p>
              </w:tc>
              <w:tc>
                <w:tcPr>
                  <w:tcW w:w="1134" w:type="dxa"/>
                  <w:vMerge w:val="restart"/>
                  <w:vAlign w:val="center"/>
                </w:tcPr>
                <w:p>
                  <w:pPr>
                    <w:adjustRightInd w:val="0"/>
                    <w:jc w:val="center"/>
                    <w:rPr>
                      <w:b/>
                      <w:bCs/>
                      <w:szCs w:val="21"/>
                    </w:rPr>
                  </w:pPr>
                  <w:r>
                    <w:rPr>
                      <w:b/>
                      <w:bCs/>
                      <w:szCs w:val="21"/>
                    </w:rPr>
                    <w:t>保护</w:t>
                  </w:r>
                </w:p>
                <w:p>
                  <w:pPr>
                    <w:adjustRightInd w:val="0"/>
                    <w:jc w:val="center"/>
                    <w:rPr>
                      <w:b/>
                      <w:bCs/>
                      <w:szCs w:val="21"/>
                    </w:rPr>
                  </w:pPr>
                  <w:r>
                    <w:rPr>
                      <w:b/>
                      <w:bCs/>
                      <w:szCs w:val="21"/>
                    </w:rPr>
                    <w:t>内容</w:t>
                  </w:r>
                </w:p>
              </w:tc>
              <w:tc>
                <w:tcPr>
                  <w:tcW w:w="2422" w:type="dxa"/>
                  <w:vMerge w:val="restart"/>
                  <w:vAlign w:val="center"/>
                </w:tcPr>
                <w:p>
                  <w:pPr>
                    <w:adjustRightInd w:val="0"/>
                    <w:jc w:val="center"/>
                    <w:rPr>
                      <w:b/>
                      <w:bCs/>
                      <w:szCs w:val="21"/>
                    </w:rPr>
                  </w:pPr>
                  <w:r>
                    <w:rPr>
                      <w:b/>
                      <w:bCs/>
                      <w:szCs w:val="21"/>
                    </w:rPr>
                    <w:t>保护目标</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73" w:type="dxa"/>
                  <w:vMerge w:val="continue"/>
                  <w:vAlign w:val="center"/>
                </w:tcPr>
                <w:p>
                  <w:pPr>
                    <w:adjustRightInd w:val="0"/>
                    <w:jc w:val="center"/>
                    <w:rPr>
                      <w:szCs w:val="21"/>
                    </w:rPr>
                  </w:pPr>
                </w:p>
              </w:tc>
              <w:tc>
                <w:tcPr>
                  <w:tcW w:w="631" w:type="dxa"/>
                  <w:vMerge w:val="continue"/>
                  <w:vAlign w:val="center"/>
                </w:tcPr>
                <w:p>
                  <w:pPr>
                    <w:adjustRightInd w:val="0"/>
                    <w:jc w:val="center"/>
                    <w:rPr>
                      <w:szCs w:val="21"/>
                    </w:rPr>
                  </w:pPr>
                </w:p>
              </w:tc>
              <w:tc>
                <w:tcPr>
                  <w:tcW w:w="1137" w:type="dxa"/>
                  <w:vAlign w:val="center"/>
                </w:tcPr>
                <w:p>
                  <w:pPr>
                    <w:topLinePunct/>
                    <w:adjustRightInd w:val="0"/>
                    <w:jc w:val="center"/>
                    <w:rPr>
                      <w:b/>
                      <w:bCs/>
                      <w:szCs w:val="21"/>
                    </w:rPr>
                  </w:pPr>
                  <w:r>
                    <w:rPr>
                      <w:b/>
                      <w:bCs/>
                      <w:szCs w:val="21"/>
                    </w:rPr>
                    <w:t>东经</w:t>
                  </w:r>
                </w:p>
              </w:tc>
              <w:tc>
                <w:tcPr>
                  <w:tcW w:w="1117" w:type="dxa"/>
                  <w:tcBorders>
                    <w:top w:val="single" w:color="auto" w:sz="4" w:space="0"/>
                    <w:right w:val="single" w:color="auto" w:sz="4" w:space="0"/>
                  </w:tcBorders>
                  <w:vAlign w:val="center"/>
                </w:tcPr>
                <w:p>
                  <w:pPr>
                    <w:adjustRightInd w:val="0"/>
                    <w:jc w:val="center"/>
                    <w:rPr>
                      <w:b/>
                      <w:bCs/>
                      <w:szCs w:val="21"/>
                    </w:rPr>
                  </w:pPr>
                  <w:r>
                    <w:rPr>
                      <w:b/>
                      <w:bCs/>
                      <w:szCs w:val="21"/>
                    </w:rPr>
                    <w:t>北纬</w:t>
                  </w:r>
                </w:p>
              </w:tc>
              <w:tc>
                <w:tcPr>
                  <w:tcW w:w="551" w:type="dxa"/>
                  <w:vAlign w:val="center"/>
                </w:tcPr>
                <w:p>
                  <w:pPr>
                    <w:adjustRightInd w:val="0"/>
                    <w:jc w:val="center"/>
                    <w:rPr>
                      <w:b/>
                      <w:bCs/>
                      <w:szCs w:val="21"/>
                    </w:rPr>
                  </w:pPr>
                  <w:r>
                    <w:rPr>
                      <w:b/>
                      <w:bCs/>
                      <w:szCs w:val="21"/>
                    </w:rPr>
                    <w:t>方位</w:t>
                  </w:r>
                </w:p>
              </w:tc>
              <w:tc>
                <w:tcPr>
                  <w:tcW w:w="498" w:type="dxa"/>
                  <w:tcBorders>
                    <w:top w:val="single" w:color="auto" w:sz="4" w:space="0"/>
                  </w:tcBorders>
                  <w:vAlign w:val="center"/>
                </w:tcPr>
                <w:p>
                  <w:pPr>
                    <w:adjustRightInd w:val="0"/>
                    <w:jc w:val="center"/>
                    <w:rPr>
                      <w:b/>
                      <w:bCs/>
                      <w:szCs w:val="21"/>
                    </w:rPr>
                  </w:pPr>
                  <w:r>
                    <w:rPr>
                      <w:b/>
                      <w:bCs/>
                      <w:szCs w:val="21"/>
                    </w:rPr>
                    <w:t>距离/m</w:t>
                  </w:r>
                </w:p>
              </w:tc>
              <w:tc>
                <w:tcPr>
                  <w:tcW w:w="1134" w:type="dxa"/>
                  <w:vMerge w:val="continue"/>
                  <w:vAlign w:val="center"/>
                </w:tcPr>
                <w:p>
                  <w:pPr>
                    <w:adjustRightInd w:val="0"/>
                    <w:jc w:val="center"/>
                    <w:rPr>
                      <w:szCs w:val="21"/>
                    </w:rPr>
                  </w:pPr>
                </w:p>
              </w:tc>
              <w:tc>
                <w:tcPr>
                  <w:tcW w:w="2422" w:type="dxa"/>
                  <w:vMerge w:val="continue"/>
                  <w:vAlign w:val="center"/>
                </w:tcPr>
                <w:p>
                  <w:pPr>
                    <w:adjustRightInd w:val="0"/>
                    <w:jc w:val="center"/>
                    <w:rPr>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473" w:type="dxa"/>
                  <w:vAlign w:val="center"/>
                </w:tcPr>
                <w:p>
                  <w:pPr>
                    <w:adjustRightInd w:val="0"/>
                    <w:jc w:val="center"/>
                    <w:rPr>
                      <w:szCs w:val="21"/>
                    </w:rPr>
                  </w:pPr>
                  <w:r>
                    <w:rPr>
                      <w:rFonts w:hint="eastAsia"/>
                      <w:szCs w:val="21"/>
                    </w:rPr>
                    <w:t>地表水</w:t>
                  </w:r>
                </w:p>
              </w:tc>
              <w:tc>
                <w:tcPr>
                  <w:tcW w:w="631" w:type="dxa"/>
                  <w:vAlign w:val="center"/>
                </w:tcPr>
                <w:p>
                  <w:pPr>
                    <w:adjustRightInd w:val="0"/>
                    <w:jc w:val="center"/>
                    <w:rPr>
                      <w:szCs w:val="21"/>
                    </w:rPr>
                  </w:pPr>
                  <w:r>
                    <w:rPr>
                      <w:rFonts w:hint="eastAsia"/>
                      <w:szCs w:val="21"/>
                    </w:rPr>
                    <w:t>芦河</w:t>
                  </w:r>
                </w:p>
              </w:tc>
              <w:tc>
                <w:tcPr>
                  <w:tcW w:w="1137" w:type="dxa"/>
                  <w:tcBorders>
                    <w:bottom w:val="single" w:color="auto" w:sz="4" w:space="0"/>
                  </w:tcBorders>
                  <w:vAlign w:val="center"/>
                </w:tcPr>
                <w:p>
                  <w:pPr>
                    <w:adjustRightInd w:val="0"/>
                    <w:jc w:val="center"/>
                    <w:rPr>
                      <w:szCs w:val="21"/>
                    </w:rPr>
                  </w:pPr>
                  <w:r>
                    <w:rPr>
                      <w:rFonts w:hint="eastAsia"/>
                      <w:szCs w:val="21"/>
                    </w:rPr>
                    <w:t>108.995307</w:t>
                  </w:r>
                </w:p>
              </w:tc>
              <w:tc>
                <w:tcPr>
                  <w:tcW w:w="1117" w:type="dxa"/>
                  <w:tcBorders>
                    <w:bottom w:val="single" w:color="auto" w:sz="4" w:space="0"/>
                    <w:right w:val="single" w:color="auto" w:sz="4" w:space="0"/>
                  </w:tcBorders>
                  <w:vAlign w:val="center"/>
                </w:tcPr>
                <w:p>
                  <w:pPr>
                    <w:adjustRightInd w:val="0"/>
                    <w:jc w:val="center"/>
                    <w:rPr>
                      <w:szCs w:val="21"/>
                    </w:rPr>
                  </w:pPr>
                  <w:r>
                    <w:rPr>
                      <w:rFonts w:hint="eastAsia"/>
                      <w:szCs w:val="21"/>
                    </w:rPr>
                    <w:t>37.631092</w:t>
                  </w:r>
                </w:p>
              </w:tc>
              <w:tc>
                <w:tcPr>
                  <w:tcW w:w="551" w:type="dxa"/>
                  <w:tcBorders>
                    <w:bottom w:val="single" w:color="auto" w:sz="4" w:space="0"/>
                  </w:tcBorders>
                  <w:vAlign w:val="center"/>
                </w:tcPr>
                <w:p>
                  <w:pPr>
                    <w:adjustRightInd w:val="0"/>
                    <w:jc w:val="center"/>
                    <w:rPr>
                      <w:szCs w:val="21"/>
                    </w:rPr>
                  </w:pPr>
                  <w:r>
                    <w:rPr>
                      <w:rFonts w:hint="eastAsia"/>
                      <w:szCs w:val="21"/>
                    </w:rPr>
                    <w:t>N</w:t>
                  </w:r>
                </w:p>
              </w:tc>
              <w:tc>
                <w:tcPr>
                  <w:tcW w:w="498" w:type="dxa"/>
                  <w:tcBorders>
                    <w:bottom w:val="single" w:color="auto" w:sz="4" w:space="0"/>
                  </w:tcBorders>
                  <w:vAlign w:val="center"/>
                </w:tcPr>
                <w:p>
                  <w:pPr>
                    <w:adjustRightInd w:val="0"/>
                    <w:jc w:val="center"/>
                    <w:rPr>
                      <w:szCs w:val="21"/>
                    </w:rPr>
                  </w:pPr>
                  <w:r>
                    <w:rPr>
                      <w:rFonts w:hint="eastAsia"/>
                      <w:szCs w:val="21"/>
                    </w:rPr>
                    <w:t>1</w:t>
                  </w:r>
                  <w:r>
                    <w:rPr>
                      <w:szCs w:val="21"/>
                    </w:rPr>
                    <w:t>0</w:t>
                  </w:r>
                  <w:r>
                    <w:rPr>
                      <w:rFonts w:hint="eastAsia"/>
                      <w:szCs w:val="21"/>
                    </w:rPr>
                    <w:t>40</w:t>
                  </w:r>
                </w:p>
              </w:tc>
              <w:tc>
                <w:tcPr>
                  <w:tcW w:w="1134" w:type="dxa"/>
                  <w:tcBorders>
                    <w:left w:val="single" w:color="auto" w:sz="4" w:space="0"/>
                  </w:tcBorders>
                  <w:vAlign w:val="center"/>
                </w:tcPr>
                <w:p>
                  <w:pPr>
                    <w:adjustRightInd w:val="0"/>
                    <w:jc w:val="center"/>
                    <w:rPr>
                      <w:szCs w:val="21"/>
                    </w:rPr>
                  </w:pPr>
                  <w:r>
                    <w:rPr>
                      <w:rFonts w:hint="eastAsia"/>
                      <w:szCs w:val="21"/>
                    </w:rPr>
                    <w:t>地表水</w:t>
                  </w:r>
                </w:p>
              </w:tc>
              <w:tc>
                <w:tcPr>
                  <w:tcW w:w="2422" w:type="dxa"/>
                  <w:tcBorders>
                    <w:left w:val="single" w:color="auto" w:sz="4" w:space="0"/>
                  </w:tcBorders>
                  <w:vAlign w:val="center"/>
                </w:tcPr>
                <w:p>
                  <w:pPr>
                    <w:adjustRightInd w:val="0"/>
                    <w:rPr>
                      <w:szCs w:val="21"/>
                    </w:rPr>
                  </w:pPr>
                  <w:r>
                    <w:rPr>
                      <w:rFonts w:hint="eastAsia"/>
                      <w:kern w:val="0"/>
                      <w:szCs w:val="21"/>
                    </w:rPr>
                    <w:t>《地表水环境质量标准》(GB3838-2002)III类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73" w:type="dxa"/>
                  <w:vAlign w:val="center"/>
                </w:tcPr>
                <w:p>
                  <w:pPr>
                    <w:adjustRightInd w:val="0"/>
                    <w:jc w:val="center"/>
                    <w:rPr>
                      <w:szCs w:val="21"/>
                    </w:rPr>
                  </w:pPr>
                  <w:r>
                    <w:rPr>
                      <w:szCs w:val="21"/>
                    </w:rPr>
                    <w:t>地下水</w:t>
                  </w:r>
                </w:p>
              </w:tc>
              <w:tc>
                <w:tcPr>
                  <w:tcW w:w="3934" w:type="dxa"/>
                  <w:gridSpan w:val="5"/>
                  <w:vAlign w:val="center"/>
                </w:tcPr>
                <w:p>
                  <w:pPr>
                    <w:adjustRightInd w:val="0"/>
                    <w:jc w:val="center"/>
                    <w:rPr>
                      <w:szCs w:val="21"/>
                    </w:rPr>
                  </w:pPr>
                  <w:r>
                    <w:rPr>
                      <w:szCs w:val="21"/>
                    </w:rPr>
                    <w:t>厂界外500m范围内无集中式饮用水水源地和热水、矿泉水、温泉等特殊地表水资源</w:t>
                  </w:r>
                </w:p>
              </w:tc>
              <w:tc>
                <w:tcPr>
                  <w:tcW w:w="1134" w:type="dxa"/>
                  <w:vAlign w:val="center"/>
                </w:tcPr>
                <w:p>
                  <w:pPr>
                    <w:adjustRightInd w:val="0"/>
                    <w:jc w:val="center"/>
                    <w:rPr>
                      <w:szCs w:val="21"/>
                    </w:rPr>
                  </w:pPr>
                  <w:r>
                    <w:rPr>
                      <w:szCs w:val="21"/>
                    </w:rPr>
                    <w:t>潜水含水层</w:t>
                  </w:r>
                </w:p>
              </w:tc>
              <w:tc>
                <w:tcPr>
                  <w:tcW w:w="2422" w:type="dxa"/>
                  <w:vAlign w:val="center"/>
                </w:tcPr>
                <w:p>
                  <w:pPr>
                    <w:adjustRightInd w:val="0"/>
                    <w:rPr>
                      <w:szCs w:val="21"/>
                    </w:rPr>
                  </w:pPr>
                  <w:r>
                    <w:rPr>
                      <w:szCs w:val="21"/>
                    </w:rPr>
                    <w:t>《地下水质量标准》(GB/T14848-2017)Ⅲ类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73" w:type="dxa"/>
                  <w:vAlign w:val="center"/>
                </w:tcPr>
                <w:p>
                  <w:pPr>
                    <w:adjustRightInd w:val="0"/>
                    <w:jc w:val="center"/>
                    <w:rPr>
                      <w:szCs w:val="21"/>
                    </w:rPr>
                  </w:pPr>
                  <w:r>
                    <w:rPr>
                      <w:szCs w:val="21"/>
                    </w:rPr>
                    <w:t>土壤</w:t>
                  </w:r>
                </w:p>
              </w:tc>
              <w:tc>
                <w:tcPr>
                  <w:tcW w:w="3934" w:type="dxa"/>
                  <w:gridSpan w:val="5"/>
                  <w:vAlign w:val="center"/>
                </w:tcPr>
                <w:p>
                  <w:pPr>
                    <w:adjustRightInd w:val="0"/>
                    <w:jc w:val="center"/>
                    <w:rPr>
                      <w:szCs w:val="21"/>
                    </w:rPr>
                  </w:pPr>
                  <w:r>
                    <w:rPr>
                      <w:szCs w:val="21"/>
                    </w:rPr>
                    <w:t>占地范围内</w:t>
                  </w:r>
                </w:p>
              </w:tc>
              <w:tc>
                <w:tcPr>
                  <w:tcW w:w="1134" w:type="dxa"/>
                  <w:vAlign w:val="center"/>
                </w:tcPr>
                <w:p>
                  <w:pPr>
                    <w:adjustRightInd w:val="0"/>
                    <w:jc w:val="center"/>
                    <w:rPr>
                      <w:szCs w:val="21"/>
                    </w:rPr>
                  </w:pPr>
                  <w:r>
                    <w:rPr>
                      <w:szCs w:val="21"/>
                    </w:rPr>
                    <w:t>土壤环境质量</w:t>
                  </w:r>
                </w:p>
              </w:tc>
              <w:tc>
                <w:tcPr>
                  <w:tcW w:w="2422" w:type="dxa"/>
                  <w:vAlign w:val="center"/>
                </w:tcPr>
                <w:p>
                  <w:pPr>
                    <w:adjustRightInd w:val="0"/>
                    <w:rPr>
                      <w:szCs w:val="21"/>
                    </w:rPr>
                  </w:pPr>
                  <w:r>
                    <w:rPr>
                      <w:szCs w:val="21"/>
                    </w:rPr>
                    <w:t>《土壤环境质量 建设用地土壤污染风险管控标准》（GB36600-2018)</w:t>
                  </w:r>
                </w:p>
              </w:tc>
            </w:tr>
          </w:tbl>
          <w:p>
            <w:pPr>
              <w:widowControl/>
              <w:spacing w:line="360" w:lineRule="auto"/>
              <w:jc w:val="left"/>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13" w:hRule="atLeast"/>
          <w:jc w:val="center"/>
        </w:trPr>
        <w:tc>
          <w:tcPr>
            <w:tcW w:w="800" w:type="dxa"/>
            <w:tcMar>
              <w:left w:w="28" w:type="dxa"/>
              <w:right w:w="28" w:type="dxa"/>
            </w:tcMar>
            <w:vAlign w:val="center"/>
          </w:tcPr>
          <w:p>
            <w:pPr>
              <w:adjustRightInd w:val="0"/>
              <w:snapToGrid w:val="0"/>
              <w:jc w:val="center"/>
              <w:rPr>
                <w:b/>
                <w:bCs/>
                <w:kern w:val="0"/>
                <w:szCs w:val="21"/>
              </w:rPr>
            </w:pPr>
            <w:r>
              <w:rPr>
                <w:b/>
                <w:bCs/>
                <w:kern w:val="0"/>
                <w:szCs w:val="21"/>
              </w:rPr>
              <w:t>污染</w:t>
            </w:r>
          </w:p>
          <w:p>
            <w:pPr>
              <w:adjustRightInd w:val="0"/>
              <w:snapToGrid w:val="0"/>
              <w:jc w:val="center"/>
              <w:rPr>
                <w:b/>
                <w:bCs/>
                <w:kern w:val="0"/>
                <w:szCs w:val="21"/>
              </w:rPr>
            </w:pPr>
            <w:r>
              <w:rPr>
                <w:b/>
                <w:bCs/>
                <w:kern w:val="0"/>
                <w:szCs w:val="21"/>
              </w:rPr>
              <w:t>物排</w:t>
            </w:r>
          </w:p>
          <w:p>
            <w:pPr>
              <w:adjustRightInd w:val="0"/>
              <w:snapToGrid w:val="0"/>
              <w:jc w:val="center"/>
              <w:rPr>
                <w:b/>
                <w:bCs/>
                <w:kern w:val="0"/>
                <w:szCs w:val="21"/>
              </w:rPr>
            </w:pPr>
            <w:r>
              <w:rPr>
                <w:b/>
                <w:bCs/>
                <w:kern w:val="0"/>
                <w:szCs w:val="21"/>
              </w:rPr>
              <w:t>放控</w:t>
            </w:r>
          </w:p>
          <w:p>
            <w:pPr>
              <w:adjustRightInd w:val="0"/>
              <w:snapToGrid w:val="0"/>
              <w:jc w:val="center"/>
              <w:rPr>
                <w:b/>
                <w:bCs/>
                <w:kern w:val="0"/>
                <w:szCs w:val="21"/>
              </w:rPr>
            </w:pPr>
            <w:r>
              <w:rPr>
                <w:b/>
                <w:bCs/>
                <w:kern w:val="0"/>
                <w:szCs w:val="21"/>
              </w:rPr>
              <w:t>制标</w:t>
            </w:r>
          </w:p>
          <w:p>
            <w:pPr>
              <w:adjustRightInd w:val="0"/>
              <w:snapToGrid w:val="0"/>
              <w:jc w:val="center"/>
              <w:rPr>
                <w:kern w:val="0"/>
                <w:szCs w:val="21"/>
              </w:rPr>
            </w:pPr>
            <w:r>
              <w:rPr>
                <w:b/>
                <w:bCs/>
                <w:kern w:val="0"/>
                <w:szCs w:val="21"/>
              </w:rPr>
              <w:t>准</w:t>
            </w:r>
          </w:p>
        </w:tc>
        <w:tc>
          <w:tcPr>
            <w:tcW w:w="8190" w:type="dxa"/>
            <w:vAlign w:val="center"/>
          </w:tcPr>
          <w:p>
            <w:pPr>
              <w:pStyle w:val="15"/>
              <w:numPr>
                <w:ilvl w:val="0"/>
                <w:numId w:val="3"/>
              </w:numPr>
              <w:spacing w:line="360" w:lineRule="auto"/>
              <w:ind w:left="-60" w:firstLine="480"/>
              <w:jc w:val="both"/>
            </w:pPr>
            <w:r>
              <w:t>施工期扬尘执行《施工场界扬尘排放限值》（DB61/1078-2017）表1中浓度限值；运营期废气排放</w:t>
            </w:r>
            <w:r>
              <w:rPr>
                <w:rFonts w:hint="eastAsia"/>
              </w:rPr>
              <w:t>执行《矿物棉工业大气污染物排放标准》（GB 41617-2022），厂界无组织废气执行《大气污染物综合排放标准》（GB16297-1996），食堂油烟执行《饮食业油烟排放标准》（GB18483-2001）。</w:t>
            </w:r>
          </w:p>
          <w:p>
            <w:pPr>
              <w:widowControl/>
              <w:ind w:firstLine="422" w:firstLineChars="200"/>
              <w:jc w:val="center"/>
              <w:rPr>
                <w:b/>
                <w:bCs/>
                <w:szCs w:val="21"/>
              </w:rPr>
            </w:pPr>
            <w:r>
              <w:rPr>
                <w:rFonts w:hint="eastAsia"/>
                <w:b/>
                <w:bCs/>
                <w:szCs w:val="21"/>
              </w:rPr>
              <w:t>表3-5  大气污染物排放标准</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113"/>
              <w:gridCol w:w="1625"/>
              <w:gridCol w:w="1151"/>
              <w:gridCol w:w="843"/>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Align w:val="center"/>
                </w:tcPr>
                <w:p>
                  <w:pPr>
                    <w:jc w:val="center"/>
                  </w:pPr>
                  <w:r>
                    <w:rPr>
                      <w:rFonts w:hint="eastAsia"/>
                    </w:rPr>
                    <w:t>类别</w:t>
                  </w:r>
                </w:p>
              </w:tc>
              <w:tc>
                <w:tcPr>
                  <w:tcW w:w="1113" w:type="dxa"/>
                  <w:vAlign w:val="center"/>
                </w:tcPr>
                <w:p>
                  <w:pPr>
                    <w:jc w:val="center"/>
                  </w:pPr>
                  <w:r>
                    <w:rPr>
                      <w:rFonts w:hint="eastAsia"/>
                    </w:rPr>
                    <w:t>污染源</w:t>
                  </w:r>
                </w:p>
              </w:tc>
              <w:tc>
                <w:tcPr>
                  <w:tcW w:w="1625" w:type="dxa"/>
                  <w:vAlign w:val="center"/>
                </w:tcPr>
                <w:p>
                  <w:pPr>
                    <w:jc w:val="center"/>
                  </w:pPr>
                  <w:r>
                    <w:rPr>
                      <w:rFonts w:hint="eastAsia"/>
                    </w:rPr>
                    <w:t>项目</w:t>
                  </w:r>
                </w:p>
              </w:tc>
              <w:tc>
                <w:tcPr>
                  <w:tcW w:w="1151" w:type="dxa"/>
                  <w:vAlign w:val="center"/>
                </w:tcPr>
                <w:p>
                  <w:pPr>
                    <w:jc w:val="center"/>
                  </w:pPr>
                  <w:r>
                    <w:rPr>
                      <w:rFonts w:hint="eastAsia"/>
                    </w:rPr>
                    <w:t>标准值</w:t>
                  </w:r>
                </w:p>
              </w:tc>
              <w:tc>
                <w:tcPr>
                  <w:tcW w:w="843" w:type="dxa"/>
                  <w:vAlign w:val="center"/>
                </w:tcPr>
                <w:p>
                  <w:pPr>
                    <w:jc w:val="center"/>
                  </w:pPr>
                  <w:r>
                    <w:rPr>
                      <w:rFonts w:hint="eastAsia"/>
                    </w:rPr>
                    <w:t>单位</w:t>
                  </w:r>
                </w:p>
              </w:tc>
              <w:tc>
                <w:tcPr>
                  <w:tcW w:w="2550" w:type="dxa"/>
                  <w:vAlign w:val="center"/>
                </w:tcPr>
                <w:p>
                  <w:pPr>
                    <w:jc w:val="center"/>
                  </w:pPr>
                  <w:r>
                    <w:rPr>
                      <w:rFonts w:hint="eastAsia"/>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restart"/>
                  <w:vAlign w:val="center"/>
                </w:tcPr>
                <w:p>
                  <w:pPr>
                    <w:jc w:val="center"/>
                  </w:pPr>
                  <w:r>
                    <w:rPr>
                      <w:rFonts w:hint="eastAsia"/>
                    </w:rPr>
                    <w:t>废气</w:t>
                  </w:r>
                </w:p>
                <w:p>
                  <w:pPr>
                    <w:pStyle w:val="30"/>
                    <w:ind w:firstLine="480"/>
                  </w:pPr>
                </w:p>
              </w:tc>
              <w:tc>
                <w:tcPr>
                  <w:tcW w:w="1113" w:type="dxa"/>
                  <w:vMerge w:val="restart"/>
                  <w:vAlign w:val="center"/>
                </w:tcPr>
                <w:p>
                  <w:pPr>
                    <w:jc w:val="center"/>
                  </w:pPr>
                  <w:r>
                    <w:rPr>
                      <w:rFonts w:hint="eastAsia"/>
                    </w:rPr>
                    <w:t>施工扬尘</w:t>
                  </w:r>
                </w:p>
              </w:tc>
              <w:tc>
                <w:tcPr>
                  <w:tcW w:w="1625" w:type="dxa"/>
                  <w:vAlign w:val="center"/>
                </w:tcPr>
                <w:p>
                  <w:pPr>
                    <w:jc w:val="center"/>
                  </w:pPr>
                  <w:r>
                    <w:rPr>
                      <w:rFonts w:hint="eastAsia"/>
                    </w:rPr>
                    <w:t>拆除、土方及地基处理工程TSP（周界外最高浓度）</w:t>
                  </w:r>
                </w:p>
              </w:tc>
              <w:tc>
                <w:tcPr>
                  <w:tcW w:w="1151" w:type="dxa"/>
                  <w:vAlign w:val="center"/>
                </w:tcPr>
                <w:p>
                  <w:pPr>
                    <w:jc w:val="center"/>
                  </w:pPr>
                  <w:r>
                    <w:rPr>
                      <w:rFonts w:hint="eastAsia"/>
                    </w:rPr>
                    <w:t>0.8</w:t>
                  </w:r>
                </w:p>
              </w:tc>
              <w:tc>
                <w:tcPr>
                  <w:tcW w:w="843" w:type="dxa"/>
                  <w:vAlign w:val="center"/>
                </w:tcPr>
                <w:p>
                  <w:pPr>
                    <w:jc w:val="center"/>
                  </w:pPr>
                  <w:r>
                    <w:rPr>
                      <w:rFonts w:hint="eastAsia"/>
                    </w:rPr>
                    <w:t>mg/m</w:t>
                  </w:r>
                  <w:r>
                    <w:rPr>
                      <w:rFonts w:hint="eastAsia"/>
                      <w:vertAlign w:val="superscript"/>
                    </w:rPr>
                    <w:t>3</w:t>
                  </w:r>
                </w:p>
              </w:tc>
              <w:tc>
                <w:tcPr>
                  <w:tcW w:w="2550" w:type="dxa"/>
                  <w:vMerge w:val="restart"/>
                  <w:vAlign w:val="center"/>
                </w:tcPr>
                <w:p>
                  <w:pPr>
                    <w:jc w:val="left"/>
                  </w:pPr>
                  <w:r>
                    <w:rPr>
                      <w:rFonts w:hint="eastAsia"/>
                    </w:rPr>
                    <w:t>《施工场界扬尘排放限值》（DB61/1078-2017）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center"/>
                  </w:pPr>
                </w:p>
              </w:tc>
              <w:tc>
                <w:tcPr>
                  <w:tcW w:w="1113" w:type="dxa"/>
                  <w:vMerge w:val="continue"/>
                  <w:vAlign w:val="center"/>
                </w:tcPr>
                <w:p>
                  <w:pPr>
                    <w:jc w:val="center"/>
                  </w:pPr>
                </w:p>
              </w:tc>
              <w:tc>
                <w:tcPr>
                  <w:tcW w:w="1625" w:type="dxa"/>
                  <w:vAlign w:val="center"/>
                </w:tcPr>
                <w:p>
                  <w:pPr>
                    <w:jc w:val="center"/>
                  </w:pPr>
                  <w:r>
                    <w:rPr>
                      <w:rFonts w:hint="eastAsia"/>
                    </w:rPr>
                    <w:t>基础、主体结构及装饰工程TSP（周界外最高浓度）</w:t>
                  </w:r>
                </w:p>
              </w:tc>
              <w:tc>
                <w:tcPr>
                  <w:tcW w:w="1151" w:type="dxa"/>
                  <w:vAlign w:val="center"/>
                </w:tcPr>
                <w:p>
                  <w:pPr>
                    <w:jc w:val="center"/>
                  </w:pPr>
                  <w:r>
                    <w:rPr>
                      <w:rFonts w:hint="eastAsia"/>
                    </w:rPr>
                    <w:t>0.7</w:t>
                  </w:r>
                </w:p>
              </w:tc>
              <w:tc>
                <w:tcPr>
                  <w:tcW w:w="843" w:type="dxa"/>
                  <w:vAlign w:val="center"/>
                </w:tcPr>
                <w:p>
                  <w:pPr>
                    <w:jc w:val="center"/>
                  </w:pPr>
                  <w:r>
                    <w:rPr>
                      <w:rFonts w:hint="eastAsia"/>
                    </w:rPr>
                    <w:t>mg/m</w:t>
                  </w:r>
                  <w:r>
                    <w:rPr>
                      <w:rFonts w:hint="eastAsia"/>
                      <w:vertAlign w:val="superscript"/>
                    </w:rPr>
                    <w:t>3</w:t>
                  </w:r>
                </w:p>
              </w:tc>
              <w:tc>
                <w:tcPr>
                  <w:tcW w:w="25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center"/>
                  </w:pPr>
                </w:p>
              </w:tc>
              <w:tc>
                <w:tcPr>
                  <w:tcW w:w="1113" w:type="dxa"/>
                  <w:vMerge w:val="restart"/>
                  <w:vAlign w:val="center"/>
                </w:tcPr>
                <w:p>
                  <w:pPr>
                    <w:jc w:val="center"/>
                  </w:pPr>
                  <w:r>
                    <w:rPr>
                      <w:rFonts w:hint="eastAsia"/>
                    </w:rPr>
                    <w:t>有组织</w:t>
                  </w:r>
                </w:p>
              </w:tc>
              <w:tc>
                <w:tcPr>
                  <w:tcW w:w="1625" w:type="dxa"/>
                  <w:vAlign w:val="center"/>
                </w:tcPr>
                <w:p>
                  <w:pPr>
                    <w:jc w:val="center"/>
                  </w:pPr>
                  <w:r>
                    <w:rPr>
                      <w:rFonts w:hint="eastAsia"/>
                    </w:rPr>
                    <w:t>非甲烷总烃</w:t>
                  </w:r>
                </w:p>
              </w:tc>
              <w:tc>
                <w:tcPr>
                  <w:tcW w:w="1151" w:type="dxa"/>
                  <w:vAlign w:val="center"/>
                </w:tcPr>
                <w:p>
                  <w:pPr>
                    <w:pStyle w:val="111"/>
                    <w:snapToGrid w:val="0"/>
                    <w:spacing w:line="240" w:lineRule="auto"/>
                    <w:jc w:val="center"/>
                    <w:rPr>
                      <w:rFonts w:ascii="Times New Roman" w:hAnsi="Times New Roman"/>
                      <w:color w:val="auto"/>
                      <w:sz w:val="21"/>
                      <w:szCs w:val="21"/>
                    </w:rPr>
                  </w:pPr>
                  <w:r>
                    <w:rPr>
                      <w:rFonts w:ascii="Times New Roman" w:hAnsi="Times New Roman"/>
                      <w:color w:val="auto"/>
                      <w:sz w:val="21"/>
                      <w:szCs w:val="21"/>
                    </w:rPr>
                    <w:t>8</w:t>
                  </w:r>
                  <w:r>
                    <w:rPr>
                      <w:rFonts w:hint="eastAsia" w:ascii="Times New Roman" w:hAnsi="Times New Roman"/>
                      <w:color w:val="auto"/>
                      <w:sz w:val="21"/>
                      <w:szCs w:val="21"/>
                    </w:rPr>
                    <w:t>0</w:t>
                  </w:r>
                </w:p>
              </w:tc>
              <w:tc>
                <w:tcPr>
                  <w:tcW w:w="843" w:type="dxa"/>
                  <w:vAlign w:val="center"/>
                </w:tcPr>
                <w:p>
                  <w:pPr>
                    <w:jc w:val="center"/>
                  </w:pPr>
                  <w:r>
                    <w:rPr>
                      <w:rFonts w:hint="eastAsia"/>
                    </w:rPr>
                    <w:t>mg/m</w:t>
                  </w:r>
                  <w:r>
                    <w:rPr>
                      <w:rFonts w:hint="eastAsia"/>
                      <w:vertAlign w:val="superscript"/>
                    </w:rPr>
                    <w:t>3</w:t>
                  </w:r>
                </w:p>
              </w:tc>
              <w:tc>
                <w:tcPr>
                  <w:tcW w:w="2550" w:type="dxa"/>
                  <w:vMerge w:val="restart"/>
                  <w:vAlign w:val="center"/>
                </w:tcPr>
                <w:p>
                  <w:pPr>
                    <w:jc w:val="left"/>
                  </w:pPr>
                  <w:r>
                    <w:rPr>
                      <w:rFonts w:hint="eastAsia"/>
                    </w:rPr>
                    <w:t>《矿物棉工业大气污染物排放标准》（GB 41617-2022）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center"/>
                  </w:pPr>
                </w:p>
              </w:tc>
              <w:tc>
                <w:tcPr>
                  <w:tcW w:w="1113" w:type="dxa"/>
                  <w:vMerge w:val="continue"/>
                  <w:vAlign w:val="center"/>
                </w:tcPr>
                <w:p>
                  <w:pPr>
                    <w:jc w:val="center"/>
                  </w:pPr>
                </w:p>
              </w:tc>
              <w:tc>
                <w:tcPr>
                  <w:tcW w:w="1625" w:type="dxa"/>
                  <w:vAlign w:val="center"/>
                </w:tcPr>
                <w:p>
                  <w:pPr>
                    <w:jc w:val="center"/>
                  </w:pPr>
                  <w:r>
                    <w:rPr>
                      <w:rFonts w:hint="eastAsia"/>
                    </w:rPr>
                    <w:t>颗粒物</w:t>
                  </w:r>
                </w:p>
              </w:tc>
              <w:tc>
                <w:tcPr>
                  <w:tcW w:w="1151" w:type="dxa"/>
                  <w:vAlign w:val="center"/>
                </w:tcPr>
                <w:p>
                  <w:pPr>
                    <w:pStyle w:val="111"/>
                    <w:snapToGrid w:val="0"/>
                    <w:spacing w:line="240" w:lineRule="auto"/>
                    <w:jc w:val="center"/>
                    <w:rPr>
                      <w:rFonts w:ascii="Times New Roman" w:hAnsi="Times New Roman"/>
                      <w:color w:val="auto"/>
                      <w:sz w:val="21"/>
                      <w:szCs w:val="21"/>
                    </w:rPr>
                  </w:pPr>
                  <w:r>
                    <w:rPr>
                      <w:rFonts w:hint="eastAsia" w:ascii="Times New Roman" w:hAnsi="Times New Roman"/>
                      <w:color w:val="auto"/>
                      <w:sz w:val="21"/>
                      <w:szCs w:val="21"/>
                    </w:rPr>
                    <w:t>3</w:t>
                  </w:r>
                  <w:r>
                    <w:rPr>
                      <w:rFonts w:ascii="Times New Roman" w:hAnsi="Times New Roman"/>
                      <w:color w:val="auto"/>
                      <w:sz w:val="21"/>
                      <w:szCs w:val="21"/>
                    </w:rPr>
                    <w:t>0</w:t>
                  </w:r>
                </w:p>
              </w:tc>
              <w:tc>
                <w:tcPr>
                  <w:tcW w:w="843" w:type="dxa"/>
                  <w:vAlign w:val="center"/>
                </w:tcPr>
                <w:p>
                  <w:pPr>
                    <w:jc w:val="center"/>
                  </w:pPr>
                  <w:r>
                    <w:rPr>
                      <w:rFonts w:hint="eastAsia"/>
                    </w:rPr>
                    <w:t>mg/m</w:t>
                  </w:r>
                  <w:r>
                    <w:rPr>
                      <w:rFonts w:hint="eastAsia"/>
                      <w:vertAlign w:val="superscript"/>
                    </w:rPr>
                    <w:t>3</w:t>
                  </w:r>
                </w:p>
              </w:tc>
              <w:tc>
                <w:tcPr>
                  <w:tcW w:w="2550"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center"/>
                  </w:pPr>
                </w:p>
              </w:tc>
              <w:tc>
                <w:tcPr>
                  <w:tcW w:w="1113" w:type="dxa"/>
                  <w:vMerge w:val="restart"/>
                  <w:vAlign w:val="center"/>
                </w:tcPr>
                <w:p>
                  <w:pPr>
                    <w:jc w:val="center"/>
                  </w:pPr>
                  <w:r>
                    <w:rPr>
                      <w:rFonts w:hint="eastAsia"/>
                    </w:rPr>
                    <w:t>无组织</w:t>
                  </w:r>
                </w:p>
              </w:tc>
              <w:tc>
                <w:tcPr>
                  <w:tcW w:w="1625" w:type="dxa"/>
                  <w:vAlign w:val="center"/>
                </w:tcPr>
                <w:p>
                  <w:pPr>
                    <w:jc w:val="center"/>
                  </w:pPr>
                  <w:r>
                    <w:rPr>
                      <w:rFonts w:hint="eastAsia"/>
                    </w:rPr>
                    <w:t>非甲烷总烃</w:t>
                  </w:r>
                </w:p>
              </w:tc>
              <w:tc>
                <w:tcPr>
                  <w:tcW w:w="1151" w:type="dxa"/>
                  <w:vAlign w:val="center"/>
                </w:tcPr>
                <w:p>
                  <w:pPr>
                    <w:spacing w:line="240" w:lineRule="atLeast"/>
                    <w:jc w:val="center"/>
                    <w:rPr>
                      <w:szCs w:val="21"/>
                    </w:rPr>
                  </w:pPr>
                  <w:r>
                    <w:rPr>
                      <w:kern w:val="10"/>
                      <w:szCs w:val="21"/>
                    </w:rPr>
                    <w:t>4</w:t>
                  </w:r>
                </w:p>
              </w:tc>
              <w:tc>
                <w:tcPr>
                  <w:tcW w:w="843" w:type="dxa"/>
                  <w:vAlign w:val="center"/>
                </w:tcPr>
                <w:p>
                  <w:pPr>
                    <w:jc w:val="center"/>
                  </w:pPr>
                  <w:r>
                    <w:rPr>
                      <w:kern w:val="10"/>
                      <w:szCs w:val="21"/>
                    </w:rPr>
                    <w:t>mg/m</w:t>
                  </w:r>
                  <w:r>
                    <w:rPr>
                      <w:kern w:val="10"/>
                      <w:szCs w:val="21"/>
                      <w:vertAlign w:val="superscript"/>
                    </w:rPr>
                    <w:t>3</w:t>
                  </w:r>
                </w:p>
              </w:tc>
              <w:tc>
                <w:tcPr>
                  <w:tcW w:w="2550" w:type="dxa"/>
                  <w:vMerge w:val="restart"/>
                  <w:vAlign w:val="center"/>
                </w:tcPr>
                <w:p>
                  <w:pPr>
                    <w:jc w:val="left"/>
                  </w:pPr>
                  <w:r>
                    <w:rPr>
                      <w:rFonts w:hint="eastAsia"/>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center"/>
                  </w:pPr>
                </w:p>
              </w:tc>
              <w:tc>
                <w:tcPr>
                  <w:tcW w:w="1113" w:type="dxa"/>
                  <w:vMerge w:val="continue"/>
                  <w:vAlign w:val="center"/>
                </w:tcPr>
                <w:p>
                  <w:pPr>
                    <w:jc w:val="center"/>
                  </w:pPr>
                </w:p>
              </w:tc>
              <w:tc>
                <w:tcPr>
                  <w:tcW w:w="1625" w:type="dxa"/>
                  <w:vAlign w:val="center"/>
                </w:tcPr>
                <w:p>
                  <w:pPr>
                    <w:jc w:val="center"/>
                  </w:pPr>
                  <w:r>
                    <w:rPr>
                      <w:rFonts w:hint="eastAsia"/>
                    </w:rPr>
                    <w:t>颗粒物</w:t>
                  </w:r>
                </w:p>
              </w:tc>
              <w:tc>
                <w:tcPr>
                  <w:tcW w:w="1151" w:type="dxa"/>
                  <w:vAlign w:val="center"/>
                </w:tcPr>
                <w:p>
                  <w:pPr>
                    <w:spacing w:line="240" w:lineRule="atLeast"/>
                    <w:jc w:val="center"/>
                    <w:rPr>
                      <w:kern w:val="10"/>
                      <w:szCs w:val="21"/>
                    </w:rPr>
                  </w:pPr>
                  <w:r>
                    <w:rPr>
                      <w:kern w:val="10"/>
                      <w:szCs w:val="21"/>
                    </w:rPr>
                    <w:t>1</w:t>
                  </w:r>
                </w:p>
              </w:tc>
              <w:tc>
                <w:tcPr>
                  <w:tcW w:w="843" w:type="dxa"/>
                  <w:vAlign w:val="center"/>
                </w:tcPr>
                <w:p>
                  <w:pPr>
                    <w:jc w:val="center"/>
                    <w:rPr>
                      <w:kern w:val="10"/>
                      <w:szCs w:val="21"/>
                    </w:rPr>
                  </w:pPr>
                </w:p>
              </w:tc>
              <w:tc>
                <w:tcPr>
                  <w:tcW w:w="2550"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669" w:type="dxa"/>
                  <w:vMerge w:val="continue"/>
                  <w:vAlign w:val="center"/>
                </w:tcPr>
                <w:p>
                  <w:pPr>
                    <w:jc w:val="center"/>
                  </w:pPr>
                </w:p>
              </w:tc>
              <w:tc>
                <w:tcPr>
                  <w:tcW w:w="1113" w:type="dxa"/>
                  <w:vAlign w:val="center"/>
                </w:tcPr>
                <w:p>
                  <w:pPr>
                    <w:jc w:val="center"/>
                  </w:pPr>
                  <w:r>
                    <w:rPr>
                      <w:rFonts w:hint="eastAsia"/>
                    </w:rPr>
                    <w:t>食堂油烟</w:t>
                  </w:r>
                </w:p>
              </w:tc>
              <w:tc>
                <w:tcPr>
                  <w:tcW w:w="1625" w:type="dxa"/>
                  <w:vAlign w:val="center"/>
                </w:tcPr>
                <w:p>
                  <w:pPr>
                    <w:jc w:val="center"/>
                  </w:pPr>
                  <w:r>
                    <w:rPr>
                      <w:rFonts w:hint="eastAsia"/>
                    </w:rPr>
                    <w:t>油烟</w:t>
                  </w:r>
                </w:p>
              </w:tc>
              <w:tc>
                <w:tcPr>
                  <w:tcW w:w="1151" w:type="dxa"/>
                  <w:vAlign w:val="center"/>
                </w:tcPr>
                <w:p>
                  <w:pPr>
                    <w:jc w:val="center"/>
                  </w:pPr>
                  <w:r>
                    <w:rPr>
                      <w:rFonts w:hint="eastAsia"/>
                    </w:rPr>
                    <w:t>2.0</w:t>
                  </w:r>
                </w:p>
              </w:tc>
              <w:tc>
                <w:tcPr>
                  <w:tcW w:w="843" w:type="dxa"/>
                  <w:vAlign w:val="center"/>
                </w:tcPr>
                <w:p>
                  <w:pPr>
                    <w:jc w:val="center"/>
                  </w:pPr>
                  <w:r>
                    <w:rPr>
                      <w:rFonts w:hint="eastAsia"/>
                    </w:rPr>
                    <w:t>mg/m</w:t>
                  </w:r>
                  <w:r>
                    <w:rPr>
                      <w:rFonts w:hint="eastAsia"/>
                      <w:vertAlign w:val="superscript"/>
                    </w:rPr>
                    <w:t>3</w:t>
                  </w:r>
                </w:p>
              </w:tc>
              <w:tc>
                <w:tcPr>
                  <w:tcW w:w="2550" w:type="dxa"/>
                  <w:vAlign w:val="center"/>
                </w:tcPr>
                <w:p>
                  <w:pPr>
                    <w:widowControl/>
                    <w:overflowPunct w:val="0"/>
                    <w:autoSpaceDE w:val="0"/>
                    <w:autoSpaceDN w:val="0"/>
                    <w:jc w:val="left"/>
                  </w:pPr>
                  <w:r>
                    <w:rPr>
                      <w:rFonts w:hint="eastAsia"/>
                    </w:rPr>
                    <w:t>食堂油烟执行《饮食业油烟排放标准》（GB18483-2001）</w:t>
                  </w:r>
                </w:p>
              </w:tc>
            </w:tr>
          </w:tbl>
          <w:p>
            <w:pPr>
              <w:spacing w:line="360" w:lineRule="auto"/>
              <w:ind w:firstLine="480" w:firstLineChars="200"/>
              <w:rPr>
                <w:sz w:val="24"/>
              </w:rPr>
            </w:pPr>
          </w:p>
          <w:p>
            <w:pPr>
              <w:spacing w:line="360" w:lineRule="auto"/>
              <w:ind w:firstLine="480" w:firstLineChars="200"/>
              <w:rPr>
                <w:bCs/>
                <w:sz w:val="24"/>
              </w:rPr>
            </w:pPr>
            <w:r>
              <w:rPr>
                <w:sz w:val="24"/>
              </w:rPr>
              <w:t>（</w:t>
            </w:r>
            <w:r>
              <w:rPr>
                <w:rFonts w:hint="eastAsia"/>
                <w:sz w:val="24"/>
              </w:rPr>
              <w:t>2</w:t>
            </w:r>
            <w:r>
              <w:rPr>
                <w:sz w:val="24"/>
              </w:rPr>
              <w:t>）</w:t>
            </w:r>
            <w:r>
              <w:rPr>
                <w:rFonts w:hint="eastAsia" w:hAnsi="宋体"/>
                <w:sz w:val="24"/>
              </w:rPr>
              <w:t>项目无生产废水产生和排放；生活污水经化粪池处理后排入园区污水管网，经园区污水处理厂处理达标后排放，生活污水排放执行</w:t>
            </w:r>
            <w:r>
              <w:rPr>
                <w:bCs/>
                <w:sz w:val="24"/>
              </w:rPr>
              <w:t>《污水排入城镇下水道水质标准》（GB/T31962-2015）中B级标准。</w:t>
            </w:r>
          </w:p>
          <w:p>
            <w:pPr>
              <w:spacing w:line="360" w:lineRule="auto"/>
              <w:jc w:val="center"/>
              <w:rPr>
                <w:b/>
                <w:bCs/>
                <w:sz w:val="24"/>
                <w:lang w:val="zh-CN"/>
              </w:rPr>
            </w:pPr>
            <w:r>
              <w:rPr>
                <w:b/>
                <w:bCs/>
                <w:sz w:val="24"/>
              </w:rPr>
              <w:t>表3-</w:t>
            </w:r>
            <w:r>
              <w:rPr>
                <w:rFonts w:hint="eastAsia"/>
                <w:b/>
                <w:bCs/>
                <w:sz w:val="24"/>
              </w:rPr>
              <w:t>5</w:t>
            </w:r>
            <w:r>
              <w:rPr>
                <w:b/>
                <w:bCs/>
                <w:sz w:val="24"/>
              </w:rPr>
              <w:t xml:space="preserve">  </w:t>
            </w:r>
            <w:r>
              <w:rPr>
                <w:b/>
                <w:bCs/>
                <w:sz w:val="24"/>
                <w:lang w:val="zh-CN"/>
              </w:rPr>
              <w:t>污水排入城镇下水道水质标准</w:t>
            </w:r>
          </w:p>
          <w:tbl>
            <w:tblPr>
              <w:tblStyle w:val="3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2"/>
              <w:gridCol w:w="2655"/>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5" w:type="pct"/>
                  <w:shd w:val="clear" w:color="auto" w:fill="auto"/>
                  <w:vAlign w:val="center"/>
                </w:tcPr>
                <w:p>
                  <w:pPr>
                    <w:jc w:val="center"/>
                    <w:rPr>
                      <w:b/>
                      <w:szCs w:val="21"/>
                    </w:rPr>
                  </w:pPr>
                  <w:r>
                    <w:rPr>
                      <w:rFonts w:hint="eastAsia"/>
                      <w:b/>
                      <w:szCs w:val="21"/>
                    </w:rPr>
                    <w:t>序号</w:t>
                  </w:r>
                </w:p>
              </w:tc>
              <w:tc>
                <w:tcPr>
                  <w:tcW w:w="1667" w:type="pct"/>
                  <w:shd w:val="clear" w:color="auto" w:fill="auto"/>
                  <w:vAlign w:val="center"/>
                </w:tcPr>
                <w:p>
                  <w:pPr>
                    <w:jc w:val="center"/>
                    <w:rPr>
                      <w:b/>
                      <w:szCs w:val="21"/>
                    </w:rPr>
                  </w:pPr>
                  <w:r>
                    <w:rPr>
                      <w:rFonts w:hint="eastAsia"/>
                      <w:b/>
                      <w:szCs w:val="21"/>
                    </w:rPr>
                    <w:t>单位</w:t>
                  </w:r>
                </w:p>
              </w:tc>
              <w:tc>
                <w:tcPr>
                  <w:tcW w:w="1667" w:type="pct"/>
                  <w:shd w:val="clear" w:color="auto" w:fill="auto"/>
                  <w:vAlign w:val="center"/>
                </w:tcPr>
                <w:p>
                  <w:pPr>
                    <w:jc w:val="center"/>
                    <w:rPr>
                      <w:b/>
                      <w:szCs w:val="21"/>
                    </w:rPr>
                  </w:pPr>
                  <w:r>
                    <w:rPr>
                      <w:rFonts w:hint="eastAsia"/>
                      <w:b/>
                      <w:szCs w:val="21"/>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1665" w:type="pct"/>
                  <w:shd w:val="clear" w:color="auto" w:fill="auto"/>
                  <w:vAlign w:val="center"/>
                </w:tcPr>
                <w:p>
                  <w:pPr>
                    <w:jc w:val="center"/>
                    <w:rPr>
                      <w:bCs/>
                      <w:szCs w:val="21"/>
                    </w:rPr>
                  </w:pPr>
                  <w:r>
                    <w:rPr>
                      <w:rFonts w:hint="eastAsia"/>
                      <w:bCs/>
                      <w:szCs w:val="21"/>
                    </w:rPr>
                    <w:t>PH</w:t>
                  </w:r>
                </w:p>
              </w:tc>
              <w:tc>
                <w:tcPr>
                  <w:tcW w:w="1667" w:type="pct"/>
                  <w:shd w:val="clear" w:color="auto" w:fill="auto"/>
                  <w:vAlign w:val="center"/>
                </w:tcPr>
                <w:p>
                  <w:pPr>
                    <w:jc w:val="center"/>
                    <w:rPr>
                      <w:bCs/>
                      <w:szCs w:val="21"/>
                    </w:rPr>
                  </w:pPr>
                  <w:r>
                    <w:rPr>
                      <w:rFonts w:hint="eastAsia"/>
                      <w:bCs/>
                      <w:szCs w:val="21"/>
                    </w:rPr>
                    <w:t>/</w:t>
                  </w:r>
                </w:p>
              </w:tc>
              <w:tc>
                <w:tcPr>
                  <w:tcW w:w="1667" w:type="pct"/>
                  <w:shd w:val="clear" w:color="auto" w:fill="auto"/>
                  <w:vAlign w:val="center"/>
                </w:tcPr>
                <w:p>
                  <w:pPr>
                    <w:jc w:val="center"/>
                    <w:rPr>
                      <w:bCs/>
                      <w:szCs w:val="21"/>
                    </w:rPr>
                  </w:pPr>
                  <w:r>
                    <w:rPr>
                      <w:rFonts w:hint="eastAsia"/>
                      <w:bCs/>
                      <w:szCs w:val="21"/>
                    </w:rPr>
                    <w:t>6.5-9.5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5" w:type="pct"/>
                  <w:shd w:val="clear" w:color="auto" w:fill="auto"/>
                  <w:vAlign w:val="center"/>
                </w:tcPr>
                <w:p>
                  <w:pPr>
                    <w:jc w:val="center"/>
                    <w:rPr>
                      <w:bCs/>
                      <w:szCs w:val="21"/>
                    </w:rPr>
                  </w:pPr>
                  <w:r>
                    <w:rPr>
                      <w:rFonts w:hint="eastAsia"/>
                      <w:bCs/>
                      <w:szCs w:val="21"/>
                    </w:rPr>
                    <w:t>BOD</w:t>
                  </w:r>
                  <w:r>
                    <w:rPr>
                      <w:rFonts w:hint="eastAsia"/>
                      <w:bCs/>
                      <w:szCs w:val="21"/>
                      <w:vertAlign w:val="subscript"/>
                    </w:rPr>
                    <w:t>5</w:t>
                  </w:r>
                </w:p>
              </w:tc>
              <w:tc>
                <w:tcPr>
                  <w:tcW w:w="1667" w:type="pct"/>
                  <w:shd w:val="clear" w:color="auto" w:fill="auto"/>
                  <w:vAlign w:val="center"/>
                </w:tcPr>
                <w:p>
                  <w:pPr>
                    <w:jc w:val="center"/>
                    <w:rPr>
                      <w:bCs/>
                      <w:szCs w:val="21"/>
                    </w:rPr>
                  </w:pPr>
                  <w:r>
                    <w:rPr>
                      <w:rFonts w:hint="eastAsia"/>
                      <w:bCs/>
                      <w:szCs w:val="21"/>
                    </w:rPr>
                    <w:t>mg/L</w:t>
                  </w:r>
                </w:p>
              </w:tc>
              <w:tc>
                <w:tcPr>
                  <w:tcW w:w="1667" w:type="pct"/>
                  <w:shd w:val="clear" w:color="auto" w:fill="auto"/>
                  <w:vAlign w:val="center"/>
                </w:tcPr>
                <w:p>
                  <w:pPr>
                    <w:jc w:val="center"/>
                    <w:rPr>
                      <w:bCs/>
                      <w:szCs w:val="21"/>
                    </w:rPr>
                  </w:pPr>
                  <w:r>
                    <w:rPr>
                      <w:rFonts w:hint="eastAsia"/>
                      <w:bCs/>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5" w:type="pct"/>
                  <w:shd w:val="clear" w:color="auto" w:fill="auto"/>
                  <w:vAlign w:val="center"/>
                </w:tcPr>
                <w:p>
                  <w:pPr>
                    <w:jc w:val="center"/>
                    <w:rPr>
                      <w:bCs/>
                      <w:szCs w:val="21"/>
                    </w:rPr>
                  </w:pPr>
                  <w:r>
                    <w:rPr>
                      <w:rFonts w:hint="eastAsia"/>
                      <w:bCs/>
                      <w:szCs w:val="21"/>
                    </w:rPr>
                    <w:t>COD</w:t>
                  </w:r>
                </w:p>
              </w:tc>
              <w:tc>
                <w:tcPr>
                  <w:tcW w:w="1667" w:type="pct"/>
                  <w:shd w:val="clear" w:color="auto" w:fill="auto"/>
                  <w:vAlign w:val="center"/>
                </w:tcPr>
                <w:p>
                  <w:pPr>
                    <w:jc w:val="center"/>
                    <w:rPr>
                      <w:bCs/>
                      <w:szCs w:val="21"/>
                    </w:rPr>
                  </w:pPr>
                  <w:r>
                    <w:rPr>
                      <w:rFonts w:hint="eastAsia"/>
                      <w:bCs/>
                      <w:szCs w:val="21"/>
                    </w:rPr>
                    <w:t>mg/L</w:t>
                  </w:r>
                </w:p>
              </w:tc>
              <w:tc>
                <w:tcPr>
                  <w:tcW w:w="1667" w:type="pct"/>
                  <w:shd w:val="clear" w:color="auto" w:fill="auto"/>
                  <w:vAlign w:val="center"/>
                </w:tcPr>
                <w:p>
                  <w:pPr>
                    <w:jc w:val="center"/>
                    <w:rPr>
                      <w:bCs/>
                      <w:szCs w:val="21"/>
                    </w:rPr>
                  </w:pPr>
                  <w:r>
                    <w:rPr>
                      <w:rFonts w:hint="eastAsia"/>
                      <w:bCs/>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5" w:type="pct"/>
                  <w:shd w:val="clear" w:color="auto" w:fill="auto"/>
                  <w:vAlign w:val="center"/>
                </w:tcPr>
                <w:p>
                  <w:pPr>
                    <w:jc w:val="center"/>
                    <w:rPr>
                      <w:bCs/>
                      <w:szCs w:val="21"/>
                    </w:rPr>
                  </w:pPr>
                  <w:r>
                    <w:rPr>
                      <w:rFonts w:hint="eastAsia"/>
                      <w:bCs/>
                      <w:szCs w:val="21"/>
                    </w:rPr>
                    <w:t>氨氮</w:t>
                  </w:r>
                </w:p>
              </w:tc>
              <w:tc>
                <w:tcPr>
                  <w:tcW w:w="1667" w:type="pct"/>
                  <w:shd w:val="clear" w:color="auto" w:fill="auto"/>
                  <w:vAlign w:val="center"/>
                </w:tcPr>
                <w:p>
                  <w:pPr>
                    <w:jc w:val="center"/>
                    <w:rPr>
                      <w:bCs/>
                      <w:szCs w:val="21"/>
                    </w:rPr>
                  </w:pPr>
                  <w:r>
                    <w:rPr>
                      <w:rFonts w:hint="eastAsia"/>
                      <w:bCs/>
                      <w:szCs w:val="21"/>
                    </w:rPr>
                    <w:t>mg/L</w:t>
                  </w:r>
                </w:p>
              </w:tc>
              <w:tc>
                <w:tcPr>
                  <w:tcW w:w="1667" w:type="pct"/>
                  <w:shd w:val="clear" w:color="auto" w:fill="auto"/>
                  <w:vAlign w:val="center"/>
                </w:tcPr>
                <w:p>
                  <w:pPr>
                    <w:jc w:val="center"/>
                    <w:rPr>
                      <w:bCs/>
                      <w:szCs w:val="21"/>
                    </w:rPr>
                  </w:pPr>
                  <w:r>
                    <w:rPr>
                      <w:rFonts w:hint="eastAsia"/>
                      <w:bCs/>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5" w:type="pct"/>
                  <w:shd w:val="clear" w:color="auto" w:fill="auto"/>
                  <w:vAlign w:val="center"/>
                </w:tcPr>
                <w:p>
                  <w:pPr>
                    <w:jc w:val="center"/>
                    <w:rPr>
                      <w:bCs/>
                      <w:szCs w:val="21"/>
                    </w:rPr>
                  </w:pPr>
                  <w:r>
                    <w:rPr>
                      <w:rFonts w:hint="eastAsia"/>
                      <w:bCs/>
                      <w:szCs w:val="21"/>
                    </w:rPr>
                    <w:t>总磷</w:t>
                  </w:r>
                </w:p>
              </w:tc>
              <w:tc>
                <w:tcPr>
                  <w:tcW w:w="1667" w:type="pct"/>
                  <w:shd w:val="clear" w:color="auto" w:fill="auto"/>
                  <w:vAlign w:val="center"/>
                </w:tcPr>
                <w:p>
                  <w:pPr>
                    <w:jc w:val="center"/>
                    <w:rPr>
                      <w:bCs/>
                      <w:szCs w:val="21"/>
                    </w:rPr>
                  </w:pPr>
                  <w:r>
                    <w:rPr>
                      <w:rFonts w:hint="eastAsia"/>
                      <w:bCs/>
                      <w:szCs w:val="21"/>
                    </w:rPr>
                    <w:t>mg/L</w:t>
                  </w:r>
                </w:p>
              </w:tc>
              <w:tc>
                <w:tcPr>
                  <w:tcW w:w="1667" w:type="pct"/>
                  <w:shd w:val="clear" w:color="auto" w:fill="auto"/>
                  <w:vAlign w:val="center"/>
                </w:tcPr>
                <w:p>
                  <w:pPr>
                    <w:jc w:val="center"/>
                    <w:rPr>
                      <w:bCs/>
                      <w:szCs w:val="21"/>
                    </w:rPr>
                  </w:pPr>
                  <w:r>
                    <w:rPr>
                      <w:rFonts w:hint="eastAsia"/>
                      <w:bCs/>
                      <w:szCs w:val="21"/>
                    </w:rPr>
                    <w:t>8</w:t>
                  </w:r>
                </w:p>
              </w:tc>
            </w:tr>
          </w:tbl>
          <w:p>
            <w:pPr>
              <w:adjustRightInd w:val="0"/>
              <w:snapToGrid w:val="0"/>
              <w:spacing w:line="360" w:lineRule="auto"/>
              <w:ind w:firstLine="480" w:firstLineChars="200"/>
              <w:jc w:val="left"/>
              <w:rPr>
                <w:sz w:val="24"/>
              </w:rPr>
            </w:pPr>
          </w:p>
          <w:p>
            <w:pPr>
              <w:adjustRightInd w:val="0"/>
              <w:snapToGrid w:val="0"/>
              <w:spacing w:line="360" w:lineRule="auto"/>
              <w:ind w:firstLine="480" w:firstLineChars="200"/>
              <w:jc w:val="left"/>
              <w:rPr>
                <w:sz w:val="24"/>
              </w:rPr>
            </w:pPr>
            <w:r>
              <w:rPr>
                <w:sz w:val="24"/>
              </w:rPr>
              <w:t>（</w:t>
            </w:r>
            <w:r>
              <w:rPr>
                <w:rFonts w:hint="eastAsia"/>
                <w:sz w:val="24"/>
              </w:rPr>
              <w:t>3</w:t>
            </w:r>
            <w:r>
              <w:rPr>
                <w:sz w:val="24"/>
              </w:rPr>
              <w:t>）施工噪声执行《建筑施工场界环境噪声排放标准》（GB12523-2011）中的相关规定；运营期厂界噪声排放执行《工业企业厂界环境噪声排放标准》（GB12348-2008）</w:t>
            </w:r>
            <w:r>
              <w:rPr>
                <w:rFonts w:hint="eastAsia"/>
                <w:sz w:val="24"/>
              </w:rPr>
              <w:t>3</w:t>
            </w:r>
            <w:r>
              <w:rPr>
                <w:sz w:val="24"/>
              </w:rPr>
              <w:t>类标准；</w:t>
            </w:r>
          </w:p>
          <w:p>
            <w:pPr>
              <w:widowControl/>
              <w:ind w:firstLine="422" w:firstLineChars="200"/>
              <w:jc w:val="center"/>
              <w:rPr>
                <w:b/>
                <w:bCs/>
                <w:szCs w:val="21"/>
              </w:rPr>
            </w:pPr>
            <w:r>
              <w:rPr>
                <w:b/>
                <w:bCs/>
                <w:szCs w:val="21"/>
              </w:rPr>
              <w:t>表3</w:t>
            </w:r>
            <w:r>
              <w:rPr>
                <w:rFonts w:hint="eastAsia"/>
                <w:b/>
                <w:bCs/>
                <w:szCs w:val="21"/>
              </w:rPr>
              <w:t xml:space="preserve">-6  </w:t>
            </w:r>
            <w:r>
              <w:rPr>
                <w:b/>
                <w:bCs/>
                <w:szCs w:val="21"/>
              </w:rPr>
              <w:t>《</w:t>
            </w:r>
            <w:r>
              <w:rPr>
                <w:rFonts w:hint="eastAsia"/>
                <w:b/>
                <w:bCs/>
                <w:szCs w:val="21"/>
              </w:rPr>
              <w:t xml:space="preserve">工业企业厂界环境噪声排放限值 </w:t>
            </w:r>
            <w:r>
              <w:rPr>
                <w:b/>
                <w:bCs/>
                <w:szCs w:val="21"/>
              </w:rPr>
              <w:t>》</w:t>
            </w:r>
            <w:r>
              <w:rPr>
                <w:rFonts w:hint="eastAsia"/>
                <w:b/>
                <w:bCs/>
                <w:szCs w:val="21"/>
              </w:rPr>
              <w:t>单位：dB（A）</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1502"/>
              <w:gridCol w:w="1104"/>
              <w:gridCol w:w="857"/>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pct"/>
                  <w:vMerge w:val="restart"/>
                  <w:vAlign w:val="center"/>
                </w:tcPr>
                <w:p>
                  <w:pPr>
                    <w:jc w:val="center"/>
                  </w:pPr>
                  <w:r>
                    <w:rPr>
                      <w:rFonts w:hint="eastAsia"/>
                    </w:rPr>
                    <w:t>污染源类别</w:t>
                  </w:r>
                </w:p>
              </w:tc>
              <w:tc>
                <w:tcPr>
                  <w:tcW w:w="1636" w:type="pct"/>
                  <w:gridSpan w:val="2"/>
                  <w:vAlign w:val="center"/>
                </w:tcPr>
                <w:p>
                  <w:pPr>
                    <w:jc w:val="center"/>
                  </w:pPr>
                  <w:r>
                    <w:rPr>
                      <w:rFonts w:hint="eastAsia"/>
                    </w:rPr>
                    <w:t>项目</w:t>
                  </w:r>
                </w:p>
              </w:tc>
              <w:tc>
                <w:tcPr>
                  <w:tcW w:w="538" w:type="pct"/>
                  <w:vMerge w:val="restart"/>
                  <w:vAlign w:val="center"/>
                </w:tcPr>
                <w:p>
                  <w:pPr>
                    <w:jc w:val="center"/>
                  </w:pPr>
                  <w:r>
                    <w:rPr>
                      <w:rFonts w:hint="eastAsia"/>
                    </w:rPr>
                    <w:t>单位</w:t>
                  </w:r>
                </w:p>
              </w:tc>
              <w:tc>
                <w:tcPr>
                  <w:tcW w:w="2151" w:type="pct"/>
                  <w:vMerge w:val="restart"/>
                  <w:vAlign w:val="center"/>
                </w:tcPr>
                <w:p>
                  <w:pPr>
                    <w:jc w:val="center"/>
                  </w:pPr>
                  <w:r>
                    <w:rPr>
                      <w:rFonts w:hint="eastAsia"/>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pct"/>
                  <w:vMerge w:val="continue"/>
                  <w:vAlign w:val="center"/>
                </w:tcPr>
                <w:p>
                  <w:pPr>
                    <w:jc w:val="center"/>
                  </w:pPr>
                </w:p>
              </w:tc>
              <w:tc>
                <w:tcPr>
                  <w:tcW w:w="943" w:type="pct"/>
                  <w:vAlign w:val="center"/>
                </w:tcPr>
                <w:p>
                  <w:pPr>
                    <w:jc w:val="center"/>
                  </w:pPr>
                  <w:r>
                    <w:rPr>
                      <w:rFonts w:hint="eastAsia"/>
                    </w:rPr>
                    <w:t>取值时段</w:t>
                  </w:r>
                </w:p>
              </w:tc>
              <w:tc>
                <w:tcPr>
                  <w:tcW w:w="693" w:type="pct"/>
                  <w:vAlign w:val="center"/>
                </w:tcPr>
                <w:p>
                  <w:pPr>
                    <w:jc w:val="center"/>
                  </w:pPr>
                  <w:r>
                    <w:rPr>
                      <w:rFonts w:hint="eastAsia"/>
                    </w:rPr>
                    <w:t>标准值</w:t>
                  </w:r>
                </w:p>
              </w:tc>
              <w:tc>
                <w:tcPr>
                  <w:tcW w:w="538" w:type="pct"/>
                  <w:vMerge w:val="continue"/>
                  <w:vAlign w:val="center"/>
                </w:tcPr>
                <w:p>
                  <w:pPr>
                    <w:jc w:val="center"/>
                  </w:pPr>
                </w:p>
              </w:tc>
              <w:tc>
                <w:tcPr>
                  <w:tcW w:w="2151"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pct"/>
                  <w:vMerge w:val="restart"/>
                  <w:vAlign w:val="center"/>
                </w:tcPr>
                <w:p>
                  <w:pPr>
                    <w:jc w:val="center"/>
                  </w:pPr>
                  <w:r>
                    <w:rPr>
                      <w:rFonts w:hint="eastAsia"/>
                    </w:rPr>
                    <w:t>施工噪声</w:t>
                  </w:r>
                </w:p>
              </w:tc>
              <w:tc>
                <w:tcPr>
                  <w:tcW w:w="943" w:type="pct"/>
                  <w:vAlign w:val="center"/>
                </w:tcPr>
                <w:p>
                  <w:pPr>
                    <w:jc w:val="center"/>
                  </w:pPr>
                  <w:r>
                    <w:rPr>
                      <w:rFonts w:hint="eastAsia"/>
                    </w:rPr>
                    <w:t>昼间</w:t>
                  </w:r>
                </w:p>
              </w:tc>
              <w:tc>
                <w:tcPr>
                  <w:tcW w:w="693" w:type="pct"/>
                  <w:vAlign w:val="center"/>
                </w:tcPr>
                <w:p>
                  <w:pPr>
                    <w:jc w:val="center"/>
                  </w:pPr>
                  <w:r>
                    <w:rPr>
                      <w:rFonts w:hint="eastAsia"/>
                    </w:rPr>
                    <w:t>70</w:t>
                  </w:r>
                </w:p>
              </w:tc>
              <w:tc>
                <w:tcPr>
                  <w:tcW w:w="538" w:type="pct"/>
                  <w:vMerge w:val="restart"/>
                  <w:vAlign w:val="center"/>
                </w:tcPr>
                <w:p>
                  <w:pPr>
                    <w:jc w:val="center"/>
                  </w:pPr>
                  <w:r>
                    <w:rPr>
                      <w:rFonts w:hint="eastAsia"/>
                    </w:rPr>
                    <w:t>dB（A）</w:t>
                  </w:r>
                </w:p>
              </w:tc>
              <w:tc>
                <w:tcPr>
                  <w:tcW w:w="2151" w:type="pct"/>
                  <w:vMerge w:val="restart"/>
                  <w:vAlign w:val="center"/>
                </w:tcPr>
                <w:p>
                  <w:pPr>
                    <w:jc w:val="center"/>
                  </w:pPr>
                  <w:r>
                    <w:rPr>
                      <w:rFonts w:hint="eastAsia"/>
                    </w:rPr>
                    <w:t>《建筑施工场界环境噪声排放标准》（GB12523-2011）标准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pct"/>
                  <w:vMerge w:val="continue"/>
                  <w:vAlign w:val="center"/>
                </w:tcPr>
                <w:p>
                  <w:pPr>
                    <w:jc w:val="center"/>
                  </w:pPr>
                </w:p>
              </w:tc>
              <w:tc>
                <w:tcPr>
                  <w:tcW w:w="943" w:type="pct"/>
                  <w:vAlign w:val="center"/>
                </w:tcPr>
                <w:p>
                  <w:pPr>
                    <w:jc w:val="center"/>
                  </w:pPr>
                  <w:r>
                    <w:rPr>
                      <w:rFonts w:hint="eastAsia"/>
                    </w:rPr>
                    <w:t>夜间</w:t>
                  </w:r>
                </w:p>
              </w:tc>
              <w:tc>
                <w:tcPr>
                  <w:tcW w:w="693" w:type="pct"/>
                  <w:vAlign w:val="center"/>
                </w:tcPr>
                <w:p>
                  <w:pPr>
                    <w:jc w:val="center"/>
                  </w:pPr>
                  <w:r>
                    <w:rPr>
                      <w:rFonts w:hint="eastAsia"/>
                    </w:rPr>
                    <w:t>55</w:t>
                  </w:r>
                </w:p>
              </w:tc>
              <w:tc>
                <w:tcPr>
                  <w:tcW w:w="538" w:type="pct"/>
                  <w:vMerge w:val="continue"/>
                  <w:vAlign w:val="center"/>
                </w:tcPr>
                <w:p>
                  <w:pPr>
                    <w:jc w:val="center"/>
                  </w:pPr>
                </w:p>
              </w:tc>
              <w:tc>
                <w:tcPr>
                  <w:tcW w:w="2151"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pct"/>
                  <w:vMerge w:val="restart"/>
                  <w:vAlign w:val="center"/>
                </w:tcPr>
                <w:p>
                  <w:pPr>
                    <w:jc w:val="center"/>
                  </w:pPr>
                  <w:r>
                    <w:rPr>
                      <w:rFonts w:hint="eastAsia"/>
                    </w:rPr>
                    <w:t>厂界噪声</w:t>
                  </w:r>
                </w:p>
              </w:tc>
              <w:tc>
                <w:tcPr>
                  <w:tcW w:w="943" w:type="pct"/>
                  <w:vAlign w:val="center"/>
                </w:tcPr>
                <w:p>
                  <w:pPr>
                    <w:jc w:val="center"/>
                  </w:pPr>
                  <w:r>
                    <w:rPr>
                      <w:rFonts w:hint="eastAsia"/>
                    </w:rPr>
                    <w:t>昼间</w:t>
                  </w:r>
                </w:p>
              </w:tc>
              <w:tc>
                <w:tcPr>
                  <w:tcW w:w="693" w:type="pct"/>
                  <w:vAlign w:val="center"/>
                </w:tcPr>
                <w:p>
                  <w:pPr>
                    <w:jc w:val="center"/>
                  </w:pPr>
                  <w:r>
                    <w:rPr>
                      <w:rFonts w:hint="eastAsia"/>
                    </w:rPr>
                    <w:t>65</w:t>
                  </w:r>
                </w:p>
              </w:tc>
              <w:tc>
                <w:tcPr>
                  <w:tcW w:w="538" w:type="pct"/>
                  <w:vMerge w:val="continue"/>
                  <w:vAlign w:val="center"/>
                </w:tcPr>
                <w:p>
                  <w:pPr>
                    <w:jc w:val="center"/>
                  </w:pPr>
                </w:p>
              </w:tc>
              <w:tc>
                <w:tcPr>
                  <w:tcW w:w="2151" w:type="pct"/>
                  <w:vMerge w:val="restart"/>
                  <w:vAlign w:val="center"/>
                </w:tcPr>
                <w:p>
                  <w:pPr>
                    <w:jc w:val="center"/>
                  </w:pPr>
                  <w:r>
                    <w:rPr>
                      <w:rFonts w:hint="eastAsia"/>
                    </w:rPr>
                    <w:t>《工业企业厂界环境噪声排</w:t>
                  </w:r>
                </w:p>
                <w:p>
                  <w:pPr>
                    <w:jc w:val="center"/>
                  </w:pPr>
                  <w:r>
                    <w:rPr>
                      <w:rFonts w:hint="eastAsia"/>
                    </w:rPr>
                    <w:t>放标准》（GB12348-2008）3类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pct"/>
                  <w:vMerge w:val="continue"/>
                  <w:vAlign w:val="center"/>
                </w:tcPr>
                <w:p>
                  <w:pPr>
                    <w:jc w:val="center"/>
                  </w:pPr>
                </w:p>
              </w:tc>
              <w:tc>
                <w:tcPr>
                  <w:tcW w:w="943" w:type="pct"/>
                  <w:vAlign w:val="center"/>
                </w:tcPr>
                <w:p>
                  <w:pPr>
                    <w:jc w:val="center"/>
                  </w:pPr>
                  <w:r>
                    <w:rPr>
                      <w:rFonts w:hint="eastAsia"/>
                    </w:rPr>
                    <w:t>夜间</w:t>
                  </w:r>
                </w:p>
              </w:tc>
              <w:tc>
                <w:tcPr>
                  <w:tcW w:w="693" w:type="pct"/>
                  <w:vAlign w:val="center"/>
                </w:tcPr>
                <w:p>
                  <w:pPr>
                    <w:jc w:val="center"/>
                  </w:pPr>
                  <w:r>
                    <w:rPr>
                      <w:rFonts w:hint="eastAsia"/>
                    </w:rPr>
                    <w:t>55</w:t>
                  </w:r>
                </w:p>
              </w:tc>
              <w:tc>
                <w:tcPr>
                  <w:tcW w:w="538" w:type="pct"/>
                  <w:vMerge w:val="continue"/>
                  <w:vAlign w:val="center"/>
                </w:tcPr>
                <w:p>
                  <w:pPr>
                    <w:jc w:val="center"/>
                  </w:pPr>
                </w:p>
              </w:tc>
              <w:tc>
                <w:tcPr>
                  <w:tcW w:w="2151" w:type="pct"/>
                  <w:vMerge w:val="continue"/>
                  <w:vAlign w:val="center"/>
                </w:tcPr>
                <w:p>
                  <w:pPr>
                    <w:jc w:val="center"/>
                  </w:pPr>
                </w:p>
              </w:tc>
            </w:tr>
          </w:tbl>
          <w:p>
            <w:pPr>
              <w:spacing w:line="360" w:lineRule="auto"/>
              <w:ind w:firstLine="480" w:firstLineChars="200"/>
              <w:rPr>
                <w:sz w:val="24"/>
              </w:rPr>
            </w:pPr>
            <w:r>
              <w:rPr>
                <w:sz w:val="24"/>
              </w:rPr>
              <w:t>（</w:t>
            </w:r>
            <w:r>
              <w:rPr>
                <w:rFonts w:hint="eastAsia"/>
                <w:sz w:val="24"/>
              </w:rPr>
              <w:t>4</w:t>
            </w:r>
            <w:r>
              <w:rPr>
                <w:sz w:val="24"/>
              </w:rPr>
              <w:t>）一般固体废物执行《一般工业固体废物贮存和填埋污染控制标准》（GB18599-2020）中有关要求；危险废物贮存执行</w:t>
            </w:r>
            <w:r>
              <w:rPr>
                <w:rFonts w:hint="eastAsia"/>
                <w:sz w:val="24"/>
              </w:rPr>
              <w:t>《危险废物贮存污染控制标准》（GB18597-2023）</w:t>
            </w:r>
            <w:r>
              <w:rPr>
                <w:sz w:val="24"/>
              </w:rPr>
              <w:t>中有关规定。</w:t>
            </w:r>
          </w:p>
          <w:p>
            <w:pPr>
              <w:spacing w:line="360" w:lineRule="auto"/>
              <w:ind w:firstLine="480" w:firstLineChars="200"/>
              <w:rPr>
                <w:kern w:val="0"/>
                <w:szCs w:val="21"/>
              </w:rPr>
            </w:pPr>
            <w:r>
              <w:rPr>
                <w:sz w:val="24"/>
              </w:rPr>
              <w:t>（</w:t>
            </w:r>
            <w:r>
              <w:rPr>
                <w:rFonts w:hint="eastAsia"/>
                <w:sz w:val="24"/>
              </w:rPr>
              <w:t>5</w:t>
            </w:r>
            <w:r>
              <w:rPr>
                <w:sz w:val="24"/>
              </w:rPr>
              <w:t>）其他要素评价按国家有关规定执行。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800" w:type="dxa"/>
            <w:vAlign w:val="center"/>
          </w:tcPr>
          <w:p>
            <w:pPr>
              <w:adjustRightInd w:val="0"/>
              <w:snapToGrid w:val="0"/>
              <w:jc w:val="center"/>
              <w:rPr>
                <w:b/>
                <w:bCs/>
                <w:kern w:val="0"/>
                <w:szCs w:val="21"/>
              </w:rPr>
            </w:pPr>
            <w:r>
              <w:rPr>
                <w:b/>
                <w:bCs/>
                <w:kern w:val="0"/>
                <w:szCs w:val="21"/>
              </w:rPr>
              <w:t>总量</w:t>
            </w:r>
          </w:p>
          <w:p>
            <w:pPr>
              <w:adjustRightInd w:val="0"/>
              <w:snapToGrid w:val="0"/>
              <w:jc w:val="center"/>
              <w:rPr>
                <w:b/>
                <w:bCs/>
                <w:kern w:val="0"/>
                <w:szCs w:val="21"/>
              </w:rPr>
            </w:pPr>
            <w:r>
              <w:rPr>
                <w:b/>
                <w:bCs/>
                <w:kern w:val="0"/>
                <w:szCs w:val="21"/>
              </w:rPr>
              <w:t>控制</w:t>
            </w:r>
          </w:p>
          <w:p>
            <w:pPr>
              <w:adjustRightInd w:val="0"/>
              <w:snapToGrid w:val="0"/>
              <w:jc w:val="center"/>
              <w:rPr>
                <w:kern w:val="0"/>
                <w:szCs w:val="21"/>
              </w:rPr>
            </w:pPr>
            <w:r>
              <w:rPr>
                <w:b/>
                <w:bCs/>
                <w:kern w:val="0"/>
                <w:szCs w:val="21"/>
              </w:rPr>
              <w:t>指标</w:t>
            </w:r>
          </w:p>
        </w:tc>
        <w:tc>
          <w:tcPr>
            <w:tcW w:w="8190" w:type="dxa"/>
            <w:vAlign w:val="center"/>
          </w:tcPr>
          <w:p>
            <w:pPr>
              <w:adjustRightInd w:val="0"/>
              <w:snapToGrid w:val="0"/>
              <w:spacing w:line="360" w:lineRule="auto"/>
              <w:ind w:firstLine="480" w:firstLineChars="200"/>
              <w:jc w:val="left"/>
              <w:rPr>
                <w:kern w:val="0"/>
                <w:szCs w:val="21"/>
              </w:rPr>
            </w:pPr>
            <w:r>
              <w:rPr>
                <w:sz w:val="24"/>
              </w:rPr>
              <w:t>结合项目工艺特征和排污特点，</w:t>
            </w:r>
            <w:r>
              <w:rPr>
                <w:rFonts w:hint="eastAsia"/>
                <w:sz w:val="24"/>
              </w:rPr>
              <w:t>本项目无需申请总量控制指标。</w:t>
            </w:r>
          </w:p>
        </w:tc>
      </w:tr>
    </w:tbl>
    <w:p>
      <w:pPr>
        <w:pStyle w:val="26"/>
        <w:jc w:val="center"/>
        <w:outlineLvl w:val="0"/>
        <w:rPr>
          <w:rFonts w:ascii="Times New Roman" w:hAnsi="Times New Roman"/>
          <w:b/>
          <w:bCs/>
          <w:snapToGrid w:val="0"/>
          <w:sz w:val="30"/>
          <w:szCs w:val="30"/>
        </w:rPr>
      </w:pPr>
      <w:r>
        <w:rPr>
          <w:rFonts w:ascii="Times New Roman" w:hAnsi="Times New Roman"/>
          <w:snapToGrid w:val="0"/>
          <w:sz w:val="36"/>
          <w:szCs w:val="36"/>
        </w:rPr>
        <w:br w:type="page"/>
      </w:r>
      <w:bookmarkStart w:id="28" w:name="_Toc32061"/>
      <w:bookmarkStart w:id="29" w:name="_Toc31680"/>
      <w:r>
        <w:rPr>
          <w:rFonts w:ascii="Times New Roman" w:hAnsi="Times New Roman"/>
          <w:b/>
          <w:bCs/>
          <w:snapToGrid w:val="0"/>
          <w:sz w:val="30"/>
          <w:szCs w:val="30"/>
        </w:rPr>
        <w:t>四、主要环境影响和保护措施</w:t>
      </w:r>
      <w:bookmarkEnd w:id="28"/>
      <w:bookmarkEnd w:id="29"/>
    </w:p>
    <w:tbl>
      <w:tblPr>
        <w:tblStyle w:val="31"/>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8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4" w:type="dxa"/>
            <w:tcMar>
              <w:left w:w="28" w:type="dxa"/>
              <w:right w:w="28" w:type="dxa"/>
            </w:tcMar>
            <w:vAlign w:val="center"/>
          </w:tcPr>
          <w:p>
            <w:pPr>
              <w:pStyle w:val="26"/>
              <w:adjustRightInd w:val="0"/>
              <w:snapToGrid w:val="0"/>
              <w:spacing w:before="0" w:beforeAutospacing="0" w:after="0" w:afterAutospacing="0"/>
              <w:jc w:val="center"/>
              <w:rPr>
                <w:rFonts w:ascii="Times New Roman" w:hAnsi="Times New Roman"/>
                <w:b/>
                <w:bCs/>
                <w:kern w:val="2"/>
                <w:sz w:val="21"/>
                <w:szCs w:val="21"/>
              </w:rPr>
            </w:pPr>
            <w:bookmarkStart w:id="30" w:name="_Hlk107465795"/>
            <w:r>
              <w:rPr>
                <w:rFonts w:ascii="Times New Roman" w:hAnsi="Times New Roman"/>
                <w:b/>
                <w:bCs/>
                <w:kern w:val="2"/>
                <w:sz w:val="21"/>
                <w:szCs w:val="21"/>
              </w:rPr>
              <w:t>施工</w:t>
            </w:r>
          </w:p>
          <w:p>
            <w:pPr>
              <w:pStyle w:val="26"/>
              <w:adjustRightInd w:val="0"/>
              <w:snapToGrid w:val="0"/>
              <w:spacing w:before="0" w:beforeAutospacing="0" w:after="0" w:afterAutospacing="0"/>
              <w:jc w:val="center"/>
              <w:rPr>
                <w:rFonts w:ascii="Times New Roman" w:hAnsi="Times New Roman"/>
                <w:b/>
                <w:bCs/>
                <w:kern w:val="2"/>
                <w:sz w:val="21"/>
                <w:szCs w:val="21"/>
              </w:rPr>
            </w:pPr>
            <w:r>
              <w:rPr>
                <w:rFonts w:ascii="Times New Roman" w:hAnsi="Times New Roman"/>
                <w:b/>
                <w:bCs/>
                <w:kern w:val="2"/>
                <w:sz w:val="21"/>
                <w:szCs w:val="21"/>
              </w:rPr>
              <w:t>期环</w:t>
            </w:r>
          </w:p>
          <w:p>
            <w:pPr>
              <w:pStyle w:val="26"/>
              <w:adjustRightInd w:val="0"/>
              <w:snapToGrid w:val="0"/>
              <w:spacing w:before="0" w:beforeAutospacing="0" w:after="0" w:afterAutospacing="0"/>
              <w:jc w:val="center"/>
              <w:rPr>
                <w:rFonts w:ascii="Times New Roman" w:hAnsi="Times New Roman"/>
                <w:b/>
                <w:bCs/>
                <w:kern w:val="2"/>
                <w:sz w:val="21"/>
                <w:szCs w:val="21"/>
              </w:rPr>
            </w:pPr>
            <w:r>
              <w:rPr>
                <w:rFonts w:ascii="Times New Roman" w:hAnsi="Times New Roman"/>
                <w:b/>
                <w:bCs/>
                <w:kern w:val="2"/>
                <w:sz w:val="21"/>
                <w:szCs w:val="21"/>
              </w:rPr>
              <w:t>境保</w:t>
            </w:r>
          </w:p>
          <w:p>
            <w:pPr>
              <w:pStyle w:val="26"/>
              <w:adjustRightInd w:val="0"/>
              <w:snapToGrid w:val="0"/>
              <w:spacing w:before="0" w:beforeAutospacing="0" w:after="0" w:afterAutospacing="0"/>
              <w:jc w:val="center"/>
              <w:rPr>
                <w:rFonts w:ascii="Times New Roman" w:hAnsi="Times New Roman"/>
                <w:b/>
                <w:bCs/>
                <w:kern w:val="2"/>
                <w:sz w:val="21"/>
                <w:szCs w:val="21"/>
              </w:rPr>
            </w:pPr>
            <w:r>
              <w:rPr>
                <w:rFonts w:ascii="Times New Roman" w:hAnsi="Times New Roman"/>
                <w:b/>
                <w:bCs/>
                <w:kern w:val="2"/>
                <w:sz w:val="21"/>
                <w:szCs w:val="21"/>
              </w:rPr>
              <w:t>护措</w:t>
            </w:r>
          </w:p>
          <w:p>
            <w:pPr>
              <w:pStyle w:val="26"/>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b/>
                <w:bCs/>
                <w:kern w:val="2"/>
                <w:sz w:val="21"/>
                <w:szCs w:val="21"/>
              </w:rPr>
              <w:t>施</w:t>
            </w:r>
          </w:p>
        </w:tc>
        <w:tc>
          <w:tcPr>
            <w:tcW w:w="8344" w:type="dxa"/>
            <w:vAlign w:val="center"/>
          </w:tcPr>
          <w:p>
            <w:pPr>
              <w:spacing w:line="360" w:lineRule="auto"/>
              <w:ind w:firstLine="482" w:firstLineChars="200"/>
              <w:rPr>
                <w:b/>
                <w:bCs/>
                <w:sz w:val="24"/>
              </w:rPr>
            </w:pPr>
            <w:r>
              <w:rPr>
                <w:b/>
                <w:bCs/>
                <w:sz w:val="24"/>
              </w:rPr>
              <w:t>1、施工废气</w:t>
            </w:r>
          </w:p>
          <w:p>
            <w:pPr>
              <w:spacing w:line="360" w:lineRule="auto"/>
              <w:ind w:firstLine="480" w:firstLineChars="200"/>
              <w:rPr>
                <w:sz w:val="24"/>
              </w:rPr>
            </w:pPr>
            <w:r>
              <w:rPr>
                <w:sz w:val="24"/>
              </w:rPr>
              <w:t>施工期间裸露地表应及时覆盖、洒水降尘。施工过程应加强环境管理措施，杜绝粗放式施工，</w:t>
            </w:r>
            <w:r>
              <w:rPr>
                <w:rFonts w:hint="eastAsia"/>
                <w:sz w:val="24"/>
              </w:rPr>
              <w:t>拆除原有建筑时采用湿法作业洒水降尘，</w:t>
            </w:r>
            <w:r>
              <w:rPr>
                <w:sz w:val="24"/>
              </w:rPr>
              <w:t>现场建筑垃圾、渣土及时清理、覆盖、洒水灭尘，出入场地运输车辆及时冲洗、篷布遮盖等，施工场地进行围挡。对出入施工场地车辆进行冲洗、限速行驶及保持路面清洁以减少运输过程道路扬尘。加强施工车辆运行管理与维护保养，可减少尾气排放对环境的污染。严格按照</w:t>
            </w:r>
            <w:r>
              <w:rPr>
                <w:rFonts w:hint="eastAsia"/>
                <w:sz w:val="24"/>
              </w:rPr>
              <w:t>《榆林市2023年生态环境保护三十项攻坚行动方案》的通知（榆办字〔2023〕33号）及《靖边县2022年生态环境保护四十三项攻坚行动方案》的通知（靖办字〔2022〕17号）的</w:t>
            </w:r>
            <w:r>
              <w:rPr>
                <w:sz w:val="24"/>
              </w:rPr>
              <w:t>要求</w:t>
            </w:r>
            <w:r>
              <w:rPr>
                <w:rFonts w:hint="eastAsia"/>
                <w:sz w:val="24"/>
              </w:rPr>
              <w:t>，</w:t>
            </w:r>
            <w:r>
              <w:rPr>
                <w:sz w:val="24"/>
              </w:rPr>
              <w:t>评价提出以下措施和要求：</w:t>
            </w:r>
          </w:p>
          <w:p>
            <w:pPr>
              <w:spacing w:line="360" w:lineRule="auto"/>
              <w:ind w:firstLine="480" w:firstLineChars="200"/>
              <w:rPr>
                <w:sz w:val="24"/>
              </w:rPr>
            </w:pPr>
            <w:r>
              <w:rPr>
                <w:sz w:val="24"/>
              </w:rPr>
              <w:t>① 施工过程中使用水泥、砂石、铺装材料等易产生扬尘的建筑材料应入库贮存装卸，搬运时轻拿轻放，避免包装破裂产生扬尘；</w:t>
            </w:r>
          </w:p>
          <w:p>
            <w:pPr>
              <w:spacing w:line="360" w:lineRule="auto"/>
              <w:ind w:firstLine="480" w:firstLineChars="200"/>
              <w:rPr>
                <w:sz w:val="24"/>
              </w:rPr>
            </w:pPr>
            <w:r>
              <w:rPr>
                <w:sz w:val="24"/>
              </w:rPr>
              <w:t xml:space="preserve">② </w:t>
            </w:r>
            <w:r>
              <w:rPr>
                <w:rFonts w:hint="eastAsia"/>
                <w:sz w:val="24"/>
              </w:rPr>
              <w:t>拆除原有建筑时采用湿法作业洒水降尘，</w:t>
            </w:r>
            <w:r>
              <w:rPr>
                <w:sz w:val="24"/>
              </w:rPr>
              <w:t>干燥季节要适时对现场存放的土方洒水，保持其表面潮湿，以避免扬尘；</w:t>
            </w:r>
          </w:p>
          <w:p>
            <w:pPr>
              <w:spacing w:line="360" w:lineRule="auto"/>
              <w:ind w:firstLine="480" w:firstLineChars="200"/>
              <w:rPr>
                <w:sz w:val="24"/>
              </w:rPr>
            </w:pPr>
            <w:r>
              <w:rPr>
                <w:sz w:val="24"/>
              </w:rPr>
              <w:t>③ 施工内部工地裸露地面应覆盖防尘布或防尘网、定时水雾喷洒降低施工场地扬尘、配置文明施工等措施防止扬尘造成影响；</w:t>
            </w:r>
          </w:p>
          <w:p>
            <w:pPr>
              <w:spacing w:line="360" w:lineRule="auto"/>
              <w:ind w:firstLine="480" w:firstLineChars="200"/>
              <w:rPr>
                <w:sz w:val="24"/>
              </w:rPr>
            </w:pPr>
            <w:r>
              <w:rPr>
                <w:sz w:val="24"/>
              </w:rPr>
              <w:t>④ 遇到干燥、易起尘的土方工程作业时，尽量缩短起尘操作时间，遇到四级或四级以上大风天气，应停止土方作业，同时作业处覆以防尘网；</w:t>
            </w:r>
          </w:p>
          <w:p>
            <w:pPr>
              <w:spacing w:line="360" w:lineRule="auto"/>
              <w:ind w:firstLine="480" w:firstLineChars="200"/>
              <w:rPr>
                <w:sz w:val="24"/>
              </w:rPr>
            </w:pPr>
            <w:r>
              <w:rPr>
                <w:sz w:val="24"/>
              </w:rPr>
              <w:t>⑤ 施工过程中产生的弃料及其他建筑垃圾，应及时清运；完善排水设施，防止进出车辆泥土粘带；</w:t>
            </w:r>
          </w:p>
          <w:p>
            <w:pPr>
              <w:spacing w:line="360" w:lineRule="auto"/>
              <w:ind w:firstLine="480" w:firstLineChars="200"/>
              <w:rPr>
                <w:sz w:val="24"/>
              </w:rPr>
            </w:pPr>
            <w:r>
              <w:rPr>
                <w:sz w:val="24"/>
              </w:rPr>
              <w:t>⑥ 多尘物料应使用帆布覆盖，采用封闭的运输车或篷布覆盖的运输车进行运输，不得超载，并控制车辆行驶速度，防止运输过程中的飞扬和洒落。</w:t>
            </w:r>
          </w:p>
          <w:p>
            <w:pPr>
              <w:spacing w:line="360" w:lineRule="auto"/>
              <w:ind w:firstLine="480" w:firstLineChars="200"/>
              <w:rPr>
                <w:sz w:val="24"/>
              </w:rPr>
            </w:pPr>
            <w:r>
              <w:rPr>
                <w:sz w:val="24"/>
              </w:rPr>
              <w:t>⑦ 施工期混凝土应使用预拌商品混凝土，不得现场露天搅拌混凝土、消化石灰及拌石灰土。</w:t>
            </w:r>
          </w:p>
          <w:p>
            <w:pPr>
              <w:spacing w:line="360" w:lineRule="auto"/>
              <w:ind w:firstLine="480" w:firstLineChars="200"/>
              <w:rPr>
                <w:sz w:val="24"/>
              </w:rPr>
            </w:pPr>
            <w:r>
              <w:rPr>
                <w:sz w:val="24"/>
              </w:rPr>
              <w:t>采取以上措施后，项目施工期间对大气环境影响较小，而且随着施工活动的结束，这些污染也将消失。</w:t>
            </w:r>
          </w:p>
          <w:p>
            <w:pPr>
              <w:spacing w:line="360" w:lineRule="auto"/>
              <w:ind w:firstLine="482" w:firstLineChars="200"/>
              <w:rPr>
                <w:b/>
                <w:bCs/>
                <w:sz w:val="24"/>
              </w:rPr>
            </w:pPr>
            <w:r>
              <w:rPr>
                <w:b/>
                <w:bCs/>
                <w:sz w:val="24"/>
              </w:rPr>
              <w:t>2、施工废水</w:t>
            </w:r>
          </w:p>
          <w:p>
            <w:pPr>
              <w:spacing w:line="360" w:lineRule="auto"/>
              <w:ind w:firstLine="480" w:firstLineChars="200"/>
              <w:rPr>
                <w:sz w:val="24"/>
              </w:rPr>
            </w:pPr>
            <w:r>
              <w:rPr>
                <w:sz w:val="24"/>
              </w:rPr>
              <w:t>施工期的废水排放主要来自于建筑施工人员的生活污水和施工废水。</w:t>
            </w:r>
          </w:p>
          <w:p>
            <w:pPr>
              <w:spacing w:line="360" w:lineRule="auto"/>
              <w:ind w:firstLine="480" w:firstLineChars="200"/>
              <w:rPr>
                <w:sz w:val="24"/>
              </w:rPr>
            </w:pPr>
            <w:r>
              <w:rPr>
                <w:sz w:val="24"/>
              </w:rPr>
              <w:t>①生活污水</w:t>
            </w:r>
          </w:p>
          <w:p>
            <w:pPr>
              <w:spacing w:line="360" w:lineRule="auto"/>
              <w:ind w:firstLine="480" w:firstLineChars="200"/>
              <w:rPr>
                <w:sz w:val="24"/>
              </w:rPr>
            </w:pPr>
            <w:r>
              <w:rPr>
                <w:sz w:val="24"/>
              </w:rPr>
              <w:t>生活污水经沉淀后用于厂区洒水抑尘。</w:t>
            </w:r>
          </w:p>
          <w:p>
            <w:pPr>
              <w:spacing w:line="360" w:lineRule="auto"/>
              <w:ind w:firstLine="480" w:firstLineChars="200"/>
              <w:rPr>
                <w:sz w:val="24"/>
              </w:rPr>
            </w:pPr>
            <w:r>
              <w:rPr>
                <w:sz w:val="24"/>
              </w:rPr>
              <w:t>②施工废水</w:t>
            </w:r>
          </w:p>
          <w:p>
            <w:pPr>
              <w:spacing w:line="360" w:lineRule="auto"/>
              <w:ind w:firstLine="480" w:firstLineChars="200"/>
              <w:rPr>
                <w:sz w:val="24"/>
              </w:rPr>
            </w:pPr>
            <w:r>
              <w:rPr>
                <w:sz w:val="24"/>
              </w:rPr>
              <w:t>施工废水主要为砂石料洗涤用水和设备冲洗排水等，悬浮物含量较高，悬浮物的主要成分为泥沙，施工单位应在施工场地设置简易沉淀池，施工废水经过沉淀后大部分回用于施工过程相应用水工序，剩余用于施工场地洒水抑尘</w:t>
            </w:r>
            <w:r>
              <w:rPr>
                <w:rFonts w:hint="eastAsia"/>
                <w:sz w:val="24"/>
              </w:rPr>
              <w:t>。</w:t>
            </w:r>
          </w:p>
          <w:p>
            <w:pPr>
              <w:spacing w:line="360" w:lineRule="auto"/>
              <w:ind w:firstLine="482" w:firstLineChars="200"/>
              <w:rPr>
                <w:b/>
                <w:bCs/>
                <w:sz w:val="24"/>
              </w:rPr>
            </w:pPr>
            <w:r>
              <w:rPr>
                <w:b/>
                <w:bCs/>
                <w:sz w:val="24"/>
              </w:rPr>
              <w:t>3、施工噪声</w:t>
            </w:r>
          </w:p>
          <w:p>
            <w:pPr>
              <w:spacing w:line="360" w:lineRule="auto"/>
              <w:ind w:firstLine="480" w:firstLineChars="200"/>
              <w:rPr>
                <w:sz w:val="24"/>
              </w:rPr>
            </w:pPr>
            <w:r>
              <w:rPr>
                <w:sz w:val="24"/>
              </w:rPr>
              <w:t>（1）施工机械噪声</w:t>
            </w:r>
          </w:p>
          <w:p>
            <w:pPr>
              <w:spacing w:line="360" w:lineRule="auto"/>
              <w:ind w:firstLine="480" w:firstLineChars="200"/>
              <w:rPr>
                <w:sz w:val="24"/>
              </w:rPr>
            </w:pPr>
            <w:r>
              <w:rPr>
                <w:sz w:val="24"/>
              </w:rPr>
              <w:t>站场施工主要是施工设备的噪声影响，施工设备对外声环境影响时段主要集中在设备安装，本项目环评建议采取以下措施确保施工噪声满足国家标准：</w:t>
            </w:r>
          </w:p>
          <w:p>
            <w:pPr>
              <w:spacing w:line="360" w:lineRule="auto"/>
              <w:ind w:firstLine="480" w:firstLineChars="200"/>
              <w:rPr>
                <w:sz w:val="24"/>
              </w:rPr>
            </w:pPr>
            <w:r>
              <w:rPr>
                <w:sz w:val="24"/>
              </w:rPr>
              <w:t>①选用低噪声设备，加强设备的维护与管理。可固定的机械设备安置在施工场地临时房间内，房屋内设吸声材料，降低噪声，使其向周围生活环境排放的建筑噪声符合国家规定的建筑施工场界噪声限值。</w:t>
            </w:r>
          </w:p>
          <w:p>
            <w:pPr>
              <w:spacing w:line="360" w:lineRule="auto"/>
              <w:ind w:firstLine="480" w:firstLineChars="200"/>
              <w:rPr>
                <w:sz w:val="24"/>
              </w:rPr>
            </w:pPr>
            <w:r>
              <w:rPr>
                <w:sz w:val="24"/>
              </w:rPr>
              <w:t>②现场施工人员要严加管理，拆卸模板时要防止模板互相撞击噪声扰民，要文明施工。</w:t>
            </w:r>
          </w:p>
          <w:p>
            <w:pPr>
              <w:spacing w:line="360" w:lineRule="auto"/>
              <w:ind w:firstLine="480" w:firstLineChars="200"/>
              <w:rPr>
                <w:sz w:val="24"/>
              </w:rPr>
            </w:pPr>
            <w:r>
              <w:rPr>
                <w:sz w:val="24"/>
              </w:rPr>
              <w:t>（2）运输车辆噪声影响</w:t>
            </w:r>
          </w:p>
          <w:p>
            <w:pPr>
              <w:spacing w:line="360" w:lineRule="auto"/>
              <w:ind w:firstLine="480" w:firstLineChars="200"/>
              <w:rPr>
                <w:sz w:val="24"/>
              </w:rPr>
            </w:pPr>
            <w:r>
              <w:rPr>
                <w:sz w:val="24"/>
              </w:rPr>
              <w:t>施工车辆进出施工场地对周围环境敏感点的影响可通过控制运输时间，路过村庄时减少鸣笛，降低车辆阻塞等方法减轻其影响。</w:t>
            </w:r>
          </w:p>
          <w:p>
            <w:pPr>
              <w:spacing w:line="360" w:lineRule="auto"/>
              <w:ind w:firstLine="482" w:firstLineChars="200"/>
              <w:rPr>
                <w:b/>
                <w:bCs/>
                <w:sz w:val="24"/>
              </w:rPr>
            </w:pPr>
            <w:r>
              <w:rPr>
                <w:b/>
                <w:bCs/>
                <w:sz w:val="24"/>
              </w:rPr>
              <w:t>4、固体废物</w:t>
            </w:r>
          </w:p>
          <w:p>
            <w:pPr>
              <w:spacing w:line="360" w:lineRule="auto"/>
              <w:ind w:firstLine="480" w:firstLineChars="200"/>
              <w:rPr>
                <w:sz w:val="24"/>
              </w:rPr>
            </w:pPr>
            <w:r>
              <w:rPr>
                <w:sz w:val="24"/>
              </w:rPr>
              <w:t>建筑垃圾：建筑施工过程产生的建筑垃圾应有计划堆放，尽量回收利用，可作场地内地基处理和低洼处回填、铺垫等使用，</w:t>
            </w:r>
            <w:r>
              <w:rPr>
                <w:rFonts w:hint="eastAsia"/>
                <w:sz w:val="24"/>
              </w:rPr>
              <w:t>拆迁产生的建筑垃圾和施工过程中</w:t>
            </w:r>
            <w:r>
              <w:rPr>
                <w:sz w:val="24"/>
              </w:rPr>
              <w:t>多余部分按当地城建、环卫部门和环境管理部门要求运往指定建筑垃圾堆放场集中处置。</w:t>
            </w:r>
          </w:p>
          <w:p>
            <w:pPr>
              <w:spacing w:after="240" w:line="360" w:lineRule="auto"/>
              <w:ind w:firstLine="480" w:firstLineChars="200"/>
              <w:rPr>
                <w:sz w:val="24"/>
              </w:rPr>
            </w:pPr>
            <w:r>
              <w:rPr>
                <w:sz w:val="24"/>
              </w:rPr>
              <w:t>生活垃圾：施工人员生活垃圾集中收集后，统一清运至指定垃圾收集点。</w:t>
            </w:r>
          </w:p>
          <w:p>
            <w:pPr>
              <w:pStyle w:val="2"/>
            </w:pPr>
          </w:p>
          <w:p>
            <w:pPr>
              <w:pStyle w:val="3"/>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tcMar>
              <w:left w:w="28" w:type="dxa"/>
              <w:right w:w="28" w:type="dxa"/>
            </w:tcMar>
            <w:vAlign w:val="center"/>
          </w:tcPr>
          <w:p>
            <w:pPr>
              <w:adjustRightInd w:val="0"/>
              <w:snapToGrid w:val="0"/>
              <w:jc w:val="center"/>
              <w:rPr>
                <w:b/>
                <w:szCs w:val="21"/>
              </w:rPr>
            </w:pPr>
            <w:r>
              <w:rPr>
                <w:b/>
                <w:szCs w:val="21"/>
              </w:rPr>
              <w:t>运营</w:t>
            </w:r>
          </w:p>
          <w:p>
            <w:pPr>
              <w:adjustRightInd w:val="0"/>
              <w:snapToGrid w:val="0"/>
              <w:jc w:val="center"/>
              <w:rPr>
                <w:b/>
                <w:szCs w:val="21"/>
              </w:rPr>
            </w:pPr>
            <w:r>
              <w:rPr>
                <w:b/>
                <w:szCs w:val="21"/>
              </w:rPr>
              <w:t>期环</w:t>
            </w:r>
          </w:p>
          <w:p>
            <w:pPr>
              <w:adjustRightInd w:val="0"/>
              <w:snapToGrid w:val="0"/>
              <w:jc w:val="center"/>
              <w:rPr>
                <w:b/>
                <w:szCs w:val="21"/>
              </w:rPr>
            </w:pPr>
            <w:r>
              <w:rPr>
                <w:b/>
                <w:szCs w:val="21"/>
              </w:rPr>
              <w:t>境影</w:t>
            </w:r>
          </w:p>
          <w:p>
            <w:pPr>
              <w:adjustRightInd w:val="0"/>
              <w:snapToGrid w:val="0"/>
              <w:jc w:val="center"/>
              <w:rPr>
                <w:b/>
                <w:szCs w:val="21"/>
              </w:rPr>
            </w:pPr>
            <w:r>
              <w:rPr>
                <w:b/>
                <w:szCs w:val="21"/>
              </w:rPr>
              <w:t>响和</w:t>
            </w:r>
          </w:p>
          <w:p>
            <w:pPr>
              <w:adjustRightInd w:val="0"/>
              <w:snapToGrid w:val="0"/>
              <w:jc w:val="center"/>
              <w:rPr>
                <w:b/>
                <w:szCs w:val="21"/>
              </w:rPr>
            </w:pPr>
            <w:r>
              <w:rPr>
                <w:b/>
                <w:szCs w:val="21"/>
              </w:rPr>
              <w:t>保护</w:t>
            </w:r>
          </w:p>
          <w:p>
            <w:pPr>
              <w:adjustRightInd w:val="0"/>
              <w:snapToGrid w:val="0"/>
              <w:jc w:val="center"/>
              <w:rPr>
                <w:bCs/>
                <w:szCs w:val="21"/>
              </w:rPr>
            </w:pPr>
            <w:r>
              <w:rPr>
                <w:b/>
                <w:szCs w:val="21"/>
              </w:rPr>
              <w:t>措施</w:t>
            </w:r>
          </w:p>
        </w:tc>
        <w:tc>
          <w:tcPr>
            <w:tcW w:w="8344" w:type="dxa"/>
            <w:vAlign w:val="center"/>
          </w:tcPr>
          <w:p>
            <w:pPr>
              <w:pStyle w:val="2"/>
              <w:spacing w:after="0" w:line="360" w:lineRule="auto"/>
              <w:ind w:left="0" w:leftChars="0" w:firstLine="482" w:firstLineChars="200"/>
              <w:rPr>
                <w:b/>
                <w:bCs/>
                <w:kern w:val="2"/>
                <w:szCs w:val="24"/>
              </w:rPr>
            </w:pPr>
            <w:r>
              <w:rPr>
                <w:b/>
                <w:bCs/>
                <w:kern w:val="2"/>
                <w:szCs w:val="24"/>
              </w:rPr>
              <w:t>1、大气环境影响和保护措施</w:t>
            </w:r>
          </w:p>
          <w:p>
            <w:pPr>
              <w:pStyle w:val="2"/>
              <w:spacing w:after="0" w:line="360" w:lineRule="auto"/>
              <w:ind w:left="0" w:leftChars="0" w:firstLine="482" w:firstLineChars="200"/>
              <w:rPr>
                <w:b/>
                <w:bCs/>
                <w:kern w:val="2"/>
                <w:szCs w:val="24"/>
              </w:rPr>
            </w:pPr>
            <w:r>
              <w:rPr>
                <w:b/>
                <w:bCs/>
                <w:kern w:val="2"/>
                <w:szCs w:val="24"/>
              </w:rPr>
              <w:t>（1）污染工序及源强分析</w:t>
            </w:r>
          </w:p>
          <w:p>
            <w:pPr>
              <w:pStyle w:val="108"/>
              <w:tabs>
                <w:tab w:val="left" w:pos="420"/>
              </w:tabs>
              <w:adjustRightInd/>
              <w:snapToGrid/>
              <w:ind w:firstLine="482"/>
              <w:rPr>
                <w:b/>
                <w:bCs/>
                <w:kern w:val="2"/>
              </w:rPr>
            </w:pPr>
            <w:r>
              <w:rPr>
                <w:rFonts w:hint="eastAsia"/>
                <w:b/>
                <w:bCs/>
                <w:kern w:val="2"/>
              </w:rPr>
              <w:t>①</w:t>
            </w:r>
            <w:r>
              <w:rPr>
                <w:rFonts w:hint="eastAsia"/>
                <w:b/>
                <w:bCs/>
              </w:rPr>
              <w:t>熔炼烟气</w:t>
            </w:r>
          </w:p>
          <w:p>
            <w:pPr>
              <w:spacing w:line="360" w:lineRule="auto"/>
              <w:ind w:firstLine="480" w:firstLineChars="200"/>
              <w:rPr>
                <w:sz w:val="24"/>
              </w:rPr>
            </w:pPr>
            <w:r>
              <w:rPr>
                <w:rFonts w:hint="eastAsia"/>
                <w:sz w:val="24"/>
              </w:rPr>
              <w:t>根据《矿物棉工业大气污染物排放标准（征求意见稿）》编制说明，岩棉生产过程中的大气污染物主要为熔制烟气，具体污染物及产生来源如下表所示。</w:t>
            </w:r>
          </w:p>
          <w:p>
            <w:pPr>
              <w:widowControl/>
              <w:ind w:firstLine="422" w:firstLineChars="200"/>
              <w:jc w:val="center"/>
              <w:rPr>
                <w:b/>
                <w:bCs/>
                <w:szCs w:val="21"/>
              </w:rPr>
            </w:pPr>
            <w:r>
              <w:rPr>
                <w:rFonts w:hint="eastAsia"/>
                <w:b/>
                <w:bCs/>
                <w:szCs w:val="21"/>
              </w:rPr>
              <w:t>表</w:t>
            </w:r>
            <w:r>
              <w:rPr>
                <w:b/>
                <w:bCs/>
                <w:szCs w:val="21"/>
              </w:rPr>
              <w:t>4-1</w:t>
            </w:r>
            <w:r>
              <w:rPr>
                <w:rFonts w:hint="eastAsia"/>
                <w:b/>
                <w:bCs/>
                <w:szCs w:val="21"/>
              </w:rPr>
              <w:t xml:space="preserve">  熔制过程产生的大气污染物一览表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413"/>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4" w:type="pct"/>
                  <w:vAlign w:val="center"/>
                </w:tcPr>
                <w:p>
                  <w:pPr>
                    <w:jc w:val="center"/>
                  </w:pPr>
                  <w:r>
                    <w:rPr>
                      <w:rFonts w:hint="eastAsia"/>
                    </w:rPr>
                    <w:t>序号</w:t>
                  </w:r>
                </w:p>
              </w:tc>
              <w:tc>
                <w:tcPr>
                  <w:tcW w:w="870" w:type="pct"/>
                  <w:vAlign w:val="center"/>
                </w:tcPr>
                <w:p>
                  <w:pPr>
                    <w:jc w:val="center"/>
                  </w:pPr>
                  <w:r>
                    <w:rPr>
                      <w:rFonts w:hint="eastAsia"/>
                    </w:rPr>
                    <w:t>污染源</w:t>
                  </w:r>
                </w:p>
              </w:tc>
              <w:tc>
                <w:tcPr>
                  <w:tcW w:w="3566" w:type="pct"/>
                  <w:vAlign w:val="center"/>
                </w:tcPr>
                <w:p>
                  <w:pPr>
                    <w:jc w:val="center"/>
                  </w:pPr>
                  <w:r>
                    <w:rPr>
                      <w:rFonts w:hint="eastAsia"/>
                    </w:rPr>
                    <w:t>产生来源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4" w:type="pct"/>
                  <w:vAlign w:val="center"/>
                </w:tcPr>
                <w:p>
                  <w:pPr>
                    <w:jc w:val="center"/>
                  </w:pPr>
                  <w:r>
                    <w:rPr>
                      <w:rFonts w:hint="eastAsia"/>
                    </w:rPr>
                    <w:t>1</w:t>
                  </w:r>
                </w:p>
              </w:tc>
              <w:tc>
                <w:tcPr>
                  <w:tcW w:w="870" w:type="pct"/>
                  <w:vAlign w:val="center"/>
                </w:tcPr>
                <w:p>
                  <w:pPr>
                    <w:jc w:val="center"/>
                  </w:pPr>
                  <w:r>
                    <w:rPr>
                      <w:rFonts w:hint="eastAsia"/>
                    </w:rPr>
                    <w:t>烟尘</w:t>
                  </w:r>
                </w:p>
              </w:tc>
              <w:tc>
                <w:tcPr>
                  <w:tcW w:w="3566" w:type="pct"/>
                  <w:vAlign w:val="center"/>
                </w:tcPr>
                <w:p>
                  <w:pPr>
                    <w:autoSpaceDE w:val="0"/>
                    <w:autoSpaceDN w:val="0"/>
                    <w:adjustRightInd w:val="0"/>
                    <w:jc w:val="left"/>
                  </w:pPr>
                  <w:r>
                    <w:rPr>
                      <w:rFonts w:hint="eastAsia"/>
                    </w:rPr>
                    <w:t>加料时部分原料飞散产生的颗粒物；</w:t>
                  </w:r>
                </w:p>
                <w:p>
                  <w:pPr>
                    <w:autoSpaceDE w:val="0"/>
                    <w:autoSpaceDN w:val="0"/>
                    <w:adjustRightInd w:val="0"/>
                    <w:jc w:val="left"/>
                  </w:pPr>
                  <w:r>
                    <w:rPr>
                      <w:rFonts w:hint="eastAsia"/>
                    </w:rPr>
                    <w:t>挥发性物质高温挥发后冷凝生成的烟尘。</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4" w:type="pct"/>
                  <w:vAlign w:val="center"/>
                </w:tcPr>
                <w:p>
                  <w:pPr>
                    <w:jc w:val="center"/>
                  </w:pPr>
                  <w:r>
                    <w:rPr>
                      <w:rFonts w:hint="eastAsia"/>
                    </w:rPr>
                    <w:t>2</w:t>
                  </w:r>
                </w:p>
              </w:tc>
              <w:tc>
                <w:tcPr>
                  <w:tcW w:w="870" w:type="pct"/>
                  <w:vAlign w:val="center"/>
                </w:tcPr>
                <w:p>
                  <w:pPr>
                    <w:jc w:val="center"/>
                  </w:pPr>
                  <w:r>
                    <w:rPr>
                      <w:rFonts w:hint="eastAsia"/>
                    </w:rPr>
                    <w:t>N</w:t>
                  </w:r>
                  <w:r>
                    <w:t>O</w:t>
                  </w:r>
                  <w:r>
                    <w:rPr>
                      <w:vertAlign w:val="subscript"/>
                    </w:rPr>
                    <w:t>X</w:t>
                  </w:r>
                </w:p>
              </w:tc>
              <w:tc>
                <w:tcPr>
                  <w:tcW w:w="3566" w:type="pct"/>
                  <w:vAlign w:val="center"/>
                </w:tcPr>
                <w:p>
                  <w:pPr>
                    <w:autoSpaceDE w:val="0"/>
                    <w:autoSpaceDN w:val="0"/>
                    <w:adjustRightInd w:val="0"/>
                    <w:jc w:val="left"/>
                  </w:pPr>
                  <w:r>
                    <w:rPr>
                      <w:rFonts w:hint="eastAsia"/>
                    </w:rPr>
                    <w:t>高温条件下，空气中氮与氧气反应生成的热</w:t>
                  </w:r>
                  <w:r>
                    <w:t>NOx</w:t>
                  </w:r>
                  <w:r>
                    <w:rPr>
                      <w:rFonts w:hint="eastAsia"/>
                    </w:rPr>
                    <w:t>；</w:t>
                  </w:r>
                </w:p>
                <w:p>
                  <w:pPr>
                    <w:jc w:val="left"/>
                  </w:pPr>
                  <w:r>
                    <w:rPr>
                      <w:rFonts w:hint="eastAsia"/>
                    </w:rPr>
                    <w:t>原料中硝酸盐热分解产生</w:t>
                  </w:r>
                  <w: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4" w:type="pct"/>
                  <w:vAlign w:val="center"/>
                </w:tcPr>
                <w:p>
                  <w:pPr>
                    <w:jc w:val="center"/>
                  </w:pPr>
                  <w:r>
                    <w:rPr>
                      <w:rFonts w:hint="eastAsia"/>
                    </w:rPr>
                    <w:t>3</w:t>
                  </w:r>
                </w:p>
              </w:tc>
              <w:tc>
                <w:tcPr>
                  <w:tcW w:w="870" w:type="pct"/>
                  <w:vAlign w:val="center"/>
                </w:tcPr>
                <w:p>
                  <w:pPr>
                    <w:jc w:val="center"/>
                  </w:pPr>
                  <w:r>
                    <w:t>SO</w:t>
                  </w:r>
                  <w:r>
                    <w:rPr>
                      <w:vertAlign w:val="subscript"/>
                    </w:rPr>
                    <w:t>2</w:t>
                  </w:r>
                </w:p>
              </w:tc>
              <w:tc>
                <w:tcPr>
                  <w:tcW w:w="3566" w:type="pct"/>
                  <w:vAlign w:val="center"/>
                </w:tcPr>
                <w:p>
                  <w:pPr>
                    <w:jc w:val="left"/>
                  </w:pPr>
                  <w:r>
                    <w:rPr>
                      <w:rFonts w:hint="eastAsia"/>
                    </w:rPr>
                    <w:t>含硫原料分解产生的硫氧化物。</w:t>
                  </w:r>
                </w:p>
              </w:tc>
            </w:tr>
          </w:tbl>
          <w:p>
            <w:pPr>
              <w:spacing w:line="360" w:lineRule="auto"/>
              <w:ind w:firstLine="480" w:firstLineChars="200"/>
              <w:rPr>
                <w:sz w:val="24"/>
              </w:rPr>
            </w:pPr>
            <w:r>
              <w:rPr>
                <w:rFonts w:hint="eastAsia"/>
                <w:sz w:val="24"/>
              </w:rPr>
              <w:t>项目采用密闭全电熔池窑，采用电加热，由于玄武岩原料中不含硝酸盐、硫份等杂质，因此烟气中无SO</w:t>
            </w:r>
            <w:r>
              <w:rPr>
                <w:rFonts w:hint="eastAsia"/>
                <w:sz w:val="24"/>
                <w:vertAlign w:val="subscript"/>
              </w:rPr>
              <w:t>2</w:t>
            </w:r>
            <w:r>
              <w:rPr>
                <w:rFonts w:hint="eastAsia"/>
                <w:sz w:val="24"/>
              </w:rPr>
              <w:t>产生，熔炼过程中产生的废气污染物为烟尘，池窑中易挥发物质（部分金属氧化物，如 Na</w:t>
            </w:r>
            <w:r>
              <w:rPr>
                <w:rFonts w:hint="eastAsia"/>
                <w:sz w:val="24"/>
                <w:vertAlign w:val="subscript"/>
              </w:rPr>
              <w:t>2</w:t>
            </w:r>
            <w:r>
              <w:rPr>
                <w:rFonts w:hint="eastAsia"/>
                <w:sz w:val="24"/>
              </w:rPr>
              <w:t>O）高温挥发后冷凝成烟尘， NOx产生来源主要为热NOx，热力型NOx 的生成机理由Zeldovich 于1964 年提出，其生成是在高温下由氧原子撞击氮分子而发生下列</w:t>
            </w:r>
            <w:r>
              <w:rPr>
                <w:rFonts w:hint="eastAsia" w:ascii="宋体" w:hAnsi="宋体"/>
                <w:sz w:val="24"/>
              </w:rPr>
              <w:t>链式反应的结果：</w:t>
            </w:r>
          </w:p>
          <w:p>
            <w:pPr>
              <w:spacing w:line="360" w:lineRule="auto"/>
              <w:jc w:val="center"/>
            </w:pPr>
            <w:r>
              <w:drawing>
                <wp:inline distT="0" distB="0" distL="114300" distR="114300">
                  <wp:extent cx="1038225" cy="390525"/>
                  <wp:effectExtent l="0" t="0" r="9525" b="9525"/>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pic:cNvPicPr>
                            <a:picLocks noChangeAspect="1"/>
                          </pic:cNvPicPr>
                        </pic:nvPicPr>
                        <pic:blipFill>
                          <a:blip r:embed="rId13"/>
                          <a:stretch>
                            <a:fillRect/>
                          </a:stretch>
                        </pic:blipFill>
                        <pic:spPr>
                          <a:xfrm>
                            <a:off x="0" y="0"/>
                            <a:ext cx="1038225" cy="390525"/>
                          </a:xfrm>
                          <a:prstGeom prst="rect">
                            <a:avLst/>
                          </a:prstGeom>
                          <a:noFill/>
                          <a:ln>
                            <a:noFill/>
                          </a:ln>
                        </pic:spPr>
                      </pic:pic>
                    </a:graphicData>
                  </a:graphic>
                </wp:inline>
              </w:drawing>
            </w:r>
          </w:p>
          <w:p>
            <w:pPr>
              <w:spacing w:line="360" w:lineRule="auto"/>
              <w:ind w:firstLine="480" w:firstLineChars="200"/>
              <w:rPr>
                <w:sz w:val="24"/>
                <w:szCs w:val="32"/>
              </w:rPr>
            </w:pPr>
            <w:r>
              <w:rPr>
                <w:rFonts w:hint="eastAsia"/>
                <w:sz w:val="24"/>
                <w:szCs w:val="32"/>
              </w:rPr>
              <w:t>其中，第一式起主导控制作用，而该式的反应条件是温度高于1500℃，所以NOx 的生成与温度有关。热力型NOx 的生成和温度关系很大，在温度足够高时，热力型NOx 的生成量可占到NOx 总量的30%，随着反应温度T 的升高，其反应速率按指数规律增加。当T&lt;1400℃时NOx 的生成量不大，而当T&gt;1400℃时T 每增加100℃，反应速率增大6-7倍。由此而得到控制热力NOx 生成量的方法概括为：降低燃烧温度水平，避免局部高温；降低氧气浓度。本项目熔炉温度约1400~1450℃，在生产过程中熔炉密闭性是确保正常生产的必要性，工作过程中产生的NOx 量小。参照《矿物棉工业污染物排放标准（征求意见稿）》编制说明，由于电熔炉没有燃料燃烧，NOx产生量较少，不作为电熔炉的控制因子，可忽略不计。</w:t>
            </w:r>
          </w:p>
          <w:p>
            <w:pPr>
              <w:spacing w:line="360" w:lineRule="auto"/>
              <w:ind w:firstLine="480" w:firstLineChars="200"/>
              <w:rPr>
                <w:sz w:val="24"/>
              </w:rPr>
            </w:pPr>
            <w:r>
              <w:rPr>
                <w:rFonts w:hint="eastAsia"/>
                <w:sz w:val="24"/>
              </w:rPr>
              <w:t>本项目池窑温度约 1400~1450℃，在耐火材料吸收部分热量后，烟气温度已经自然冷却到500 度左右，进入集气罩废气收集系统后的温度自然冷却到200℃以下。由于需要安装铂铑合金探针，颗粒物无法由烟道直接排放，在烟道口上方设置集气罩，经高温布袋除尘器处理后排放。类比《排放源统计调查产排污核算方法和系数手册》第七分册：3061 玻璃纤维及其制品制造行业系数表类产污系数，烟尘的产生量为 0.</w:t>
            </w:r>
            <w:r>
              <w:rPr>
                <w:sz w:val="24"/>
              </w:rPr>
              <w:t>44</w:t>
            </w:r>
            <w:r>
              <w:rPr>
                <w:rFonts w:hint="eastAsia"/>
                <w:sz w:val="24"/>
              </w:rPr>
              <w:t>kg/t，则窑炉烟尘产生量为</w:t>
            </w:r>
            <w:r>
              <w:rPr>
                <w:sz w:val="24"/>
              </w:rPr>
              <w:t>6.6</w:t>
            </w:r>
            <w:r>
              <w:rPr>
                <w:rFonts w:hint="eastAsia"/>
                <w:sz w:val="24"/>
              </w:rPr>
              <w:t>t/a。</w:t>
            </w:r>
          </w:p>
          <w:p>
            <w:pPr>
              <w:adjustRightInd w:val="0"/>
              <w:snapToGrid w:val="0"/>
              <w:spacing w:line="360" w:lineRule="auto"/>
              <w:jc w:val="center"/>
            </w:pPr>
            <w:r>
              <w:drawing>
                <wp:inline distT="0" distB="0" distL="114300" distR="114300">
                  <wp:extent cx="4191000" cy="3552825"/>
                  <wp:effectExtent l="0" t="0" r="0" b="9525"/>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pic:cNvPicPr>
                        </pic:nvPicPr>
                        <pic:blipFill>
                          <a:blip r:embed="rId14"/>
                          <a:stretch>
                            <a:fillRect/>
                          </a:stretch>
                        </pic:blipFill>
                        <pic:spPr>
                          <a:xfrm>
                            <a:off x="0" y="0"/>
                            <a:ext cx="4191000" cy="3552825"/>
                          </a:xfrm>
                          <a:prstGeom prst="rect">
                            <a:avLst/>
                          </a:prstGeom>
                          <a:noFill/>
                          <a:ln>
                            <a:noFill/>
                          </a:ln>
                        </pic:spPr>
                      </pic:pic>
                    </a:graphicData>
                  </a:graphic>
                </wp:inline>
              </w:drawing>
            </w:r>
          </w:p>
          <w:p>
            <w:pPr>
              <w:adjustRightInd w:val="0"/>
              <w:snapToGrid w:val="0"/>
              <w:spacing w:line="360" w:lineRule="auto"/>
              <w:jc w:val="center"/>
            </w:pPr>
            <w:r>
              <w:rPr>
                <w:rFonts w:hint="eastAsia"/>
                <w:b/>
                <w:bCs/>
              </w:rPr>
              <w:t>图2-2 池窑废气</w:t>
            </w:r>
            <w:r>
              <w:rPr>
                <w:rFonts w:hint="eastAsia" w:ascii="宋体" w:hAnsi="宋体"/>
                <w:b/>
                <w:bCs/>
              </w:rPr>
              <w:t>集气罩设置情况示意图</w:t>
            </w:r>
          </w:p>
          <w:p>
            <w:pPr>
              <w:spacing w:line="360" w:lineRule="auto"/>
              <w:ind w:firstLine="480" w:firstLineChars="200"/>
              <w:rPr>
                <w:sz w:val="24"/>
              </w:rPr>
            </w:pPr>
            <w:r>
              <w:rPr>
                <w:rFonts w:hint="eastAsia"/>
                <w:sz w:val="24"/>
              </w:rPr>
              <w:t>由于池窑烟道口需要安装铂铑合金探针，颗粒物无法由烟道直接排放，在烟道口上方设置集气罩，2座拉丝车间共设5条池窑生产线，废气通过管道收集后经1套高温布袋除尘器除尘处理后经 1</w:t>
            </w:r>
            <w:r>
              <w:rPr>
                <w:sz w:val="24"/>
              </w:rPr>
              <w:t>5</w:t>
            </w:r>
            <w:r>
              <w:rPr>
                <w:rFonts w:hint="eastAsia"/>
                <w:sz w:val="24"/>
              </w:rPr>
              <w:t>m高排气筒（DA00</w:t>
            </w:r>
            <w:r>
              <w:rPr>
                <w:sz w:val="24"/>
              </w:rPr>
              <w:t>1</w:t>
            </w:r>
            <w:r>
              <w:rPr>
                <w:rFonts w:hint="eastAsia"/>
                <w:sz w:val="24"/>
              </w:rPr>
              <w:t>）排放，根据建设单位提供资料，风机风量约为 10000m</w:t>
            </w:r>
            <w:r>
              <w:rPr>
                <w:rFonts w:hint="eastAsia"/>
                <w:sz w:val="24"/>
                <w:vertAlign w:val="superscript"/>
              </w:rPr>
              <w:t>3</w:t>
            </w:r>
            <w:r>
              <w:rPr>
                <w:rFonts w:hint="eastAsia"/>
                <w:sz w:val="24"/>
              </w:rPr>
              <w:t>/h，年运行时间为 7920h，废气收集率按 95%计，除尘效率按 99</w:t>
            </w:r>
            <w:r>
              <w:rPr>
                <w:sz w:val="24"/>
              </w:rPr>
              <w:t>.5</w:t>
            </w:r>
            <w:r>
              <w:rPr>
                <w:rFonts w:hint="eastAsia"/>
                <w:sz w:val="24"/>
              </w:rPr>
              <w:t>%计，则有组织排放量为 0.</w:t>
            </w:r>
            <w:r>
              <w:rPr>
                <w:sz w:val="24"/>
              </w:rPr>
              <w:t>031</w:t>
            </w:r>
            <w:r>
              <w:rPr>
                <w:rFonts w:hint="eastAsia"/>
                <w:sz w:val="24"/>
              </w:rPr>
              <w:t>t/a，排放速率为</w:t>
            </w:r>
            <w:r>
              <w:rPr>
                <w:sz w:val="24"/>
              </w:rPr>
              <w:t>0.00</w:t>
            </w:r>
            <w:r>
              <w:rPr>
                <w:rFonts w:hint="eastAsia"/>
                <w:sz w:val="24"/>
              </w:rPr>
              <w:t>4kg/h，排放浓度为</w:t>
            </w:r>
            <w:r>
              <w:rPr>
                <w:sz w:val="24"/>
              </w:rPr>
              <w:t>6</w:t>
            </w:r>
            <w:r>
              <w:rPr>
                <w:rFonts w:hint="eastAsia"/>
                <w:sz w:val="24"/>
              </w:rPr>
              <w:t>mg/m³；无组织粉尘产生量为</w:t>
            </w:r>
            <w:r>
              <w:rPr>
                <w:sz w:val="24"/>
              </w:rPr>
              <w:t>0.33</w:t>
            </w:r>
            <w:r>
              <w:rPr>
                <w:rFonts w:hint="eastAsia"/>
                <w:sz w:val="24"/>
              </w:rPr>
              <w:t>t/a，采用全封闭车间阻隔后，无组织粉尘排放可减少6</w:t>
            </w:r>
            <w:r>
              <w:rPr>
                <w:sz w:val="24"/>
              </w:rPr>
              <w:t>0%</w:t>
            </w:r>
            <w:r>
              <w:rPr>
                <w:rFonts w:hint="eastAsia"/>
                <w:sz w:val="24"/>
              </w:rPr>
              <w:t>，排放量为</w:t>
            </w:r>
            <w:r>
              <w:rPr>
                <w:sz w:val="24"/>
              </w:rPr>
              <w:t>0.132</w:t>
            </w:r>
            <w:r>
              <w:rPr>
                <w:rFonts w:hint="eastAsia"/>
                <w:sz w:val="24"/>
              </w:rPr>
              <w:t>t/a。</w:t>
            </w:r>
          </w:p>
          <w:p>
            <w:pPr>
              <w:spacing w:line="360" w:lineRule="auto"/>
              <w:ind w:firstLine="480" w:firstLineChars="200"/>
              <w:rPr>
                <w:rFonts w:ascii="宋体" w:hAnsi="宋体" w:cs="宋体"/>
                <w:b/>
                <w:bCs/>
              </w:rPr>
            </w:pPr>
            <w:r>
              <w:rPr>
                <w:rFonts w:hint="eastAsia"/>
                <w:sz w:val="24"/>
              </w:rPr>
              <w:t>池窑烟尘废气经处理后能够满足《矿物棉工业大气污染物排放标准》（GB 41617-2022）。同时，可以满足《工业炉窑大气污染综合治理方案》和《陕西省工业炉窑大气污染综合治理实施方案》要求对炉窑采用密闭处理，并配备了袋式除尘器的要求。</w:t>
            </w:r>
            <w:r>
              <w:rPr>
                <w:rFonts w:hint="eastAsia"/>
                <w:sz w:val="24"/>
              </w:rPr>
              <w:cr/>
            </w:r>
            <w:r>
              <w:rPr>
                <w:sz w:val="24"/>
              </w:rPr>
              <w:t xml:space="preserve">    </w:t>
            </w:r>
            <w:r>
              <w:rPr>
                <w:rFonts w:hint="eastAsia" w:ascii="宋体" w:hAnsi="宋体" w:cs="宋体"/>
                <w:b/>
                <w:bCs/>
                <w:sz w:val="24"/>
              </w:rPr>
              <w:t>②</w:t>
            </w:r>
            <w:bookmarkStart w:id="31" w:name="_Toc10310"/>
            <w:bookmarkStart w:id="32" w:name="_Toc21127"/>
            <w:bookmarkStart w:id="33" w:name="_Toc10364"/>
            <w:bookmarkStart w:id="34" w:name="_Toc32497"/>
            <w:bookmarkStart w:id="35" w:name="_Toc10446"/>
            <w:bookmarkStart w:id="36" w:name="_Toc6635"/>
            <w:r>
              <w:rPr>
                <w:rFonts w:hint="eastAsia" w:ascii="宋体" w:hAnsi="宋体" w:cs="宋体"/>
                <w:b/>
                <w:bCs/>
                <w:sz w:val="24"/>
              </w:rPr>
              <w:t>烘干有机废气</w:t>
            </w:r>
          </w:p>
          <w:p>
            <w:pPr>
              <w:spacing w:line="360" w:lineRule="auto"/>
              <w:ind w:firstLine="480" w:firstLineChars="200"/>
              <w:rPr>
                <w:bCs/>
                <w:sz w:val="24"/>
              </w:rPr>
            </w:pPr>
            <w:r>
              <w:rPr>
                <w:sz w:val="24"/>
                <w:lang w:bidi="zh-CN"/>
              </w:rPr>
              <w:t>原丝经过辊敷浸润剂后，绝大多数浸润剂固体成分黏附于原丝表面。而黏附于原丝上的浸润剂，在烘干环节，</w:t>
            </w:r>
            <w:r>
              <w:rPr>
                <w:rFonts w:hint="eastAsia"/>
                <w:sz w:val="24"/>
                <w:lang w:bidi="zh-CN"/>
              </w:rPr>
              <w:t>部分</w:t>
            </w:r>
            <w:r>
              <w:rPr>
                <w:sz w:val="24"/>
                <w:lang w:bidi="zh-CN"/>
              </w:rPr>
              <w:t>浸润剂固体分挥发</w:t>
            </w:r>
            <w:r>
              <w:rPr>
                <w:rFonts w:hint="eastAsia"/>
                <w:sz w:val="24"/>
                <w:lang w:bidi="zh-CN"/>
              </w:rPr>
              <w:t>，以非甲烷总烃计。</w:t>
            </w:r>
            <w:r>
              <w:rPr>
                <w:rFonts w:hint="eastAsia"/>
                <w:bCs/>
                <w:sz w:val="24"/>
              </w:rPr>
              <w:t>项目所用浸润剂属于水基型胶粘剂，烘干采用电烘箱，烘干温度1</w:t>
            </w:r>
            <w:r>
              <w:rPr>
                <w:bCs/>
                <w:sz w:val="24"/>
              </w:rPr>
              <w:t>20℃，</w:t>
            </w:r>
            <w:r>
              <w:rPr>
                <w:rFonts w:hint="eastAsia"/>
                <w:sz w:val="24"/>
                <w:lang w:bidi="zh-CN"/>
              </w:rPr>
              <w:t>类比《郑州登电玄武石纤有限公司年产3万吨玄武岩连续纤维项目环境影响报告表》中的产污系数</w:t>
            </w:r>
            <w:r>
              <w:rPr>
                <w:sz w:val="24"/>
                <w:lang w:bidi="zh-CN"/>
              </w:rPr>
              <w:t>，约0.4%的浸润剂固体分挥发，</w:t>
            </w:r>
            <w:r>
              <w:rPr>
                <w:rFonts w:hint="eastAsia"/>
                <w:sz w:val="24"/>
                <w:lang w:bidi="zh-CN"/>
              </w:rPr>
              <w:t>项目浸润剂使用量为45t/a，则</w:t>
            </w:r>
            <w:r>
              <w:rPr>
                <w:rFonts w:hint="eastAsia"/>
                <w:sz w:val="24"/>
              </w:rPr>
              <w:t>烘干工序</w:t>
            </w:r>
            <w:r>
              <w:rPr>
                <w:sz w:val="24"/>
              </w:rPr>
              <w:t>非甲烷总烃</w:t>
            </w:r>
            <w:r>
              <w:rPr>
                <w:rFonts w:hint="eastAsia"/>
                <w:sz w:val="24"/>
              </w:rPr>
              <w:t>产生量</w:t>
            </w:r>
            <w:r>
              <w:rPr>
                <w:sz w:val="24"/>
              </w:rPr>
              <w:t>约为</w:t>
            </w:r>
            <w:r>
              <w:rPr>
                <w:rFonts w:hint="eastAsia"/>
                <w:sz w:val="24"/>
              </w:rPr>
              <w:t>0.18</w:t>
            </w:r>
            <w:r>
              <w:rPr>
                <w:rFonts w:hint="eastAsia"/>
                <w:bCs/>
                <w:sz w:val="24"/>
              </w:rPr>
              <w:t>t/a。</w:t>
            </w:r>
          </w:p>
          <w:p>
            <w:pPr>
              <w:spacing w:line="360" w:lineRule="auto"/>
              <w:ind w:firstLine="480" w:firstLineChars="200"/>
              <w:rPr>
                <w:sz w:val="24"/>
              </w:rPr>
            </w:pPr>
            <w:r>
              <w:rPr>
                <w:rFonts w:hint="eastAsia"/>
                <w:bCs/>
                <w:sz w:val="24"/>
              </w:rPr>
              <w:t>项目采用电烘箱进行烘干，</w:t>
            </w:r>
            <w:r>
              <w:rPr>
                <w:rFonts w:hint="eastAsia"/>
                <w:sz w:val="24"/>
              </w:rPr>
              <w:t>2座烘干车间共设20条烘干箱生产线，</w:t>
            </w:r>
            <w:r>
              <w:rPr>
                <w:rFonts w:ascii="宋体" w:hAnsi="宋体" w:cs="宋体"/>
                <w:spacing w:val="-2"/>
                <w:sz w:val="24"/>
              </w:rPr>
              <w:t>对每台烘箱出气口采用风管密闭连接，</w:t>
            </w:r>
            <w:r>
              <w:rPr>
                <w:rFonts w:hint="eastAsia"/>
                <w:bCs/>
                <w:sz w:val="24"/>
              </w:rPr>
              <w:t>再将20台烘箱收集废气引至两级活性炭吸附装置（每级活性炭吸附效率约50%，两级活性炭吸附效率约75%）处理后由1</w:t>
            </w:r>
            <w:r>
              <w:rPr>
                <w:bCs/>
                <w:sz w:val="24"/>
              </w:rPr>
              <w:t>5</w:t>
            </w:r>
            <w:r>
              <w:rPr>
                <w:rFonts w:hint="eastAsia"/>
                <w:bCs/>
                <w:sz w:val="24"/>
              </w:rPr>
              <w:t>m 高排气筒（DA00</w:t>
            </w:r>
            <w:r>
              <w:rPr>
                <w:bCs/>
                <w:sz w:val="24"/>
              </w:rPr>
              <w:t>2</w:t>
            </w:r>
            <w:r>
              <w:rPr>
                <w:rFonts w:hint="eastAsia"/>
                <w:bCs/>
                <w:sz w:val="24"/>
              </w:rPr>
              <w:t>）排放。根据建设单位提供资料，风机风量为10000m³/h，</w:t>
            </w:r>
            <w:r>
              <w:rPr>
                <w:rFonts w:hint="eastAsia"/>
                <w:sz w:val="24"/>
              </w:rPr>
              <w:t>年运行时间为7920h</w:t>
            </w:r>
            <w:r>
              <w:rPr>
                <w:rFonts w:hint="eastAsia"/>
                <w:bCs/>
                <w:sz w:val="24"/>
              </w:rPr>
              <w:t>。电烘箱间歇式加热，间歇式排气，经过自然降温的废气能够避免温度过高对吸附剂冲击影响。烘干废气经过密闭收集后处理排放，收集率按 95%计，项目烘干工序有组织非甲烷总烃排放量约为0.043t/a，排放速率为0.005kg/h，排放浓度为0.5mg/m</w:t>
            </w:r>
            <w:r>
              <w:rPr>
                <w:rFonts w:hint="eastAsia"/>
                <w:bCs/>
                <w:sz w:val="24"/>
                <w:vertAlign w:val="superscript"/>
              </w:rPr>
              <w:t>3</w:t>
            </w:r>
            <w:r>
              <w:rPr>
                <w:rFonts w:hint="eastAsia"/>
                <w:bCs/>
                <w:sz w:val="24"/>
              </w:rPr>
              <w:t>，无组织排放量为0.009t/a。</w:t>
            </w:r>
            <w:r>
              <w:rPr>
                <w:rFonts w:hint="eastAsia"/>
                <w:sz w:val="24"/>
              </w:rPr>
              <w:t>非甲烷总烃排放浓度可以满足《矿物棉工业大气污染物排放标准》（GB 41617-2022）标准限值要求</w:t>
            </w:r>
            <w:r>
              <w:rPr>
                <w:sz w:val="24"/>
              </w:rPr>
              <w:t>。</w:t>
            </w:r>
          </w:p>
          <w:bookmarkEnd w:id="31"/>
          <w:bookmarkEnd w:id="32"/>
          <w:bookmarkEnd w:id="33"/>
          <w:p>
            <w:pPr>
              <w:pStyle w:val="4"/>
              <w:adjustRightInd/>
              <w:snapToGrid/>
              <w:spacing w:line="360" w:lineRule="auto"/>
              <w:ind w:firstLine="422" w:firstLineChars="200"/>
              <w:jc w:val="both"/>
              <w:rPr>
                <w:rFonts w:ascii="Times New Roman" w:eastAsia="宋体"/>
                <w:b/>
                <w:bCs/>
                <w:color w:val="auto"/>
                <w:sz w:val="24"/>
              </w:rPr>
            </w:pPr>
            <w:bookmarkStart w:id="37" w:name="_Toc184"/>
            <w:r>
              <w:rPr>
                <w:rFonts w:hint="eastAsia" w:ascii="宋体" w:hAnsi="宋体" w:cs="宋体"/>
                <w:b/>
                <w:bCs/>
                <w:color w:val="auto"/>
              </w:rPr>
              <w:t>③</w:t>
            </w:r>
            <w:bookmarkEnd w:id="37"/>
            <w:r>
              <w:rPr>
                <w:rFonts w:hint="eastAsia" w:ascii="Times New Roman" w:eastAsia="宋体"/>
                <w:b/>
                <w:bCs/>
                <w:color w:val="auto"/>
                <w:sz w:val="24"/>
              </w:rPr>
              <w:t>固化有机废气</w:t>
            </w:r>
          </w:p>
          <w:p>
            <w:pPr>
              <w:tabs>
                <w:tab w:val="left" w:pos="12180"/>
              </w:tabs>
              <w:spacing w:line="360" w:lineRule="auto"/>
              <w:ind w:firstLine="480" w:firstLineChars="200"/>
              <w:rPr>
                <w:bCs/>
                <w:sz w:val="24"/>
              </w:rPr>
            </w:pPr>
            <w:r>
              <w:rPr>
                <w:rFonts w:hint="eastAsia"/>
                <w:bCs/>
                <w:sz w:val="24"/>
              </w:rPr>
              <w:t>项目拉挤型材</w:t>
            </w:r>
            <w:r>
              <w:rPr>
                <w:rFonts w:hint="eastAsia"/>
                <w:sz w:val="24"/>
              </w:rPr>
              <w:t>生产线</w:t>
            </w:r>
            <w:r>
              <w:rPr>
                <w:rFonts w:hint="eastAsia"/>
                <w:bCs/>
                <w:sz w:val="24"/>
              </w:rPr>
              <w:t>生产过程中需加热固化，采用电加热固化炉，</w:t>
            </w:r>
            <w:r>
              <w:rPr>
                <w:rFonts w:hint="eastAsia"/>
                <w:sz w:val="24"/>
              </w:rPr>
              <w:t>使用的树脂为不饱和树脂，在加热固化时会产生非甲烷总烃</w:t>
            </w:r>
            <w:r>
              <w:rPr>
                <w:rFonts w:hint="eastAsia"/>
                <w:bCs/>
                <w:sz w:val="24"/>
              </w:rPr>
              <w:t>。</w:t>
            </w:r>
            <w:r>
              <w:rPr>
                <w:rFonts w:ascii="宋体" w:hAnsi="宋体" w:cs="宋体"/>
                <w:sz w:val="24"/>
              </w:rPr>
              <w:t>根据《空气污染物排放和控制手册》（美国国家环保局），在无控制措施时，非甲烷总烃的排放系数为0.35kg/t 树脂原料，本项目</w:t>
            </w:r>
            <w:r>
              <w:rPr>
                <w:rFonts w:hint="eastAsia"/>
                <w:bCs/>
                <w:sz w:val="24"/>
              </w:rPr>
              <w:t>拉挤型材固化使用不饱和树脂量为2</w:t>
            </w:r>
            <w:r>
              <w:rPr>
                <w:bCs/>
                <w:sz w:val="24"/>
              </w:rPr>
              <w:t>50</w:t>
            </w:r>
            <w:r>
              <w:rPr>
                <w:rFonts w:hint="eastAsia"/>
                <w:bCs/>
                <w:sz w:val="24"/>
              </w:rPr>
              <w:t>t/a，非甲烷总烃产生量为0.0875t/a。</w:t>
            </w:r>
          </w:p>
          <w:p>
            <w:pPr>
              <w:tabs>
                <w:tab w:val="left" w:pos="12180"/>
              </w:tabs>
              <w:spacing w:line="360" w:lineRule="auto"/>
              <w:ind w:firstLine="480" w:firstLineChars="200"/>
              <w:rPr>
                <w:sz w:val="24"/>
              </w:rPr>
            </w:pPr>
            <w:r>
              <w:rPr>
                <w:rFonts w:hint="eastAsia"/>
                <w:sz w:val="24"/>
              </w:rPr>
              <w:t>项目2座拉挤型材车间各设1条拉挤型材生产线，共2台</w:t>
            </w:r>
            <w:r>
              <w:rPr>
                <w:rFonts w:hint="eastAsia"/>
                <w:bCs/>
                <w:sz w:val="24"/>
              </w:rPr>
              <w:t>电加热固化炉，固化炉采用循</w:t>
            </w:r>
            <w:r>
              <w:rPr>
                <w:bCs/>
                <w:sz w:val="24"/>
              </w:rPr>
              <w:t>环式热风加热，</w:t>
            </w:r>
            <w:r>
              <w:rPr>
                <w:sz w:val="24"/>
              </w:rPr>
              <w:t>空气循环系统采用风机循环送风方式，风循环均匀高效。风源由循环送风电机带动风轮经由电加热器，而将热风送出，经风道送至固化炉内室，再将使用后的空气吸入风道成为风源再度循环，加热使用。确保室内温度均匀性。当因开关门动作引起温度值发生摆动时，送风循环系统迅速恢复操作状态，直至达到设定温度值。由于本产品的特殊性，固化的时间在 0.5-2h 不等，工件在固化炉内为间歇式电加热固化，阶梯式升温（最高温区间在 100℃~120℃~160℃）至需要的温度。</w:t>
            </w:r>
            <w:r>
              <w:rPr>
                <w:rFonts w:hint="eastAsia"/>
                <w:sz w:val="24"/>
              </w:rPr>
              <w:t>根据建设单位提供资料，每台固化炉</w:t>
            </w:r>
            <w:r>
              <w:rPr>
                <w:rFonts w:ascii="宋体" w:hAnsi="宋体" w:cs="宋体"/>
                <w:sz w:val="24"/>
              </w:rPr>
              <w:t>各设一套抽风装置（风量5000m</w:t>
            </w:r>
            <w:r>
              <w:rPr>
                <w:rFonts w:ascii="宋体" w:hAnsi="宋体" w:cs="宋体"/>
                <w:sz w:val="24"/>
                <w:vertAlign w:val="superscript"/>
              </w:rPr>
              <w:t>3</w:t>
            </w:r>
            <w:r>
              <w:rPr>
                <w:rFonts w:ascii="宋体" w:hAnsi="宋体" w:cs="宋体"/>
                <w:sz w:val="24"/>
              </w:rPr>
              <w:t>/h）</w:t>
            </w:r>
            <w:r>
              <w:rPr>
                <w:rFonts w:hint="eastAsia"/>
                <w:bCs/>
                <w:sz w:val="24"/>
              </w:rPr>
              <w:t>，固化废气收集后经1套两级</w:t>
            </w:r>
            <w:r>
              <w:rPr>
                <w:bCs/>
                <w:sz w:val="24"/>
              </w:rPr>
              <w:t>活性炭吸附装置处理后经15m高排气筒排放（</w:t>
            </w:r>
            <w:r>
              <w:rPr>
                <w:rFonts w:hint="eastAsia"/>
                <w:bCs/>
                <w:sz w:val="24"/>
              </w:rPr>
              <w:t>P</w:t>
            </w:r>
            <w:r>
              <w:rPr>
                <w:bCs/>
                <w:sz w:val="24"/>
              </w:rPr>
              <w:t>3</w:t>
            </w:r>
            <w:r>
              <w:rPr>
                <w:rFonts w:hint="eastAsia"/>
                <w:bCs/>
                <w:sz w:val="24"/>
              </w:rPr>
              <w:t>），固化炉间歇式加热，间歇式排气，经过自然降温的废气能够避免温度过高对吸附剂冲击影响。固化炉有机废气经过密闭收集后处理排放，收集率按 95%计，两级活性炭吸附效率为</w:t>
            </w:r>
            <w:r>
              <w:rPr>
                <w:bCs/>
                <w:sz w:val="24"/>
              </w:rPr>
              <w:t>75</w:t>
            </w:r>
            <w:r>
              <w:rPr>
                <w:rFonts w:hint="eastAsia"/>
                <w:bCs/>
                <w:sz w:val="24"/>
              </w:rPr>
              <w:t>%，风机风量为10000m</w:t>
            </w:r>
            <w:r>
              <w:rPr>
                <w:rFonts w:hint="eastAsia"/>
                <w:bCs/>
                <w:sz w:val="24"/>
                <w:vertAlign w:val="superscript"/>
              </w:rPr>
              <w:t>3</w:t>
            </w:r>
            <w:r>
              <w:rPr>
                <w:rFonts w:hint="eastAsia"/>
                <w:bCs/>
                <w:sz w:val="24"/>
              </w:rPr>
              <w:t>/h，</w:t>
            </w:r>
            <w:r>
              <w:rPr>
                <w:rFonts w:hint="eastAsia"/>
                <w:sz w:val="24"/>
              </w:rPr>
              <w:t>年运行时间为 7920h，</w:t>
            </w:r>
            <w:r>
              <w:rPr>
                <w:rFonts w:hint="eastAsia"/>
                <w:bCs/>
                <w:sz w:val="24"/>
              </w:rPr>
              <w:t>则排放速率为0.</w:t>
            </w:r>
            <w:r>
              <w:rPr>
                <w:bCs/>
                <w:sz w:val="24"/>
              </w:rPr>
              <w:t>0</w:t>
            </w:r>
            <w:r>
              <w:rPr>
                <w:rFonts w:hint="eastAsia"/>
                <w:bCs/>
                <w:sz w:val="24"/>
              </w:rPr>
              <w:t>03kg/h，排放浓度为0.3mg/m</w:t>
            </w:r>
            <w:r>
              <w:rPr>
                <w:rFonts w:hint="eastAsia"/>
                <w:bCs/>
                <w:sz w:val="24"/>
                <w:vertAlign w:val="superscript"/>
              </w:rPr>
              <w:t>3</w:t>
            </w:r>
            <w:r>
              <w:rPr>
                <w:rFonts w:hint="eastAsia"/>
                <w:bCs/>
                <w:sz w:val="24"/>
              </w:rPr>
              <w:t>，排放量为0.021t/a，无组织排放量为0.0044t/a。</w:t>
            </w:r>
            <w:r>
              <w:rPr>
                <w:rFonts w:hint="eastAsia"/>
                <w:sz w:val="24"/>
              </w:rPr>
              <w:t>非甲烷总烃排放浓度可以满足《矿物棉工业大气污染物排放标准》（GB 41617-2022）限值要求</w:t>
            </w:r>
            <w:r>
              <w:rPr>
                <w:sz w:val="24"/>
              </w:rPr>
              <w:t>。</w:t>
            </w:r>
          </w:p>
          <w:p>
            <w:pPr>
              <w:pStyle w:val="30"/>
              <w:spacing w:after="0" w:line="360" w:lineRule="auto"/>
              <w:ind w:left="0" w:leftChars="0" w:firstLine="482"/>
              <w:rPr>
                <w:b/>
                <w:bCs/>
                <w:kern w:val="2"/>
              </w:rPr>
            </w:pPr>
            <w:bookmarkStart w:id="38" w:name="_Toc16674"/>
            <w:bookmarkStart w:id="39" w:name="_Toc8832"/>
            <w:bookmarkStart w:id="40" w:name="_Toc24102"/>
            <w:bookmarkStart w:id="41" w:name="_Toc30334"/>
            <w:bookmarkStart w:id="42" w:name="_Toc25467"/>
            <w:r>
              <w:rPr>
                <w:rFonts w:hint="eastAsia" w:ascii="宋体" w:cs="宋体"/>
                <w:b/>
                <w:bCs/>
              </w:rPr>
              <w:t>④</w:t>
            </w:r>
            <w:bookmarkEnd w:id="38"/>
            <w:bookmarkEnd w:id="39"/>
            <w:bookmarkEnd w:id="40"/>
            <w:bookmarkEnd w:id="41"/>
            <w:bookmarkEnd w:id="42"/>
            <w:r>
              <w:rPr>
                <w:b/>
                <w:bCs/>
                <w:kern w:val="2"/>
              </w:rPr>
              <w:t>食堂油烟废气</w:t>
            </w:r>
          </w:p>
          <w:p>
            <w:pPr>
              <w:pStyle w:val="8"/>
              <w:widowControl w:val="0"/>
              <w:snapToGrid/>
              <w:spacing w:after="0" w:line="360" w:lineRule="auto"/>
              <w:ind w:right="0" w:firstLine="480" w:firstLineChars="200"/>
              <w:rPr>
                <w:kern w:val="2"/>
                <w:sz w:val="24"/>
                <w:szCs w:val="24"/>
              </w:rPr>
            </w:pPr>
            <w:r>
              <w:rPr>
                <w:kern w:val="2"/>
                <w:sz w:val="24"/>
                <w:szCs w:val="24"/>
              </w:rPr>
              <w:t>项目员工就餐人数平均约</w:t>
            </w:r>
            <w:r>
              <w:rPr>
                <w:rFonts w:hint="eastAsia"/>
                <w:kern w:val="2"/>
                <w:sz w:val="24"/>
                <w:szCs w:val="24"/>
              </w:rPr>
              <w:t>2</w:t>
            </w:r>
            <w:r>
              <w:rPr>
                <w:kern w:val="2"/>
                <w:sz w:val="24"/>
                <w:szCs w:val="24"/>
              </w:rPr>
              <w:t>00人，</w:t>
            </w:r>
            <w:r>
              <w:rPr>
                <w:rFonts w:hint="eastAsia"/>
                <w:kern w:val="2"/>
                <w:sz w:val="24"/>
                <w:szCs w:val="24"/>
              </w:rPr>
              <w:t>年工作时间</w:t>
            </w:r>
            <w:r>
              <w:rPr>
                <w:kern w:val="2"/>
                <w:sz w:val="24"/>
                <w:szCs w:val="24"/>
              </w:rPr>
              <w:t>3</w:t>
            </w:r>
            <w:r>
              <w:rPr>
                <w:rFonts w:hint="eastAsia"/>
                <w:kern w:val="2"/>
                <w:sz w:val="24"/>
                <w:szCs w:val="24"/>
              </w:rPr>
              <w:t>30天，</w:t>
            </w:r>
            <w:r>
              <w:rPr>
                <w:kern w:val="2"/>
                <w:sz w:val="24"/>
                <w:szCs w:val="24"/>
              </w:rPr>
              <w:t>厨房设4个基准灶头，属于《饮食业油烟排放标准》（GB18483-2001）中的</w:t>
            </w:r>
            <w:r>
              <w:rPr>
                <w:rFonts w:hint="eastAsia"/>
                <w:kern w:val="2"/>
                <w:sz w:val="24"/>
                <w:szCs w:val="24"/>
              </w:rPr>
              <w:t>中</w:t>
            </w:r>
            <w:r>
              <w:rPr>
                <w:kern w:val="2"/>
                <w:sz w:val="24"/>
                <w:szCs w:val="24"/>
              </w:rPr>
              <w:t>型饮食业单位，厨房设油烟净化器，净化效率</w:t>
            </w:r>
            <w:r>
              <w:rPr>
                <w:rFonts w:hint="eastAsia"/>
                <w:kern w:val="2"/>
                <w:sz w:val="24"/>
                <w:szCs w:val="24"/>
              </w:rPr>
              <w:t>85</w:t>
            </w:r>
            <w:r>
              <w:rPr>
                <w:kern w:val="2"/>
                <w:sz w:val="24"/>
                <w:szCs w:val="24"/>
              </w:rPr>
              <w:t>%。人均食用油用量约30g/人·d，则耗油量约1.98t/a。油烟产生量约占耗油量的</w:t>
            </w:r>
            <w:r>
              <w:rPr>
                <w:rFonts w:hint="eastAsia"/>
                <w:kern w:val="2"/>
                <w:sz w:val="24"/>
                <w:szCs w:val="24"/>
              </w:rPr>
              <w:t>2.83</w:t>
            </w:r>
            <w:r>
              <w:rPr>
                <w:kern w:val="2"/>
                <w:sz w:val="24"/>
                <w:szCs w:val="24"/>
              </w:rPr>
              <w:t>%，则油烟产生量约0.056t/a。</w:t>
            </w:r>
          </w:p>
          <w:p>
            <w:pPr>
              <w:pStyle w:val="4"/>
              <w:adjustRightInd/>
              <w:snapToGrid/>
              <w:spacing w:line="360" w:lineRule="auto"/>
              <w:ind w:firstLine="480" w:firstLineChars="200"/>
              <w:jc w:val="both"/>
              <w:rPr>
                <w:rFonts w:ascii="Times New Roman" w:eastAsia="宋体"/>
                <w:color w:val="auto"/>
                <w:sz w:val="24"/>
              </w:rPr>
            </w:pPr>
            <w:bookmarkStart w:id="43" w:name="_Toc28420"/>
            <w:r>
              <w:rPr>
                <w:rFonts w:ascii="Times New Roman" w:eastAsia="宋体"/>
                <w:color w:val="auto"/>
                <w:sz w:val="24"/>
              </w:rPr>
              <w:t>食堂每天工作时间约4h，基准排风量约8000m</w:t>
            </w:r>
            <w:r>
              <w:rPr>
                <w:rFonts w:ascii="Times New Roman" w:eastAsia="宋体"/>
                <w:color w:val="auto"/>
                <w:sz w:val="24"/>
                <w:vertAlign w:val="superscript"/>
              </w:rPr>
              <w:t>3</w:t>
            </w:r>
            <w:r>
              <w:rPr>
                <w:rFonts w:ascii="Times New Roman" w:eastAsia="宋体"/>
                <w:color w:val="auto"/>
                <w:sz w:val="24"/>
              </w:rPr>
              <w:t>/h，油烟产生浓度约4mg/m</w:t>
            </w:r>
            <w:r>
              <w:rPr>
                <w:rFonts w:ascii="Times New Roman" w:eastAsia="宋体"/>
                <w:color w:val="auto"/>
                <w:sz w:val="24"/>
                <w:vertAlign w:val="superscript"/>
              </w:rPr>
              <w:t>3</w:t>
            </w:r>
            <w:r>
              <w:rPr>
                <w:rFonts w:ascii="Times New Roman" w:eastAsia="宋体"/>
                <w:color w:val="auto"/>
                <w:sz w:val="24"/>
              </w:rPr>
              <w:t>，经油烟净化器处理后通过屋顶排气筒排放</w:t>
            </w:r>
            <w:r>
              <w:rPr>
                <w:rFonts w:hint="eastAsia"/>
                <w:bCs/>
                <w:color w:val="auto"/>
                <w:sz w:val="24"/>
              </w:rPr>
              <w:t>（P</w:t>
            </w:r>
            <w:r>
              <w:rPr>
                <w:bCs/>
                <w:color w:val="auto"/>
                <w:sz w:val="24"/>
              </w:rPr>
              <w:t>4</w:t>
            </w:r>
            <w:r>
              <w:rPr>
                <w:rFonts w:hint="eastAsia"/>
                <w:bCs/>
                <w:color w:val="auto"/>
                <w:sz w:val="24"/>
              </w:rPr>
              <w:t>）</w:t>
            </w:r>
            <w:r>
              <w:rPr>
                <w:rFonts w:ascii="Times New Roman" w:eastAsia="宋体"/>
                <w:color w:val="auto"/>
                <w:sz w:val="24"/>
              </w:rPr>
              <w:t>，排放量0.0084t/a、排放速率0.0064kg/h，排放浓度0.64mg/m</w:t>
            </w:r>
            <w:r>
              <w:rPr>
                <w:rFonts w:ascii="Times New Roman" w:eastAsia="宋体"/>
                <w:color w:val="auto"/>
                <w:sz w:val="24"/>
                <w:vertAlign w:val="superscript"/>
              </w:rPr>
              <w:t>3</w:t>
            </w:r>
            <w:bookmarkEnd w:id="43"/>
            <w:r>
              <w:rPr>
                <w:rFonts w:hint="eastAsia" w:ascii="Times New Roman" w:eastAsia="宋体"/>
                <w:color w:val="auto"/>
                <w:sz w:val="24"/>
              </w:rPr>
              <w:t>，</w:t>
            </w:r>
            <w:r>
              <w:rPr>
                <w:rFonts w:ascii="Times New Roman" w:eastAsia="宋体"/>
                <w:color w:val="auto"/>
                <w:sz w:val="24"/>
              </w:rPr>
              <w:t>可以满足《饮食业油烟排放标准（试行）》（GB18483-2001）中最高允许排放浓度2mg/m</w:t>
            </w:r>
            <w:r>
              <w:rPr>
                <w:rFonts w:ascii="Times New Roman" w:eastAsia="宋体"/>
                <w:color w:val="auto"/>
                <w:sz w:val="24"/>
                <w:vertAlign w:val="superscript"/>
              </w:rPr>
              <w:t>3</w:t>
            </w:r>
            <w:r>
              <w:rPr>
                <w:rFonts w:hint="eastAsia" w:ascii="Times New Roman" w:eastAsia="宋体"/>
                <w:color w:val="auto"/>
                <w:sz w:val="24"/>
              </w:rPr>
              <w:t>限值</w:t>
            </w:r>
            <w:r>
              <w:rPr>
                <w:rFonts w:ascii="Times New Roman" w:eastAsia="宋体"/>
                <w:color w:val="auto"/>
                <w:sz w:val="24"/>
              </w:rPr>
              <w:t>要求。</w:t>
            </w:r>
          </w:p>
          <w:p>
            <w:pPr>
              <w:pStyle w:val="4"/>
              <w:adjustRightInd/>
              <w:snapToGrid/>
              <w:spacing w:line="360" w:lineRule="auto"/>
              <w:ind w:firstLine="482" w:firstLineChars="200"/>
              <w:jc w:val="both"/>
              <w:rPr>
                <w:rFonts w:ascii="Times New Roman" w:eastAsia="宋体"/>
                <w:b/>
                <w:bCs/>
                <w:color w:val="auto"/>
                <w:sz w:val="24"/>
              </w:rPr>
            </w:pPr>
            <w:r>
              <w:rPr>
                <w:rFonts w:hint="eastAsia" w:ascii="Times New Roman" w:eastAsia="宋体"/>
                <w:b/>
                <w:bCs/>
                <w:color w:val="auto"/>
                <w:sz w:val="24"/>
              </w:rPr>
              <w:t>⑤短切粉尘</w:t>
            </w:r>
          </w:p>
          <w:p>
            <w:pPr>
              <w:pStyle w:val="4"/>
              <w:adjustRightInd/>
              <w:snapToGrid/>
              <w:spacing w:line="360" w:lineRule="auto"/>
              <w:ind w:firstLine="480" w:firstLineChars="200"/>
              <w:jc w:val="both"/>
              <w:rPr>
                <w:rFonts w:ascii="Times New Roman" w:eastAsia="宋体"/>
                <w:color w:val="auto"/>
                <w:sz w:val="24"/>
              </w:rPr>
            </w:pPr>
            <w:r>
              <w:rPr>
                <w:rFonts w:hint="eastAsia" w:ascii="Times New Roman" w:eastAsia="宋体"/>
                <w:color w:val="auto"/>
                <w:sz w:val="24"/>
              </w:rPr>
              <w:t>项目玄武岩纤维原丝规格为7~31μm，采用全自动切割机，因此短切时无组织粉尘的产生量较小，忽略不计。</w:t>
            </w:r>
          </w:p>
          <w:p>
            <w:pPr>
              <w:pStyle w:val="4"/>
              <w:adjustRightInd/>
              <w:snapToGrid/>
              <w:spacing w:line="360" w:lineRule="auto"/>
              <w:ind w:firstLine="482" w:firstLineChars="200"/>
              <w:jc w:val="both"/>
              <w:rPr>
                <w:rFonts w:ascii="Times New Roman" w:eastAsia="宋体"/>
                <w:b/>
                <w:bCs/>
                <w:color w:val="auto"/>
                <w:sz w:val="24"/>
              </w:rPr>
            </w:pPr>
            <w:r>
              <w:rPr>
                <w:rFonts w:hint="eastAsia" w:ascii="Times New Roman" w:eastAsia="宋体"/>
                <w:b/>
                <w:bCs/>
                <w:color w:val="auto"/>
                <w:sz w:val="24"/>
              </w:rPr>
              <w:t>⑥原料储存、运输及转运过程中无组织废气</w:t>
            </w:r>
          </w:p>
          <w:p>
            <w:pPr>
              <w:pStyle w:val="4"/>
              <w:spacing w:line="360" w:lineRule="auto"/>
              <w:ind w:firstLine="480" w:firstLineChars="200"/>
              <w:jc w:val="left"/>
              <w:rPr>
                <w:rFonts w:ascii="Times New Roman" w:eastAsia="宋体"/>
                <w:color w:val="auto"/>
                <w:sz w:val="24"/>
              </w:rPr>
            </w:pPr>
            <w:r>
              <w:rPr>
                <w:rFonts w:hint="eastAsia" w:ascii="Times New Roman" w:eastAsia="宋体"/>
                <w:color w:val="auto"/>
                <w:sz w:val="24"/>
              </w:rPr>
              <w:t>项目所用原料为经过矿区水洗加工后直径约5mm~20mm的块状玄武岩，运输进厂后储存在全封闭的原料库内暂存。原料经叉车运至各车间，采用上料机输送至池窑料仓，通过自动加料系统加料。因此在原料储存、运输、上料时无组织粉尘的产生量较小，固化剂、浸润剂等VOCs物料储存于密闭的容器内在原料库内储存，忽略不计。</w:t>
            </w:r>
          </w:p>
          <w:bookmarkEnd w:id="34"/>
          <w:bookmarkEnd w:id="35"/>
          <w:bookmarkEnd w:id="36"/>
          <w:p>
            <w:pPr>
              <w:pStyle w:val="2"/>
              <w:spacing w:after="0" w:line="360" w:lineRule="auto"/>
              <w:ind w:left="0" w:leftChars="0" w:firstLine="482" w:firstLineChars="200"/>
              <w:rPr>
                <w:b/>
                <w:bCs/>
                <w:kern w:val="2"/>
                <w:szCs w:val="24"/>
              </w:rPr>
            </w:pPr>
            <w:r>
              <w:rPr>
                <w:rFonts w:hint="eastAsia"/>
                <w:b/>
                <w:bCs/>
                <w:kern w:val="2"/>
                <w:szCs w:val="24"/>
              </w:rPr>
              <w:t>（2）</w:t>
            </w:r>
            <w:r>
              <w:rPr>
                <w:b/>
                <w:bCs/>
                <w:kern w:val="2"/>
                <w:szCs w:val="24"/>
              </w:rPr>
              <w:t>废气污染物产排污情况</w:t>
            </w:r>
          </w:p>
          <w:p>
            <w:pPr>
              <w:pStyle w:val="2"/>
              <w:spacing w:after="0" w:line="360" w:lineRule="auto"/>
              <w:ind w:left="0" w:leftChars="0" w:firstLine="480" w:firstLineChars="200"/>
              <w:rPr>
                <w:kern w:val="2"/>
                <w:szCs w:val="24"/>
              </w:rPr>
            </w:pPr>
            <w:r>
              <w:rPr>
                <w:kern w:val="2"/>
                <w:szCs w:val="24"/>
              </w:rPr>
              <w:t>项目大气污染物产生及排放情况见下表。</w:t>
            </w:r>
          </w:p>
          <w:p>
            <w:pPr>
              <w:pStyle w:val="2"/>
              <w:spacing w:after="0"/>
              <w:ind w:left="0" w:leftChars="0"/>
              <w:jc w:val="center"/>
              <w:rPr>
                <w:rFonts w:ascii="宋体" w:hAnsi="宋体" w:cs="宋体"/>
                <w:b/>
                <w:kern w:val="2"/>
                <w:sz w:val="21"/>
                <w:szCs w:val="21"/>
              </w:rPr>
            </w:pPr>
          </w:p>
          <w:p>
            <w:pPr>
              <w:pStyle w:val="2"/>
              <w:spacing w:after="0"/>
              <w:ind w:left="0" w:leftChars="0"/>
              <w:jc w:val="center"/>
              <w:rPr>
                <w:rFonts w:ascii="宋体" w:hAnsi="宋体" w:cs="宋体"/>
                <w:b/>
                <w:kern w:val="2"/>
                <w:sz w:val="21"/>
                <w:szCs w:val="21"/>
              </w:rPr>
            </w:pPr>
            <w:r>
              <w:rPr>
                <w:rFonts w:hint="eastAsia" w:ascii="宋体" w:hAnsi="宋体" w:cs="宋体"/>
                <w:b/>
                <w:kern w:val="2"/>
                <w:sz w:val="21"/>
                <w:szCs w:val="21"/>
              </w:rPr>
              <w:t>表4-1  废气有组织污染源源强核算结果</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835"/>
              <w:gridCol w:w="326"/>
              <w:gridCol w:w="326"/>
              <w:gridCol w:w="704"/>
              <w:gridCol w:w="794"/>
              <w:gridCol w:w="708"/>
              <w:gridCol w:w="584"/>
              <w:gridCol w:w="704"/>
              <w:gridCol w:w="794"/>
              <w:gridCol w:w="794"/>
              <w:gridCol w:w="636"/>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3" w:type="pct"/>
                  <w:gridSpan w:val="2"/>
                  <w:vMerge w:val="restart"/>
                  <w:vAlign w:val="center"/>
                </w:tcPr>
                <w:p>
                  <w:pPr>
                    <w:pStyle w:val="102"/>
                    <w:spacing w:line="240" w:lineRule="atLeast"/>
                    <w:ind w:left="-105" w:leftChars="-50" w:right="-105" w:rightChars="-50"/>
                  </w:pPr>
                  <w:r>
                    <w:rPr>
                      <w:rFonts w:hint="eastAsia"/>
                    </w:rPr>
                    <w:t>产污环节</w:t>
                  </w:r>
                </w:p>
              </w:tc>
              <w:tc>
                <w:tcPr>
                  <w:tcW w:w="225" w:type="pct"/>
                  <w:vMerge w:val="restart"/>
                  <w:vAlign w:val="center"/>
                </w:tcPr>
                <w:p>
                  <w:pPr>
                    <w:pStyle w:val="102"/>
                    <w:spacing w:line="240" w:lineRule="atLeast"/>
                    <w:ind w:left="-105" w:leftChars="-50" w:right="-105" w:rightChars="-50"/>
                  </w:pPr>
                  <w:r>
                    <w:rPr>
                      <w:rFonts w:hint="eastAsia"/>
                    </w:rPr>
                    <w:t>污染物</w:t>
                  </w:r>
                </w:p>
              </w:tc>
              <w:tc>
                <w:tcPr>
                  <w:tcW w:w="225" w:type="pct"/>
                  <w:vMerge w:val="restart"/>
                  <w:vAlign w:val="center"/>
                </w:tcPr>
                <w:p>
                  <w:pPr>
                    <w:pStyle w:val="102"/>
                    <w:spacing w:line="240" w:lineRule="atLeast"/>
                    <w:ind w:left="-105" w:leftChars="-50" w:right="-105" w:rightChars="-50"/>
                  </w:pPr>
                  <w:r>
                    <w:rPr>
                      <w:rFonts w:hint="eastAsia"/>
                    </w:rPr>
                    <w:t>排放形式</w:t>
                  </w:r>
                </w:p>
              </w:tc>
              <w:tc>
                <w:tcPr>
                  <w:tcW w:w="959" w:type="pct"/>
                  <w:gridSpan w:val="2"/>
                  <w:vAlign w:val="center"/>
                </w:tcPr>
                <w:p>
                  <w:pPr>
                    <w:pStyle w:val="102"/>
                    <w:spacing w:line="240" w:lineRule="atLeast"/>
                    <w:ind w:left="-105" w:leftChars="-50" w:right="-105" w:rightChars="-50"/>
                  </w:pPr>
                  <w:r>
                    <w:rPr>
                      <w:rFonts w:hint="eastAsia"/>
                    </w:rPr>
                    <w:t>污染物产生</w:t>
                  </w:r>
                </w:p>
              </w:tc>
              <w:tc>
                <w:tcPr>
                  <w:tcW w:w="772" w:type="pct"/>
                  <w:gridSpan w:val="2"/>
                  <w:vAlign w:val="center"/>
                </w:tcPr>
                <w:p>
                  <w:pPr>
                    <w:pStyle w:val="102"/>
                    <w:spacing w:line="240" w:lineRule="atLeast"/>
                    <w:ind w:left="-105" w:leftChars="-50" w:right="-105" w:rightChars="-50"/>
                  </w:pPr>
                  <w:r>
                    <w:rPr>
                      <w:rFonts w:hint="eastAsia"/>
                    </w:rPr>
                    <w:t>治理措施</w:t>
                  </w:r>
                </w:p>
              </w:tc>
              <w:tc>
                <w:tcPr>
                  <w:tcW w:w="1433" w:type="pct"/>
                  <w:gridSpan w:val="3"/>
                  <w:vAlign w:val="center"/>
                </w:tcPr>
                <w:p>
                  <w:pPr>
                    <w:pStyle w:val="102"/>
                    <w:spacing w:line="240" w:lineRule="atLeast"/>
                    <w:ind w:left="-105" w:leftChars="-50" w:right="-105" w:rightChars="-50"/>
                  </w:pPr>
                  <w:r>
                    <w:rPr>
                      <w:rFonts w:hint="eastAsia"/>
                    </w:rPr>
                    <w:t>污染物排放</w:t>
                  </w:r>
                </w:p>
              </w:tc>
              <w:tc>
                <w:tcPr>
                  <w:tcW w:w="380" w:type="pct"/>
                  <w:vMerge w:val="restart"/>
                  <w:vAlign w:val="center"/>
                </w:tcPr>
                <w:p>
                  <w:pPr>
                    <w:pStyle w:val="102"/>
                    <w:spacing w:line="240" w:lineRule="atLeast"/>
                    <w:ind w:left="-105" w:leftChars="-50" w:right="-105" w:rightChars="-50"/>
                  </w:pPr>
                  <w:r>
                    <w:rPr>
                      <w:rFonts w:hint="eastAsia"/>
                    </w:rPr>
                    <w:t>排放时间/h</w:t>
                  </w:r>
                </w:p>
              </w:tc>
              <w:tc>
                <w:tcPr>
                  <w:tcW w:w="254" w:type="pct"/>
                  <w:vMerge w:val="restart"/>
                  <w:vAlign w:val="center"/>
                </w:tcPr>
                <w:p>
                  <w:pPr>
                    <w:pStyle w:val="102"/>
                    <w:spacing w:line="240" w:lineRule="atLeast"/>
                    <w:ind w:left="-105" w:leftChars="-50" w:right="-105" w:rightChars="-50"/>
                  </w:pPr>
                  <w:r>
                    <w:rPr>
                      <w:rFonts w:hint="eastAsia"/>
                    </w:rPr>
                    <w:t>是否可行技术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53" w:type="pct"/>
                  <w:gridSpan w:val="2"/>
                  <w:vMerge w:val="continue"/>
                  <w:vAlign w:val="center"/>
                </w:tcPr>
                <w:p>
                  <w:pPr>
                    <w:pStyle w:val="102"/>
                    <w:spacing w:line="240" w:lineRule="atLeast"/>
                    <w:ind w:left="-105" w:leftChars="-50" w:right="-105" w:rightChars="-50"/>
                  </w:pPr>
                </w:p>
              </w:tc>
              <w:tc>
                <w:tcPr>
                  <w:tcW w:w="225" w:type="pct"/>
                  <w:vMerge w:val="continue"/>
                  <w:vAlign w:val="center"/>
                </w:tcPr>
                <w:p>
                  <w:pPr>
                    <w:pStyle w:val="102"/>
                    <w:spacing w:line="240" w:lineRule="atLeast"/>
                    <w:ind w:left="-105" w:leftChars="-50" w:right="-105" w:rightChars="-50"/>
                  </w:pPr>
                </w:p>
              </w:tc>
              <w:tc>
                <w:tcPr>
                  <w:tcW w:w="225" w:type="pct"/>
                  <w:vMerge w:val="continue"/>
                  <w:vAlign w:val="center"/>
                </w:tcPr>
                <w:p>
                  <w:pPr>
                    <w:pStyle w:val="102"/>
                    <w:spacing w:line="240" w:lineRule="atLeast"/>
                    <w:ind w:left="-105" w:leftChars="-50" w:right="-105" w:rightChars="-50"/>
                  </w:pPr>
                </w:p>
              </w:tc>
              <w:tc>
                <w:tcPr>
                  <w:tcW w:w="484" w:type="pct"/>
                  <w:vAlign w:val="center"/>
                </w:tcPr>
                <w:p>
                  <w:pPr>
                    <w:pStyle w:val="102"/>
                    <w:spacing w:line="240" w:lineRule="atLeast"/>
                    <w:ind w:left="-105" w:leftChars="-50" w:right="-105" w:rightChars="-50"/>
                  </w:pPr>
                  <w:r>
                    <w:rPr>
                      <w:rFonts w:hint="eastAsia"/>
                    </w:rPr>
                    <w:t>产生浓度(mg/m</w:t>
                  </w:r>
                  <w:r>
                    <w:rPr>
                      <w:rFonts w:hint="eastAsia"/>
                      <w:vertAlign w:val="superscript"/>
                    </w:rPr>
                    <w:t>3</w:t>
                  </w:r>
                  <w:r>
                    <w:rPr>
                      <w:rFonts w:hint="eastAsia"/>
                    </w:rPr>
                    <w:t>)</w:t>
                  </w:r>
                </w:p>
              </w:tc>
              <w:tc>
                <w:tcPr>
                  <w:tcW w:w="474" w:type="pct"/>
                  <w:vAlign w:val="center"/>
                </w:tcPr>
                <w:p>
                  <w:pPr>
                    <w:pStyle w:val="102"/>
                    <w:spacing w:line="240" w:lineRule="atLeast"/>
                    <w:ind w:left="-105" w:leftChars="-50" w:right="-105" w:rightChars="-50"/>
                  </w:pPr>
                  <w:r>
                    <w:rPr>
                      <w:rFonts w:hint="eastAsia"/>
                    </w:rPr>
                    <w:t>产生量</w:t>
                  </w:r>
                </w:p>
                <w:p>
                  <w:pPr>
                    <w:pStyle w:val="102"/>
                    <w:spacing w:line="240" w:lineRule="atLeast"/>
                    <w:ind w:left="-105" w:leftChars="-50" w:right="-105" w:rightChars="-50"/>
                  </w:pPr>
                  <w:r>
                    <w:rPr>
                      <w:rFonts w:hint="eastAsia"/>
                    </w:rPr>
                    <w:t>(t/a)</w:t>
                  </w:r>
                </w:p>
              </w:tc>
              <w:tc>
                <w:tcPr>
                  <w:tcW w:w="423" w:type="pct"/>
                  <w:vAlign w:val="center"/>
                </w:tcPr>
                <w:p>
                  <w:pPr>
                    <w:pStyle w:val="102"/>
                    <w:spacing w:line="240" w:lineRule="atLeast"/>
                    <w:ind w:left="-105" w:leftChars="-50" w:right="-105" w:rightChars="-50"/>
                  </w:pPr>
                  <w:r>
                    <w:rPr>
                      <w:rFonts w:hint="eastAsia"/>
                    </w:rPr>
                    <w:t>工艺</w:t>
                  </w:r>
                </w:p>
              </w:tc>
              <w:tc>
                <w:tcPr>
                  <w:tcW w:w="349" w:type="pct"/>
                  <w:vAlign w:val="center"/>
                </w:tcPr>
                <w:p>
                  <w:pPr>
                    <w:pStyle w:val="102"/>
                    <w:spacing w:line="240" w:lineRule="atLeast"/>
                    <w:ind w:left="-105" w:leftChars="-50" w:right="-105" w:rightChars="-50"/>
                  </w:pPr>
                  <w:r>
                    <w:rPr>
                      <w:rFonts w:hint="eastAsia"/>
                    </w:rPr>
                    <w:t>效率(%)</w:t>
                  </w:r>
                </w:p>
              </w:tc>
              <w:tc>
                <w:tcPr>
                  <w:tcW w:w="484" w:type="pct"/>
                  <w:vAlign w:val="center"/>
                </w:tcPr>
                <w:p>
                  <w:pPr>
                    <w:pStyle w:val="102"/>
                    <w:spacing w:line="240" w:lineRule="atLeast"/>
                    <w:ind w:left="-105" w:leftChars="-50" w:right="-105" w:rightChars="-50"/>
                  </w:pPr>
                  <w:r>
                    <w:rPr>
                      <w:rFonts w:hint="eastAsia"/>
                    </w:rPr>
                    <w:t>排放浓度(mg/m</w:t>
                  </w:r>
                  <w:r>
                    <w:rPr>
                      <w:rFonts w:hint="eastAsia"/>
                      <w:vertAlign w:val="superscript"/>
                    </w:rPr>
                    <w:t>3</w:t>
                  </w:r>
                  <w:r>
                    <w:rPr>
                      <w:rFonts w:hint="eastAsia"/>
                    </w:rPr>
                    <w:t>)</w:t>
                  </w:r>
                </w:p>
              </w:tc>
              <w:tc>
                <w:tcPr>
                  <w:tcW w:w="474" w:type="pct"/>
                  <w:vAlign w:val="center"/>
                </w:tcPr>
                <w:p>
                  <w:pPr>
                    <w:pStyle w:val="102"/>
                    <w:spacing w:line="240" w:lineRule="atLeast"/>
                    <w:ind w:left="-105" w:leftChars="-50" w:right="-105" w:rightChars="-50"/>
                  </w:pPr>
                  <w:r>
                    <w:rPr>
                      <w:rFonts w:hint="eastAsia"/>
                    </w:rPr>
                    <w:t>排放速率(kg/h)</w:t>
                  </w:r>
                </w:p>
              </w:tc>
              <w:tc>
                <w:tcPr>
                  <w:tcW w:w="474" w:type="pct"/>
                  <w:vAlign w:val="center"/>
                </w:tcPr>
                <w:p>
                  <w:pPr>
                    <w:pStyle w:val="102"/>
                    <w:spacing w:line="240" w:lineRule="atLeast"/>
                    <w:ind w:left="-105" w:leftChars="-50" w:right="-105" w:rightChars="-50"/>
                  </w:pPr>
                  <w:r>
                    <w:rPr>
                      <w:rFonts w:hint="eastAsia"/>
                    </w:rPr>
                    <w:t>排放量(t/a)</w:t>
                  </w:r>
                </w:p>
              </w:tc>
              <w:tc>
                <w:tcPr>
                  <w:tcW w:w="380" w:type="pct"/>
                  <w:vMerge w:val="continue"/>
                  <w:vAlign w:val="center"/>
                </w:tcPr>
                <w:p>
                  <w:pPr>
                    <w:pStyle w:val="102"/>
                    <w:spacing w:line="240" w:lineRule="atLeast"/>
                    <w:ind w:left="-105" w:leftChars="-50" w:right="-105" w:rightChars="-50"/>
                  </w:pPr>
                </w:p>
              </w:tc>
              <w:tc>
                <w:tcPr>
                  <w:tcW w:w="254" w:type="pct"/>
                  <w:vMerge w:val="continue"/>
                  <w:vAlign w:val="center"/>
                </w:tcPr>
                <w:p>
                  <w:pPr>
                    <w:pStyle w:val="102"/>
                    <w:spacing w:line="240" w:lineRule="atLeast"/>
                    <w:ind w:left="-105" w:leftChars="-50" w:right="-105" w:rightChar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418" w:type="pct"/>
                  <w:vMerge w:val="restart"/>
                  <w:vAlign w:val="center"/>
                </w:tcPr>
                <w:p>
                  <w:pPr>
                    <w:pStyle w:val="102"/>
                    <w:spacing w:line="240" w:lineRule="atLeast"/>
                  </w:pPr>
                  <w:r>
                    <w:rPr>
                      <w:rFonts w:hint="eastAsia"/>
                    </w:rPr>
                    <w:t>熔炼</w:t>
                  </w:r>
                </w:p>
              </w:tc>
              <w:tc>
                <w:tcPr>
                  <w:tcW w:w="335" w:type="pct"/>
                  <w:vMerge w:val="restart"/>
                  <w:vAlign w:val="center"/>
                </w:tcPr>
                <w:p>
                  <w:pPr>
                    <w:pStyle w:val="102"/>
                    <w:spacing w:line="240" w:lineRule="atLeast"/>
                  </w:pPr>
                  <w:r>
                    <w:rPr>
                      <w:rFonts w:hint="eastAsia"/>
                    </w:rPr>
                    <w:t>DA00</w:t>
                  </w:r>
                  <w:r>
                    <w:t>1</w:t>
                  </w:r>
                </w:p>
              </w:tc>
              <w:tc>
                <w:tcPr>
                  <w:tcW w:w="225" w:type="pct"/>
                  <w:vMerge w:val="restart"/>
                  <w:vAlign w:val="center"/>
                </w:tcPr>
                <w:p>
                  <w:pPr>
                    <w:pStyle w:val="102"/>
                    <w:spacing w:line="240" w:lineRule="atLeast"/>
                    <w:ind w:left="-50" w:right="-50"/>
                  </w:pPr>
                  <w:r>
                    <w:rPr>
                      <w:rFonts w:hint="eastAsia"/>
                    </w:rPr>
                    <w:t>颗粒物</w:t>
                  </w:r>
                </w:p>
              </w:tc>
              <w:tc>
                <w:tcPr>
                  <w:tcW w:w="225" w:type="pct"/>
                  <w:vAlign w:val="center"/>
                </w:tcPr>
                <w:p>
                  <w:pPr>
                    <w:pStyle w:val="102"/>
                    <w:spacing w:line="240" w:lineRule="atLeast"/>
                    <w:ind w:left="-50" w:right="-50"/>
                  </w:pPr>
                  <w:r>
                    <w:rPr>
                      <w:rFonts w:hint="eastAsia"/>
                    </w:rPr>
                    <w:t>有组织</w:t>
                  </w:r>
                </w:p>
              </w:tc>
              <w:tc>
                <w:tcPr>
                  <w:tcW w:w="484" w:type="pct"/>
                  <w:vAlign w:val="center"/>
                </w:tcPr>
                <w:p>
                  <w:pPr>
                    <w:pStyle w:val="102"/>
                    <w:spacing w:line="240" w:lineRule="atLeast"/>
                  </w:pPr>
                  <w:r>
                    <w:t>1200</w:t>
                  </w:r>
                </w:p>
              </w:tc>
              <w:tc>
                <w:tcPr>
                  <w:tcW w:w="474" w:type="pct"/>
                  <w:vAlign w:val="center"/>
                </w:tcPr>
                <w:p>
                  <w:pPr>
                    <w:pStyle w:val="102"/>
                    <w:spacing w:line="240" w:lineRule="atLeast"/>
                  </w:pPr>
                  <w:r>
                    <w:t>6.27</w:t>
                  </w:r>
                </w:p>
              </w:tc>
              <w:tc>
                <w:tcPr>
                  <w:tcW w:w="423" w:type="pct"/>
                  <w:vAlign w:val="center"/>
                </w:tcPr>
                <w:p>
                  <w:pPr>
                    <w:pStyle w:val="102"/>
                    <w:spacing w:line="240" w:lineRule="atLeast"/>
                  </w:pPr>
                  <w:r>
                    <w:rPr>
                      <w:rFonts w:hint="eastAsia"/>
                    </w:rPr>
                    <w:t>高温布袋除尘</w:t>
                  </w:r>
                </w:p>
                <w:p>
                  <w:pPr>
                    <w:pStyle w:val="102"/>
                    <w:spacing w:line="240" w:lineRule="atLeast"/>
                  </w:pPr>
                  <w:r>
                    <w:rPr>
                      <w:rFonts w:hint="eastAsia"/>
                    </w:rPr>
                    <w:t>+15m高排气筒</w:t>
                  </w:r>
                </w:p>
              </w:tc>
              <w:tc>
                <w:tcPr>
                  <w:tcW w:w="349" w:type="pct"/>
                  <w:vAlign w:val="center"/>
                </w:tcPr>
                <w:p>
                  <w:pPr>
                    <w:pStyle w:val="102"/>
                    <w:spacing w:line="240" w:lineRule="atLeast"/>
                  </w:pPr>
                  <w:r>
                    <w:rPr>
                      <w:rFonts w:hint="eastAsia"/>
                    </w:rPr>
                    <w:t>99</w:t>
                  </w:r>
                  <w:r>
                    <w:t>.5</w:t>
                  </w:r>
                </w:p>
              </w:tc>
              <w:tc>
                <w:tcPr>
                  <w:tcW w:w="484" w:type="pct"/>
                  <w:vAlign w:val="center"/>
                </w:tcPr>
                <w:p>
                  <w:pPr>
                    <w:pStyle w:val="102"/>
                    <w:spacing w:line="240" w:lineRule="atLeast"/>
                  </w:pPr>
                  <w:r>
                    <w:t>6</w:t>
                  </w:r>
                </w:p>
              </w:tc>
              <w:tc>
                <w:tcPr>
                  <w:tcW w:w="474" w:type="pct"/>
                  <w:vAlign w:val="center"/>
                </w:tcPr>
                <w:p>
                  <w:pPr>
                    <w:pStyle w:val="102"/>
                    <w:spacing w:line="240" w:lineRule="atLeast"/>
                  </w:pPr>
                  <w:r>
                    <w:rPr>
                      <w:rFonts w:hint="eastAsia"/>
                    </w:rPr>
                    <w:t>0.</w:t>
                  </w:r>
                  <w:r>
                    <w:t>00</w:t>
                  </w:r>
                  <w:r>
                    <w:rPr>
                      <w:rFonts w:hint="eastAsia"/>
                    </w:rPr>
                    <w:t>4</w:t>
                  </w:r>
                </w:p>
              </w:tc>
              <w:tc>
                <w:tcPr>
                  <w:tcW w:w="474" w:type="pct"/>
                  <w:vAlign w:val="center"/>
                </w:tcPr>
                <w:p>
                  <w:pPr>
                    <w:pStyle w:val="102"/>
                    <w:spacing w:line="240" w:lineRule="atLeast"/>
                  </w:pPr>
                  <w:r>
                    <w:rPr>
                      <w:rFonts w:hint="eastAsia"/>
                    </w:rPr>
                    <w:t>0.</w:t>
                  </w:r>
                  <w:r>
                    <w:t>031</w:t>
                  </w:r>
                </w:p>
              </w:tc>
              <w:tc>
                <w:tcPr>
                  <w:tcW w:w="380" w:type="pct"/>
                  <w:vAlign w:val="center"/>
                </w:tcPr>
                <w:p>
                  <w:pPr>
                    <w:pStyle w:val="102"/>
                    <w:spacing w:line="240" w:lineRule="atLeast"/>
                  </w:pPr>
                  <w:r>
                    <w:rPr>
                      <w:rFonts w:hint="eastAsia"/>
                    </w:rPr>
                    <w:t>792</w:t>
                  </w:r>
                  <w:r>
                    <w:t>0</w:t>
                  </w:r>
                </w:p>
              </w:tc>
              <w:tc>
                <w:tcPr>
                  <w:tcW w:w="254" w:type="pct"/>
                  <w:vAlign w:val="center"/>
                </w:tcPr>
                <w:p>
                  <w:pPr>
                    <w:pStyle w:val="102"/>
                    <w:spacing w:line="240" w:lineRule="atLeast"/>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418" w:type="pct"/>
                  <w:vMerge w:val="continue"/>
                  <w:vAlign w:val="center"/>
                </w:tcPr>
                <w:p>
                  <w:pPr>
                    <w:pStyle w:val="102"/>
                    <w:spacing w:line="240" w:lineRule="atLeast"/>
                  </w:pPr>
                </w:p>
              </w:tc>
              <w:tc>
                <w:tcPr>
                  <w:tcW w:w="335" w:type="pct"/>
                  <w:vMerge w:val="continue"/>
                  <w:vAlign w:val="center"/>
                </w:tcPr>
                <w:p>
                  <w:pPr>
                    <w:pStyle w:val="102"/>
                    <w:spacing w:line="240" w:lineRule="atLeast"/>
                  </w:pPr>
                </w:p>
              </w:tc>
              <w:tc>
                <w:tcPr>
                  <w:tcW w:w="225" w:type="pct"/>
                  <w:vMerge w:val="continue"/>
                  <w:vAlign w:val="center"/>
                </w:tcPr>
                <w:p>
                  <w:pPr>
                    <w:pStyle w:val="102"/>
                    <w:spacing w:line="240" w:lineRule="atLeast"/>
                    <w:ind w:left="-50" w:right="-50"/>
                  </w:pPr>
                </w:p>
              </w:tc>
              <w:tc>
                <w:tcPr>
                  <w:tcW w:w="225" w:type="pct"/>
                  <w:vAlign w:val="center"/>
                </w:tcPr>
                <w:p>
                  <w:pPr>
                    <w:pStyle w:val="102"/>
                    <w:spacing w:line="240" w:lineRule="atLeast"/>
                    <w:ind w:left="-50" w:right="-50"/>
                  </w:pPr>
                  <w:r>
                    <w:rPr>
                      <w:rFonts w:hint="eastAsia"/>
                    </w:rPr>
                    <w:t>无组织</w:t>
                  </w:r>
                </w:p>
              </w:tc>
              <w:tc>
                <w:tcPr>
                  <w:tcW w:w="484" w:type="pct"/>
                  <w:vAlign w:val="center"/>
                </w:tcPr>
                <w:p>
                  <w:pPr>
                    <w:pStyle w:val="102"/>
                    <w:spacing w:line="240" w:lineRule="atLeast"/>
                  </w:pPr>
                  <w:r>
                    <w:t>/</w:t>
                  </w:r>
                </w:p>
              </w:tc>
              <w:tc>
                <w:tcPr>
                  <w:tcW w:w="474" w:type="pct"/>
                  <w:vAlign w:val="center"/>
                </w:tcPr>
                <w:p>
                  <w:pPr>
                    <w:pStyle w:val="102"/>
                    <w:spacing w:line="240" w:lineRule="atLeast"/>
                  </w:pPr>
                  <w:r>
                    <w:t>0.33</w:t>
                  </w:r>
                </w:p>
              </w:tc>
              <w:tc>
                <w:tcPr>
                  <w:tcW w:w="423" w:type="pct"/>
                  <w:vAlign w:val="center"/>
                </w:tcPr>
                <w:p>
                  <w:pPr>
                    <w:pStyle w:val="102"/>
                    <w:spacing w:line="240" w:lineRule="atLeast"/>
                  </w:pPr>
                  <w:r>
                    <w:rPr>
                      <w:rFonts w:hint="eastAsia"/>
                    </w:rPr>
                    <w:t>密闭</w:t>
                  </w:r>
                  <w:r>
                    <w:t>厂房</w:t>
                  </w:r>
                </w:p>
              </w:tc>
              <w:tc>
                <w:tcPr>
                  <w:tcW w:w="349" w:type="pct"/>
                  <w:vAlign w:val="center"/>
                </w:tcPr>
                <w:p>
                  <w:pPr>
                    <w:pStyle w:val="102"/>
                    <w:spacing w:line="240" w:lineRule="atLeast"/>
                  </w:pPr>
                  <w:r>
                    <w:rPr>
                      <w:rFonts w:hint="eastAsia"/>
                    </w:rPr>
                    <w:t>6</w:t>
                  </w:r>
                  <w:r>
                    <w:t>0</w:t>
                  </w:r>
                </w:p>
              </w:tc>
              <w:tc>
                <w:tcPr>
                  <w:tcW w:w="484" w:type="pct"/>
                  <w:vAlign w:val="center"/>
                </w:tcPr>
                <w:p>
                  <w:pPr>
                    <w:pStyle w:val="102"/>
                    <w:spacing w:line="240" w:lineRule="atLeast"/>
                  </w:pPr>
                  <w:r>
                    <w:t>/</w:t>
                  </w:r>
                </w:p>
              </w:tc>
              <w:tc>
                <w:tcPr>
                  <w:tcW w:w="474" w:type="pct"/>
                  <w:vAlign w:val="center"/>
                </w:tcPr>
                <w:p>
                  <w:pPr>
                    <w:pStyle w:val="102"/>
                    <w:spacing w:line="240" w:lineRule="atLeast"/>
                  </w:pPr>
                  <w:r>
                    <w:t>/</w:t>
                  </w:r>
                </w:p>
              </w:tc>
              <w:tc>
                <w:tcPr>
                  <w:tcW w:w="474" w:type="pct"/>
                  <w:vAlign w:val="center"/>
                </w:tcPr>
                <w:p>
                  <w:pPr>
                    <w:pStyle w:val="102"/>
                    <w:spacing w:line="240" w:lineRule="atLeast"/>
                  </w:pPr>
                  <w:r>
                    <w:t>0.132</w:t>
                  </w:r>
                </w:p>
              </w:tc>
              <w:tc>
                <w:tcPr>
                  <w:tcW w:w="380" w:type="pct"/>
                  <w:vAlign w:val="center"/>
                </w:tcPr>
                <w:p>
                  <w:pPr>
                    <w:spacing w:line="240" w:lineRule="atLeast"/>
                  </w:pPr>
                  <w:r>
                    <w:rPr>
                      <w:rFonts w:hint="eastAsia"/>
                    </w:rPr>
                    <w:t>792</w:t>
                  </w:r>
                  <w:r>
                    <w:t>0</w:t>
                  </w:r>
                </w:p>
              </w:tc>
              <w:tc>
                <w:tcPr>
                  <w:tcW w:w="254" w:type="pct"/>
                  <w:vAlign w:val="center"/>
                </w:tcPr>
                <w:p>
                  <w:pPr>
                    <w:pStyle w:val="102"/>
                    <w:spacing w:line="240" w:lineRule="atLeast"/>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418" w:type="pct"/>
                  <w:vMerge w:val="restart"/>
                  <w:vAlign w:val="center"/>
                </w:tcPr>
                <w:p>
                  <w:pPr>
                    <w:pStyle w:val="102"/>
                    <w:spacing w:line="240" w:lineRule="atLeast"/>
                  </w:pPr>
                  <w:r>
                    <w:rPr>
                      <w:rFonts w:hint="eastAsia"/>
                    </w:rPr>
                    <w:t>烘干</w:t>
                  </w:r>
                </w:p>
              </w:tc>
              <w:tc>
                <w:tcPr>
                  <w:tcW w:w="335" w:type="pct"/>
                  <w:vMerge w:val="restart"/>
                  <w:vAlign w:val="center"/>
                </w:tcPr>
                <w:p>
                  <w:pPr>
                    <w:pStyle w:val="102"/>
                    <w:spacing w:line="240" w:lineRule="atLeast"/>
                  </w:pPr>
                  <w:r>
                    <w:rPr>
                      <w:rFonts w:hint="eastAsia"/>
                    </w:rPr>
                    <w:t>DA00</w:t>
                  </w:r>
                  <w:r>
                    <w:t>2</w:t>
                  </w:r>
                </w:p>
              </w:tc>
              <w:tc>
                <w:tcPr>
                  <w:tcW w:w="225" w:type="pct"/>
                  <w:vMerge w:val="restart"/>
                  <w:vAlign w:val="center"/>
                </w:tcPr>
                <w:p>
                  <w:pPr>
                    <w:pStyle w:val="102"/>
                    <w:spacing w:line="240" w:lineRule="atLeast"/>
                    <w:ind w:left="-50" w:right="-50"/>
                  </w:pPr>
                  <w:r>
                    <w:rPr>
                      <w:rFonts w:hint="eastAsia"/>
                    </w:rPr>
                    <w:t>非甲烷总烃</w:t>
                  </w:r>
                </w:p>
              </w:tc>
              <w:tc>
                <w:tcPr>
                  <w:tcW w:w="225" w:type="pct"/>
                  <w:vAlign w:val="center"/>
                </w:tcPr>
                <w:p>
                  <w:pPr>
                    <w:pStyle w:val="102"/>
                    <w:spacing w:line="240" w:lineRule="atLeast"/>
                    <w:ind w:left="-50" w:right="-50"/>
                  </w:pPr>
                  <w:r>
                    <w:rPr>
                      <w:rFonts w:hint="eastAsia"/>
                    </w:rPr>
                    <w:t>有组织</w:t>
                  </w:r>
                </w:p>
              </w:tc>
              <w:tc>
                <w:tcPr>
                  <w:tcW w:w="484" w:type="pct"/>
                  <w:vAlign w:val="center"/>
                </w:tcPr>
                <w:p>
                  <w:pPr>
                    <w:pStyle w:val="102"/>
                    <w:spacing w:line="240" w:lineRule="atLeast"/>
                  </w:pPr>
                  <w:r>
                    <w:rPr>
                      <w:rFonts w:hint="eastAsia"/>
                    </w:rPr>
                    <w:t>2</w:t>
                  </w:r>
                </w:p>
              </w:tc>
              <w:tc>
                <w:tcPr>
                  <w:tcW w:w="474" w:type="pct"/>
                  <w:vAlign w:val="center"/>
                </w:tcPr>
                <w:p>
                  <w:pPr>
                    <w:pStyle w:val="102"/>
                    <w:spacing w:line="240" w:lineRule="atLeast"/>
                  </w:pPr>
                  <w:r>
                    <w:rPr>
                      <w:rFonts w:hint="eastAsia"/>
                    </w:rPr>
                    <w:t>0.171</w:t>
                  </w:r>
                </w:p>
              </w:tc>
              <w:tc>
                <w:tcPr>
                  <w:tcW w:w="423" w:type="pct"/>
                  <w:vAlign w:val="center"/>
                </w:tcPr>
                <w:p>
                  <w:pPr>
                    <w:pStyle w:val="102"/>
                    <w:spacing w:line="240" w:lineRule="atLeast"/>
                  </w:pPr>
                  <w:r>
                    <w:rPr>
                      <w:rFonts w:hint="eastAsia"/>
                    </w:rPr>
                    <w:t>两级活性炭吸附+15m高排气筒</w:t>
                  </w:r>
                </w:p>
              </w:tc>
              <w:tc>
                <w:tcPr>
                  <w:tcW w:w="349" w:type="pct"/>
                  <w:vAlign w:val="center"/>
                </w:tcPr>
                <w:p>
                  <w:pPr>
                    <w:pStyle w:val="102"/>
                    <w:spacing w:line="240" w:lineRule="atLeast"/>
                  </w:pPr>
                  <w:r>
                    <w:t>75</w:t>
                  </w:r>
                </w:p>
              </w:tc>
              <w:tc>
                <w:tcPr>
                  <w:tcW w:w="484" w:type="pct"/>
                  <w:vAlign w:val="center"/>
                </w:tcPr>
                <w:p>
                  <w:pPr>
                    <w:pStyle w:val="102"/>
                    <w:spacing w:line="240" w:lineRule="atLeast"/>
                  </w:pPr>
                  <w:r>
                    <w:rPr>
                      <w:rFonts w:hint="eastAsia"/>
                    </w:rPr>
                    <w:t>0.5</w:t>
                  </w:r>
                </w:p>
              </w:tc>
              <w:tc>
                <w:tcPr>
                  <w:tcW w:w="474" w:type="pct"/>
                  <w:vAlign w:val="center"/>
                </w:tcPr>
                <w:p>
                  <w:pPr>
                    <w:pStyle w:val="102"/>
                    <w:spacing w:line="240" w:lineRule="atLeast"/>
                  </w:pPr>
                  <w:r>
                    <w:rPr>
                      <w:rFonts w:hint="eastAsia"/>
                    </w:rPr>
                    <w:t>0</w:t>
                  </w:r>
                  <w:r>
                    <w:t>.</w:t>
                  </w:r>
                  <w:r>
                    <w:rPr>
                      <w:rFonts w:hint="eastAsia"/>
                    </w:rPr>
                    <w:t>005</w:t>
                  </w:r>
                </w:p>
              </w:tc>
              <w:tc>
                <w:tcPr>
                  <w:tcW w:w="474" w:type="pct"/>
                  <w:vAlign w:val="center"/>
                </w:tcPr>
                <w:p>
                  <w:pPr>
                    <w:pStyle w:val="102"/>
                    <w:spacing w:line="240" w:lineRule="atLeast"/>
                  </w:pPr>
                  <w:r>
                    <w:t>0.</w:t>
                  </w:r>
                  <w:r>
                    <w:rPr>
                      <w:rFonts w:hint="eastAsia"/>
                    </w:rPr>
                    <w:t>043</w:t>
                  </w:r>
                </w:p>
              </w:tc>
              <w:tc>
                <w:tcPr>
                  <w:tcW w:w="380" w:type="pct"/>
                  <w:vAlign w:val="center"/>
                </w:tcPr>
                <w:p>
                  <w:pPr>
                    <w:spacing w:line="240" w:lineRule="atLeast"/>
                  </w:pPr>
                  <w:r>
                    <w:rPr>
                      <w:rFonts w:hint="eastAsia"/>
                    </w:rPr>
                    <w:t>792</w:t>
                  </w:r>
                  <w:r>
                    <w:t>0</w:t>
                  </w:r>
                </w:p>
              </w:tc>
              <w:tc>
                <w:tcPr>
                  <w:tcW w:w="254" w:type="pct"/>
                  <w:vAlign w:val="center"/>
                </w:tcPr>
                <w:p>
                  <w:pPr>
                    <w:pStyle w:val="102"/>
                    <w:spacing w:line="240" w:lineRule="atLeast"/>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18" w:type="pct"/>
                  <w:vMerge w:val="continue"/>
                  <w:vAlign w:val="center"/>
                </w:tcPr>
                <w:p>
                  <w:pPr>
                    <w:pStyle w:val="102"/>
                    <w:spacing w:line="240" w:lineRule="atLeast"/>
                  </w:pPr>
                </w:p>
              </w:tc>
              <w:tc>
                <w:tcPr>
                  <w:tcW w:w="335" w:type="pct"/>
                  <w:vMerge w:val="continue"/>
                  <w:vAlign w:val="center"/>
                </w:tcPr>
                <w:p>
                  <w:pPr>
                    <w:pStyle w:val="102"/>
                    <w:spacing w:line="240" w:lineRule="atLeast"/>
                  </w:pPr>
                </w:p>
              </w:tc>
              <w:tc>
                <w:tcPr>
                  <w:tcW w:w="225" w:type="pct"/>
                  <w:vMerge w:val="continue"/>
                  <w:vAlign w:val="center"/>
                </w:tcPr>
                <w:p>
                  <w:pPr>
                    <w:pStyle w:val="102"/>
                    <w:spacing w:line="240" w:lineRule="atLeast"/>
                    <w:ind w:left="-50" w:right="-50"/>
                  </w:pPr>
                </w:p>
              </w:tc>
              <w:tc>
                <w:tcPr>
                  <w:tcW w:w="225" w:type="pct"/>
                  <w:vAlign w:val="center"/>
                </w:tcPr>
                <w:p>
                  <w:pPr>
                    <w:pStyle w:val="102"/>
                    <w:spacing w:line="240" w:lineRule="atLeast"/>
                    <w:ind w:left="-50" w:right="-50"/>
                  </w:pPr>
                  <w:r>
                    <w:rPr>
                      <w:rFonts w:hint="eastAsia"/>
                    </w:rPr>
                    <w:t>无组织</w:t>
                  </w:r>
                </w:p>
              </w:tc>
              <w:tc>
                <w:tcPr>
                  <w:tcW w:w="484" w:type="pct"/>
                  <w:vAlign w:val="center"/>
                </w:tcPr>
                <w:p>
                  <w:pPr>
                    <w:pStyle w:val="102"/>
                    <w:spacing w:line="240" w:lineRule="atLeast"/>
                  </w:pPr>
                  <w:r>
                    <w:t>/</w:t>
                  </w:r>
                </w:p>
              </w:tc>
              <w:tc>
                <w:tcPr>
                  <w:tcW w:w="474" w:type="pct"/>
                  <w:vAlign w:val="center"/>
                </w:tcPr>
                <w:p>
                  <w:pPr>
                    <w:pStyle w:val="102"/>
                    <w:spacing w:line="240" w:lineRule="atLeast"/>
                  </w:pPr>
                  <w:r>
                    <w:rPr>
                      <w:rFonts w:hint="eastAsia"/>
                    </w:rPr>
                    <w:t>0</w:t>
                  </w:r>
                  <w:r>
                    <w:t>.</w:t>
                  </w:r>
                  <w:r>
                    <w:rPr>
                      <w:rFonts w:hint="eastAsia"/>
                    </w:rPr>
                    <w:t>009</w:t>
                  </w:r>
                </w:p>
              </w:tc>
              <w:tc>
                <w:tcPr>
                  <w:tcW w:w="423" w:type="pct"/>
                  <w:vAlign w:val="center"/>
                </w:tcPr>
                <w:p>
                  <w:pPr>
                    <w:pStyle w:val="102"/>
                    <w:spacing w:line="240" w:lineRule="atLeast"/>
                  </w:pPr>
                  <w:r>
                    <w:rPr>
                      <w:rFonts w:hint="eastAsia"/>
                    </w:rPr>
                    <w:t>密闭</w:t>
                  </w:r>
                  <w:r>
                    <w:t>厂房</w:t>
                  </w:r>
                </w:p>
              </w:tc>
              <w:tc>
                <w:tcPr>
                  <w:tcW w:w="349" w:type="pct"/>
                  <w:vAlign w:val="center"/>
                </w:tcPr>
                <w:p>
                  <w:pPr>
                    <w:pStyle w:val="102"/>
                    <w:spacing w:line="240" w:lineRule="atLeast"/>
                  </w:pPr>
                  <w:r>
                    <w:rPr>
                      <w:rFonts w:hint="eastAsia"/>
                    </w:rPr>
                    <w:t>/</w:t>
                  </w:r>
                </w:p>
              </w:tc>
              <w:tc>
                <w:tcPr>
                  <w:tcW w:w="484" w:type="pct"/>
                  <w:vAlign w:val="center"/>
                </w:tcPr>
                <w:p>
                  <w:pPr>
                    <w:pStyle w:val="102"/>
                    <w:spacing w:line="240" w:lineRule="atLeast"/>
                  </w:pPr>
                  <w:r>
                    <w:t>/</w:t>
                  </w:r>
                </w:p>
              </w:tc>
              <w:tc>
                <w:tcPr>
                  <w:tcW w:w="474" w:type="pct"/>
                  <w:vAlign w:val="center"/>
                </w:tcPr>
                <w:p>
                  <w:pPr>
                    <w:pStyle w:val="102"/>
                    <w:spacing w:line="240" w:lineRule="atLeast"/>
                  </w:pPr>
                  <w:r>
                    <w:t>/</w:t>
                  </w:r>
                </w:p>
              </w:tc>
              <w:tc>
                <w:tcPr>
                  <w:tcW w:w="474" w:type="pct"/>
                  <w:vAlign w:val="center"/>
                </w:tcPr>
                <w:p>
                  <w:pPr>
                    <w:pStyle w:val="102"/>
                    <w:spacing w:line="240" w:lineRule="atLeast"/>
                  </w:pPr>
                  <w:r>
                    <w:rPr>
                      <w:rFonts w:hint="eastAsia"/>
                    </w:rPr>
                    <w:t>0</w:t>
                  </w:r>
                  <w:r>
                    <w:t>.</w:t>
                  </w:r>
                  <w:r>
                    <w:rPr>
                      <w:rFonts w:hint="eastAsia"/>
                    </w:rPr>
                    <w:t>009</w:t>
                  </w:r>
                </w:p>
              </w:tc>
              <w:tc>
                <w:tcPr>
                  <w:tcW w:w="380" w:type="pct"/>
                  <w:vAlign w:val="center"/>
                </w:tcPr>
                <w:p>
                  <w:pPr>
                    <w:spacing w:line="240" w:lineRule="atLeast"/>
                  </w:pPr>
                  <w:r>
                    <w:rPr>
                      <w:rFonts w:hint="eastAsia"/>
                    </w:rPr>
                    <w:t>792</w:t>
                  </w:r>
                  <w:r>
                    <w:t>0</w:t>
                  </w:r>
                </w:p>
              </w:tc>
              <w:tc>
                <w:tcPr>
                  <w:tcW w:w="254" w:type="pct"/>
                  <w:vAlign w:val="center"/>
                </w:tcPr>
                <w:p>
                  <w:pPr>
                    <w:pStyle w:val="102"/>
                    <w:spacing w:line="240" w:lineRule="atLeast"/>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18" w:type="pct"/>
                  <w:vMerge w:val="restart"/>
                  <w:vAlign w:val="center"/>
                </w:tcPr>
                <w:p>
                  <w:pPr>
                    <w:pStyle w:val="102"/>
                    <w:spacing w:line="240" w:lineRule="atLeast"/>
                  </w:pPr>
                  <w:r>
                    <w:rPr>
                      <w:rFonts w:hint="eastAsia"/>
                    </w:rPr>
                    <w:t>固化</w:t>
                  </w:r>
                </w:p>
              </w:tc>
              <w:tc>
                <w:tcPr>
                  <w:tcW w:w="335" w:type="pct"/>
                  <w:vMerge w:val="restart"/>
                  <w:vAlign w:val="center"/>
                </w:tcPr>
                <w:p>
                  <w:pPr>
                    <w:pStyle w:val="102"/>
                    <w:spacing w:line="240" w:lineRule="atLeast"/>
                  </w:pPr>
                  <w:r>
                    <w:rPr>
                      <w:rFonts w:hint="eastAsia"/>
                    </w:rPr>
                    <w:t>DA00</w:t>
                  </w:r>
                  <w:r>
                    <w:t>3</w:t>
                  </w:r>
                </w:p>
              </w:tc>
              <w:tc>
                <w:tcPr>
                  <w:tcW w:w="225" w:type="pct"/>
                  <w:vMerge w:val="restart"/>
                  <w:vAlign w:val="center"/>
                </w:tcPr>
                <w:p>
                  <w:pPr>
                    <w:pStyle w:val="102"/>
                    <w:spacing w:line="240" w:lineRule="atLeast"/>
                    <w:ind w:left="-50" w:right="-50"/>
                  </w:pPr>
                  <w:r>
                    <w:rPr>
                      <w:rFonts w:hint="eastAsia"/>
                    </w:rPr>
                    <w:t>非甲烷总烃</w:t>
                  </w:r>
                </w:p>
              </w:tc>
              <w:tc>
                <w:tcPr>
                  <w:tcW w:w="225" w:type="pct"/>
                  <w:vAlign w:val="center"/>
                </w:tcPr>
                <w:p>
                  <w:pPr>
                    <w:pStyle w:val="102"/>
                    <w:spacing w:line="240" w:lineRule="atLeast"/>
                    <w:ind w:left="-50" w:right="-50"/>
                  </w:pPr>
                  <w:r>
                    <w:rPr>
                      <w:rFonts w:hint="eastAsia"/>
                    </w:rPr>
                    <w:t>有组织</w:t>
                  </w:r>
                </w:p>
              </w:tc>
              <w:tc>
                <w:tcPr>
                  <w:tcW w:w="484" w:type="pct"/>
                  <w:vAlign w:val="center"/>
                </w:tcPr>
                <w:p>
                  <w:pPr>
                    <w:pStyle w:val="102"/>
                    <w:spacing w:line="240" w:lineRule="atLeast"/>
                  </w:pPr>
                  <w:r>
                    <w:rPr>
                      <w:rFonts w:hint="eastAsia"/>
                    </w:rPr>
                    <w:t>1.2</w:t>
                  </w:r>
                </w:p>
              </w:tc>
              <w:tc>
                <w:tcPr>
                  <w:tcW w:w="474" w:type="pct"/>
                  <w:vAlign w:val="center"/>
                </w:tcPr>
                <w:p>
                  <w:pPr>
                    <w:pStyle w:val="102"/>
                    <w:spacing w:line="240" w:lineRule="atLeast"/>
                  </w:pPr>
                  <w:r>
                    <w:rPr>
                      <w:rFonts w:hint="eastAsia"/>
                    </w:rPr>
                    <w:t>0.0831</w:t>
                  </w:r>
                </w:p>
              </w:tc>
              <w:tc>
                <w:tcPr>
                  <w:tcW w:w="423" w:type="pct"/>
                  <w:vAlign w:val="center"/>
                </w:tcPr>
                <w:p>
                  <w:pPr>
                    <w:pStyle w:val="102"/>
                    <w:spacing w:line="240" w:lineRule="atLeast"/>
                  </w:pPr>
                  <w:r>
                    <w:rPr>
                      <w:rFonts w:hint="eastAsia"/>
                    </w:rPr>
                    <w:t>两级活性炭吸附+15m高排气筒</w:t>
                  </w:r>
                </w:p>
              </w:tc>
              <w:tc>
                <w:tcPr>
                  <w:tcW w:w="349" w:type="pct"/>
                  <w:vAlign w:val="center"/>
                </w:tcPr>
                <w:p>
                  <w:pPr>
                    <w:pStyle w:val="102"/>
                    <w:spacing w:line="240" w:lineRule="atLeast"/>
                  </w:pPr>
                  <w:r>
                    <w:rPr>
                      <w:rFonts w:hint="eastAsia"/>
                    </w:rPr>
                    <w:t>75</w:t>
                  </w:r>
                </w:p>
              </w:tc>
              <w:tc>
                <w:tcPr>
                  <w:tcW w:w="484" w:type="pct"/>
                  <w:vAlign w:val="center"/>
                </w:tcPr>
                <w:p>
                  <w:pPr>
                    <w:pStyle w:val="102"/>
                    <w:spacing w:line="240" w:lineRule="atLeast"/>
                  </w:pPr>
                  <w:r>
                    <w:rPr>
                      <w:rFonts w:hint="eastAsia"/>
                    </w:rPr>
                    <w:t>0.3</w:t>
                  </w:r>
                </w:p>
              </w:tc>
              <w:tc>
                <w:tcPr>
                  <w:tcW w:w="474" w:type="pct"/>
                  <w:vAlign w:val="center"/>
                </w:tcPr>
                <w:p>
                  <w:pPr>
                    <w:pStyle w:val="102"/>
                    <w:spacing w:line="240" w:lineRule="atLeast"/>
                  </w:pPr>
                  <w:r>
                    <w:rPr>
                      <w:rFonts w:hint="eastAsia"/>
                    </w:rPr>
                    <w:t>0</w:t>
                  </w:r>
                  <w:r>
                    <w:t>.0</w:t>
                  </w:r>
                  <w:r>
                    <w:rPr>
                      <w:rFonts w:hint="eastAsia"/>
                    </w:rPr>
                    <w:t>03</w:t>
                  </w:r>
                </w:p>
              </w:tc>
              <w:tc>
                <w:tcPr>
                  <w:tcW w:w="474" w:type="pct"/>
                  <w:vAlign w:val="center"/>
                </w:tcPr>
                <w:p>
                  <w:pPr>
                    <w:pStyle w:val="102"/>
                    <w:spacing w:line="240" w:lineRule="atLeast"/>
                  </w:pPr>
                  <w:r>
                    <w:rPr>
                      <w:rFonts w:hint="eastAsia"/>
                    </w:rPr>
                    <w:t>0</w:t>
                  </w:r>
                  <w:r>
                    <w:t>.</w:t>
                  </w:r>
                  <w:r>
                    <w:rPr>
                      <w:rFonts w:hint="eastAsia"/>
                    </w:rPr>
                    <w:t>021</w:t>
                  </w:r>
                </w:p>
              </w:tc>
              <w:tc>
                <w:tcPr>
                  <w:tcW w:w="380" w:type="pct"/>
                  <w:vAlign w:val="center"/>
                </w:tcPr>
                <w:p>
                  <w:pPr>
                    <w:spacing w:line="240" w:lineRule="atLeast"/>
                  </w:pPr>
                  <w:r>
                    <w:rPr>
                      <w:rFonts w:hint="eastAsia"/>
                    </w:rPr>
                    <w:t>792</w:t>
                  </w:r>
                  <w:r>
                    <w:t>0</w:t>
                  </w:r>
                </w:p>
              </w:tc>
              <w:tc>
                <w:tcPr>
                  <w:tcW w:w="254" w:type="pct"/>
                  <w:vAlign w:val="center"/>
                </w:tcPr>
                <w:p>
                  <w:pPr>
                    <w:pStyle w:val="102"/>
                    <w:spacing w:line="240" w:lineRule="atLeast"/>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18" w:type="pct"/>
                  <w:vMerge w:val="continue"/>
                  <w:vAlign w:val="center"/>
                </w:tcPr>
                <w:p>
                  <w:pPr>
                    <w:pStyle w:val="102"/>
                    <w:spacing w:line="240" w:lineRule="atLeast"/>
                  </w:pPr>
                </w:p>
              </w:tc>
              <w:tc>
                <w:tcPr>
                  <w:tcW w:w="335" w:type="pct"/>
                  <w:vMerge w:val="continue"/>
                  <w:vAlign w:val="center"/>
                </w:tcPr>
                <w:p>
                  <w:pPr>
                    <w:pStyle w:val="102"/>
                    <w:spacing w:line="240" w:lineRule="atLeast"/>
                  </w:pPr>
                </w:p>
              </w:tc>
              <w:tc>
                <w:tcPr>
                  <w:tcW w:w="225" w:type="pct"/>
                  <w:vMerge w:val="continue"/>
                  <w:vAlign w:val="center"/>
                </w:tcPr>
                <w:p>
                  <w:pPr>
                    <w:pStyle w:val="102"/>
                    <w:spacing w:line="240" w:lineRule="atLeast"/>
                    <w:ind w:left="-50" w:right="-50"/>
                  </w:pPr>
                </w:p>
              </w:tc>
              <w:tc>
                <w:tcPr>
                  <w:tcW w:w="225" w:type="pct"/>
                  <w:vAlign w:val="center"/>
                </w:tcPr>
                <w:p>
                  <w:pPr>
                    <w:pStyle w:val="102"/>
                    <w:spacing w:line="240" w:lineRule="atLeast"/>
                    <w:ind w:left="-50" w:right="-50"/>
                  </w:pPr>
                  <w:r>
                    <w:rPr>
                      <w:rFonts w:hint="eastAsia"/>
                    </w:rPr>
                    <w:t>无组织</w:t>
                  </w:r>
                </w:p>
              </w:tc>
              <w:tc>
                <w:tcPr>
                  <w:tcW w:w="484" w:type="pct"/>
                  <w:vAlign w:val="center"/>
                </w:tcPr>
                <w:p>
                  <w:pPr>
                    <w:pStyle w:val="102"/>
                    <w:spacing w:line="240" w:lineRule="atLeast"/>
                  </w:pPr>
                  <w:r>
                    <w:t>/</w:t>
                  </w:r>
                </w:p>
              </w:tc>
              <w:tc>
                <w:tcPr>
                  <w:tcW w:w="474" w:type="pct"/>
                  <w:vAlign w:val="center"/>
                </w:tcPr>
                <w:p>
                  <w:pPr>
                    <w:pStyle w:val="102"/>
                    <w:spacing w:line="240" w:lineRule="atLeast"/>
                  </w:pPr>
                  <w:r>
                    <w:rPr>
                      <w:rFonts w:hint="eastAsia"/>
                    </w:rPr>
                    <w:t>0</w:t>
                  </w:r>
                  <w:r>
                    <w:t>.</w:t>
                  </w:r>
                  <w:r>
                    <w:rPr>
                      <w:rFonts w:hint="eastAsia"/>
                    </w:rPr>
                    <w:t>0044</w:t>
                  </w:r>
                </w:p>
              </w:tc>
              <w:tc>
                <w:tcPr>
                  <w:tcW w:w="423" w:type="pct"/>
                  <w:vAlign w:val="center"/>
                </w:tcPr>
                <w:p>
                  <w:pPr>
                    <w:pStyle w:val="102"/>
                    <w:spacing w:line="240" w:lineRule="atLeast"/>
                  </w:pPr>
                  <w:r>
                    <w:rPr>
                      <w:rFonts w:hint="eastAsia"/>
                    </w:rPr>
                    <w:t>密闭</w:t>
                  </w:r>
                  <w:r>
                    <w:t>厂房</w:t>
                  </w:r>
                </w:p>
              </w:tc>
              <w:tc>
                <w:tcPr>
                  <w:tcW w:w="349" w:type="pct"/>
                  <w:vAlign w:val="center"/>
                </w:tcPr>
                <w:p>
                  <w:pPr>
                    <w:pStyle w:val="102"/>
                    <w:spacing w:line="240" w:lineRule="atLeast"/>
                  </w:pPr>
                  <w:r>
                    <w:rPr>
                      <w:rFonts w:hint="eastAsia"/>
                    </w:rPr>
                    <w:t>/</w:t>
                  </w:r>
                </w:p>
              </w:tc>
              <w:tc>
                <w:tcPr>
                  <w:tcW w:w="484" w:type="pct"/>
                  <w:vAlign w:val="center"/>
                </w:tcPr>
                <w:p>
                  <w:pPr>
                    <w:pStyle w:val="102"/>
                    <w:spacing w:line="240" w:lineRule="atLeast"/>
                  </w:pPr>
                  <w:r>
                    <w:t>/</w:t>
                  </w:r>
                </w:p>
              </w:tc>
              <w:tc>
                <w:tcPr>
                  <w:tcW w:w="474" w:type="pct"/>
                  <w:vAlign w:val="center"/>
                </w:tcPr>
                <w:p>
                  <w:pPr>
                    <w:pStyle w:val="102"/>
                    <w:spacing w:line="240" w:lineRule="atLeast"/>
                  </w:pPr>
                  <w:r>
                    <w:t>/</w:t>
                  </w:r>
                </w:p>
              </w:tc>
              <w:tc>
                <w:tcPr>
                  <w:tcW w:w="474" w:type="pct"/>
                  <w:vAlign w:val="center"/>
                </w:tcPr>
                <w:p>
                  <w:pPr>
                    <w:pStyle w:val="102"/>
                    <w:spacing w:line="240" w:lineRule="atLeast"/>
                  </w:pPr>
                  <w:r>
                    <w:t>0.</w:t>
                  </w:r>
                  <w:r>
                    <w:rPr>
                      <w:rFonts w:hint="eastAsia"/>
                    </w:rPr>
                    <w:t>0044</w:t>
                  </w:r>
                </w:p>
              </w:tc>
              <w:tc>
                <w:tcPr>
                  <w:tcW w:w="380" w:type="pct"/>
                  <w:vAlign w:val="center"/>
                </w:tcPr>
                <w:p>
                  <w:pPr>
                    <w:spacing w:line="240" w:lineRule="atLeast"/>
                  </w:pPr>
                  <w:r>
                    <w:rPr>
                      <w:rFonts w:hint="eastAsia"/>
                    </w:rPr>
                    <w:t>792</w:t>
                  </w:r>
                  <w:r>
                    <w:t>0</w:t>
                  </w:r>
                </w:p>
              </w:tc>
              <w:tc>
                <w:tcPr>
                  <w:tcW w:w="254" w:type="pct"/>
                  <w:vAlign w:val="center"/>
                </w:tcPr>
                <w:p>
                  <w:pPr>
                    <w:pStyle w:val="102"/>
                    <w:spacing w:line="240" w:lineRule="atLeast"/>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418" w:type="pct"/>
                  <w:vAlign w:val="center"/>
                </w:tcPr>
                <w:p>
                  <w:pPr>
                    <w:pStyle w:val="102"/>
                    <w:spacing w:line="240" w:lineRule="atLeast"/>
                  </w:pPr>
                  <w:r>
                    <w:rPr>
                      <w:rFonts w:hint="eastAsia"/>
                    </w:rPr>
                    <w:t>食堂</w:t>
                  </w:r>
                </w:p>
              </w:tc>
              <w:tc>
                <w:tcPr>
                  <w:tcW w:w="335" w:type="pct"/>
                  <w:vAlign w:val="center"/>
                </w:tcPr>
                <w:p>
                  <w:pPr>
                    <w:pStyle w:val="102"/>
                    <w:spacing w:line="240" w:lineRule="atLeast"/>
                  </w:pPr>
                  <w:r>
                    <w:rPr>
                      <w:rFonts w:hint="eastAsia"/>
                    </w:rPr>
                    <w:t>DA00</w:t>
                  </w:r>
                  <w:r>
                    <w:t>4</w:t>
                  </w:r>
                </w:p>
              </w:tc>
              <w:tc>
                <w:tcPr>
                  <w:tcW w:w="225" w:type="pct"/>
                  <w:vAlign w:val="center"/>
                </w:tcPr>
                <w:p>
                  <w:pPr>
                    <w:pStyle w:val="102"/>
                    <w:spacing w:line="240" w:lineRule="atLeast"/>
                    <w:ind w:left="-50" w:right="-50"/>
                  </w:pPr>
                  <w:r>
                    <w:rPr>
                      <w:rFonts w:hint="eastAsia"/>
                    </w:rPr>
                    <w:t>油烟</w:t>
                  </w:r>
                </w:p>
              </w:tc>
              <w:tc>
                <w:tcPr>
                  <w:tcW w:w="225" w:type="pct"/>
                  <w:vAlign w:val="center"/>
                </w:tcPr>
                <w:p>
                  <w:pPr>
                    <w:pStyle w:val="102"/>
                    <w:spacing w:line="240" w:lineRule="atLeast"/>
                    <w:ind w:left="-50" w:right="-50"/>
                  </w:pPr>
                  <w:r>
                    <w:rPr>
                      <w:rFonts w:hint="eastAsia"/>
                    </w:rPr>
                    <w:t>有组织</w:t>
                  </w:r>
                </w:p>
              </w:tc>
              <w:tc>
                <w:tcPr>
                  <w:tcW w:w="484" w:type="pct"/>
                  <w:vAlign w:val="center"/>
                </w:tcPr>
                <w:p>
                  <w:pPr>
                    <w:pStyle w:val="102"/>
                    <w:spacing w:line="240" w:lineRule="atLeast"/>
                  </w:pPr>
                  <w:r>
                    <w:rPr>
                      <w:rFonts w:hint="eastAsia"/>
                    </w:rPr>
                    <w:t>5</w:t>
                  </w:r>
                  <w:r>
                    <w:t>.33</w:t>
                  </w:r>
                </w:p>
              </w:tc>
              <w:tc>
                <w:tcPr>
                  <w:tcW w:w="474" w:type="pct"/>
                  <w:vAlign w:val="center"/>
                </w:tcPr>
                <w:p>
                  <w:pPr>
                    <w:pStyle w:val="102"/>
                    <w:spacing w:line="240" w:lineRule="atLeast"/>
                  </w:pPr>
                  <w:r>
                    <w:rPr>
                      <w:rFonts w:hint="eastAsia"/>
                    </w:rPr>
                    <w:t>0</w:t>
                  </w:r>
                  <w:r>
                    <w:t>.056</w:t>
                  </w:r>
                </w:p>
              </w:tc>
              <w:tc>
                <w:tcPr>
                  <w:tcW w:w="423" w:type="pct"/>
                  <w:vAlign w:val="center"/>
                </w:tcPr>
                <w:p>
                  <w:pPr>
                    <w:pStyle w:val="102"/>
                    <w:spacing w:line="240" w:lineRule="atLeast"/>
                  </w:pPr>
                  <w:r>
                    <w:rPr>
                      <w:rFonts w:hint="eastAsia"/>
                    </w:rPr>
                    <w:t>油烟净化器</w:t>
                  </w:r>
                </w:p>
              </w:tc>
              <w:tc>
                <w:tcPr>
                  <w:tcW w:w="349" w:type="pct"/>
                  <w:vAlign w:val="center"/>
                </w:tcPr>
                <w:p>
                  <w:pPr>
                    <w:pStyle w:val="102"/>
                    <w:spacing w:line="240" w:lineRule="atLeast"/>
                  </w:pPr>
                  <w:r>
                    <w:rPr>
                      <w:rFonts w:hint="eastAsia"/>
                    </w:rPr>
                    <w:t>85</w:t>
                  </w:r>
                </w:p>
              </w:tc>
              <w:tc>
                <w:tcPr>
                  <w:tcW w:w="484" w:type="pct"/>
                  <w:vAlign w:val="center"/>
                </w:tcPr>
                <w:p>
                  <w:pPr>
                    <w:pStyle w:val="102"/>
                    <w:spacing w:line="240" w:lineRule="atLeast"/>
                  </w:pPr>
                  <w:r>
                    <w:rPr>
                      <w:rFonts w:hint="eastAsia"/>
                    </w:rPr>
                    <w:t>0</w:t>
                  </w:r>
                  <w:r>
                    <w:t>.8</w:t>
                  </w:r>
                </w:p>
              </w:tc>
              <w:tc>
                <w:tcPr>
                  <w:tcW w:w="474" w:type="pct"/>
                  <w:vAlign w:val="center"/>
                </w:tcPr>
                <w:p>
                  <w:pPr>
                    <w:pStyle w:val="102"/>
                    <w:spacing w:line="240" w:lineRule="atLeast"/>
                  </w:pPr>
                  <w:r>
                    <w:rPr>
                      <w:rFonts w:hint="eastAsia"/>
                    </w:rPr>
                    <w:t>0</w:t>
                  </w:r>
                  <w:r>
                    <w:t>.0064</w:t>
                  </w:r>
                </w:p>
              </w:tc>
              <w:tc>
                <w:tcPr>
                  <w:tcW w:w="474" w:type="pct"/>
                  <w:vAlign w:val="center"/>
                </w:tcPr>
                <w:p>
                  <w:pPr>
                    <w:pStyle w:val="102"/>
                    <w:spacing w:line="240" w:lineRule="atLeast"/>
                  </w:pPr>
                  <w:r>
                    <w:rPr>
                      <w:rFonts w:hint="eastAsia"/>
                    </w:rPr>
                    <w:t>0</w:t>
                  </w:r>
                  <w:r>
                    <w:t>.008</w:t>
                  </w:r>
                </w:p>
              </w:tc>
              <w:tc>
                <w:tcPr>
                  <w:tcW w:w="380" w:type="pct"/>
                  <w:vAlign w:val="center"/>
                </w:tcPr>
                <w:p>
                  <w:pPr>
                    <w:pStyle w:val="102"/>
                    <w:spacing w:line="240" w:lineRule="atLeast"/>
                    <w:jc w:val="both"/>
                  </w:pPr>
                  <w:r>
                    <w:rPr>
                      <w:rFonts w:hint="eastAsia"/>
                    </w:rPr>
                    <w:t>1</w:t>
                  </w:r>
                  <w:r>
                    <w:t>3</w:t>
                  </w:r>
                  <w:r>
                    <w:rPr>
                      <w:rFonts w:hint="eastAsia"/>
                    </w:rPr>
                    <w:t>20</w:t>
                  </w:r>
                </w:p>
              </w:tc>
              <w:tc>
                <w:tcPr>
                  <w:tcW w:w="254" w:type="pct"/>
                  <w:vAlign w:val="center"/>
                </w:tcPr>
                <w:p>
                  <w:pPr>
                    <w:pStyle w:val="102"/>
                    <w:spacing w:line="240" w:lineRule="atLeast"/>
                  </w:pPr>
                  <w:r>
                    <w:rPr>
                      <w:rFonts w:hint="eastAsia"/>
                    </w:rPr>
                    <w:t>是</w:t>
                  </w:r>
                </w:p>
              </w:tc>
            </w:tr>
          </w:tbl>
          <w:p>
            <w:pPr>
              <w:widowControl/>
              <w:jc w:val="center"/>
              <w:rPr>
                <w:b/>
                <w:bCs/>
              </w:rPr>
            </w:pPr>
          </w:p>
          <w:p>
            <w:pPr>
              <w:widowControl/>
              <w:spacing w:line="360" w:lineRule="auto"/>
              <w:ind w:firstLine="482" w:firstLineChars="200"/>
              <w:rPr>
                <w:b/>
                <w:bCs/>
                <w:sz w:val="24"/>
              </w:rPr>
            </w:pPr>
            <w:r>
              <w:rPr>
                <w:b/>
                <w:bCs/>
                <w:sz w:val="24"/>
              </w:rPr>
              <w:t>（</w:t>
            </w:r>
            <w:r>
              <w:rPr>
                <w:rFonts w:hint="eastAsia"/>
                <w:b/>
                <w:bCs/>
                <w:sz w:val="24"/>
              </w:rPr>
              <w:t>3</w:t>
            </w:r>
            <w:r>
              <w:rPr>
                <w:b/>
                <w:bCs/>
                <w:sz w:val="24"/>
              </w:rPr>
              <w:t>）废气排放达标情况</w:t>
            </w:r>
          </w:p>
          <w:p>
            <w:pPr>
              <w:widowControl/>
              <w:spacing w:line="360" w:lineRule="auto"/>
              <w:ind w:firstLine="480" w:firstLineChars="200"/>
              <w:rPr>
                <w:sz w:val="24"/>
              </w:rPr>
            </w:pPr>
            <w:r>
              <w:rPr>
                <w:sz w:val="24"/>
              </w:rPr>
              <w:t>根据计算，</w:t>
            </w:r>
            <w:r>
              <w:rPr>
                <w:rFonts w:hint="eastAsia"/>
                <w:sz w:val="24"/>
              </w:rPr>
              <w:t>池窑烟尘废气经处理后排放浓度为</w:t>
            </w:r>
            <w:r>
              <w:rPr>
                <w:sz w:val="24"/>
              </w:rPr>
              <w:t>6</w:t>
            </w:r>
            <w:r>
              <w:rPr>
                <w:rFonts w:hint="eastAsia"/>
                <w:sz w:val="24"/>
              </w:rPr>
              <w:t>mg/m³，可以满足《矿物棉工业大气污染物排放标准》（GB 41617-2022）排放限值；</w:t>
            </w:r>
            <w:r>
              <w:rPr>
                <w:rFonts w:hint="eastAsia"/>
                <w:bCs/>
                <w:sz w:val="24"/>
              </w:rPr>
              <w:t>烘干工序非甲烷总烃排放浓度为0.5mg/m³，固化工序非甲烷总烃排放浓度为0.3mg/m³，均</w:t>
            </w:r>
            <w:r>
              <w:rPr>
                <w:rFonts w:hint="eastAsia"/>
                <w:sz w:val="24"/>
              </w:rPr>
              <w:t>可以满足《矿物棉工业大气污染物排放标准》（GB 41617-2022）标准限值；食堂油烟</w:t>
            </w:r>
            <w:r>
              <w:rPr>
                <w:sz w:val="24"/>
              </w:rPr>
              <w:t>排放浓度</w:t>
            </w:r>
            <w:r>
              <w:rPr>
                <w:rFonts w:hint="eastAsia"/>
                <w:sz w:val="24"/>
              </w:rPr>
              <w:t>0.</w:t>
            </w:r>
            <w:r>
              <w:rPr>
                <w:sz w:val="24"/>
              </w:rPr>
              <w:t>8mg/m</w:t>
            </w:r>
            <w:r>
              <w:rPr>
                <w:rFonts w:hint="eastAsia"/>
                <w:sz w:val="24"/>
                <w:vertAlign w:val="superscript"/>
              </w:rPr>
              <w:t>3</w:t>
            </w:r>
            <w:r>
              <w:rPr>
                <w:sz w:val="24"/>
              </w:rPr>
              <w:t>，符合《饮食业油烟排放标准（试行）》（GB18483-2001）</w:t>
            </w:r>
            <w:r>
              <w:rPr>
                <w:rFonts w:hint="eastAsia"/>
                <w:sz w:val="24"/>
              </w:rPr>
              <w:t>限值要求，废气均能达标排放</w:t>
            </w:r>
            <w:r>
              <w:rPr>
                <w:sz w:val="24"/>
              </w:rPr>
              <w:t>。</w:t>
            </w:r>
          </w:p>
          <w:p>
            <w:pPr>
              <w:widowControl/>
              <w:spacing w:line="360" w:lineRule="auto"/>
              <w:ind w:firstLine="482" w:firstLineChars="200"/>
              <w:rPr>
                <w:b/>
                <w:bCs/>
                <w:sz w:val="24"/>
              </w:rPr>
            </w:pPr>
            <w:r>
              <w:rPr>
                <w:b/>
                <w:bCs/>
                <w:sz w:val="24"/>
              </w:rPr>
              <w:t>（</w:t>
            </w:r>
            <w:r>
              <w:rPr>
                <w:rFonts w:hint="eastAsia"/>
                <w:b/>
                <w:bCs/>
                <w:sz w:val="24"/>
              </w:rPr>
              <w:t>4</w:t>
            </w:r>
            <w:r>
              <w:rPr>
                <w:b/>
                <w:bCs/>
                <w:sz w:val="24"/>
              </w:rPr>
              <w:t>）污染治理技术可行性分析</w:t>
            </w:r>
          </w:p>
          <w:p>
            <w:pPr>
              <w:widowControl/>
              <w:spacing w:line="360" w:lineRule="auto"/>
              <w:ind w:firstLine="480" w:firstLineChars="200"/>
              <w:rPr>
                <w:sz w:val="24"/>
              </w:rPr>
            </w:pPr>
            <w:r>
              <w:rPr>
                <w:rFonts w:hint="eastAsia"/>
                <w:sz w:val="24"/>
              </w:rPr>
              <w:t>本项目池窑温度约 1400~1450℃，在耐火材料吸收部分热量后，烟气温度已经自然冷却到500 度左右，进入集气罩废气收集系统后的温度自然冷却到200℃以下。选用高温布袋除尘器，布袋采用</w:t>
            </w:r>
            <w:r>
              <w:rPr>
                <w:rFonts w:hint="eastAsia" w:ascii="Arial" w:hAnsi="Arial" w:eastAsia="Arial" w:cs="Arial"/>
                <w:sz w:val="24"/>
                <w:shd w:val="clear" w:color="auto" w:fill="FFFFFF"/>
              </w:rPr>
              <w:t>合成纤维滤料</w:t>
            </w:r>
            <w:r>
              <w:rPr>
                <w:rFonts w:hint="eastAsia" w:ascii="Arial" w:hAnsi="Arial" w:cs="Arial"/>
                <w:sz w:val="24"/>
                <w:shd w:val="clear" w:color="auto" w:fill="FFFFFF"/>
              </w:rPr>
              <w:t>，</w:t>
            </w:r>
            <w:r>
              <w:rPr>
                <w:rFonts w:hint="eastAsia" w:ascii="Arial" w:hAnsi="Arial" w:eastAsia="Arial" w:cs="Arial"/>
                <w:sz w:val="24"/>
                <w:shd w:val="clear" w:color="auto" w:fill="FFFFFF"/>
              </w:rPr>
              <w:t>耐温200-260</w:t>
            </w:r>
            <w:r>
              <w:rPr>
                <w:rFonts w:hint="eastAsia"/>
                <w:sz w:val="24"/>
              </w:rPr>
              <w:t>℃，可以满足项目废气温度要求。含尘气体由进风口进入除尘器箱体内，细小尘粒由于布袋的多种效应作用，被滞阻在布袋外壁。净化后的气体通过布袋上箱体出风口排出。随着使用时间的增长，布 袋表面吸附的粉尘增多，布袋的透气性减弱，使除尘器阻力不断增大。为保证除尘器 的阻力控制在限定的范围之内，由脉冲控制仪发出信号，循序打开电磁脉冲阀，使气 包内的压缩空气由喷吹管各喷孔喷射到对应的文氏管（称为一次风），并在高速气流通过文氏管时诱导数倍于一次风的周围空气（称为二次风）进入滤筒，造成布袋间急剧膨胀，由于反向脉冲气流的冲击作用很快消失，布袋又急剧收缩，这样使积附在布 袋外壁上的粉尘被清除，落下的灰尘进入灰库。布袋除尘器除尘效率高达99%以上。因此，废气技术措施可行。</w:t>
            </w:r>
          </w:p>
          <w:p>
            <w:pPr>
              <w:autoSpaceDE w:val="0"/>
              <w:autoSpaceDN w:val="0"/>
              <w:spacing w:line="360" w:lineRule="auto"/>
              <w:ind w:firstLine="480" w:firstLineChars="200"/>
              <w:rPr>
                <w:bCs/>
                <w:kern w:val="0"/>
                <w:sz w:val="24"/>
                <w:szCs w:val="20"/>
              </w:rPr>
            </w:pPr>
            <w:r>
              <w:rPr>
                <w:rFonts w:hint="eastAsia"/>
                <w:bCs/>
                <w:kern w:val="0"/>
                <w:sz w:val="24"/>
                <w:szCs w:val="20"/>
              </w:rPr>
              <w:t>项目烘干和固化过程中会有部分有机废气产生，设置集气罩+两级活性炭吸附装置+</w:t>
            </w:r>
            <w:r>
              <w:rPr>
                <w:bCs/>
                <w:kern w:val="0"/>
                <w:sz w:val="24"/>
                <w:szCs w:val="20"/>
              </w:rPr>
              <w:t>15m</w:t>
            </w:r>
            <w:r>
              <w:rPr>
                <w:rFonts w:hint="eastAsia"/>
                <w:bCs/>
                <w:kern w:val="0"/>
                <w:sz w:val="24"/>
                <w:szCs w:val="20"/>
              </w:rPr>
              <w:t>排气筒进行处理，经吸附净化后浓度可以满足排放标准，参照</w:t>
            </w:r>
            <w:r>
              <w:rPr>
                <w:sz w:val="24"/>
              </w:rPr>
              <w:t>《排污许可</w:t>
            </w:r>
            <w:r>
              <w:rPr>
                <w:rFonts w:hint="eastAsia"/>
                <w:sz w:val="24"/>
              </w:rPr>
              <w:t>证</w:t>
            </w:r>
            <w:r>
              <w:rPr>
                <w:sz w:val="24"/>
              </w:rPr>
              <w:t>申请与核发技术规范</w:t>
            </w:r>
            <w:r>
              <w:rPr>
                <w:rFonts w:hint="eastAsia"/>
                <w:sz w:val="24"/>
              </w:rPr>
              <w:t>》，其中治理</w:t>
            </w:r>
            <w:r>
              <w:rPr>
                <w:sz w:val="24"/>
              </w:rPr>
              <w:t>非甲烷总烃的可行技术为：</w:t>
            </w:r>
            <w:r>
              <w:rPr>
                <w:rFonts w:hint="eastAsia"/>
                <w:sz w:val="24"/>
              </w:rPr>
              <w:t>除尘、</w:t>
            </w:r>
            <w:r>
              <w:rPr>
                <w:sz w:val="24"/>
              </w:rPr>
              <w:t>喷淋</w:t>
            </w:r>
            <w:r>
              <w:rPr>
                <w:rFonts w:hint="eastAsia"/>
                <w:sz w:val="24"/>
              </w:rPr>
              <w:t>、</w:t>
            </w:r>
            <w:r>
              <w:rPr>
                <w:sz w:val="24"/>
              </w:rPr>
              <w:t>吸附</w:t>
            </w:r>
            <w:r>
              <w:rPr>
                <w:rFonts w:hint="eastAsia"/>
                <w:sz w:val="24"/>
              </w:rPr>
              <w:t>、</w:t>
            </w:r>
            <w:r>
              <w:rPr>
                <w:sz w:val="24"/>
              </w:rPr>
              <w:t>吸附浓缩+热力燃烧/催化燃料</w:t>
            </w:r>
            <w:r>
              <w:rPr>
                <w:rFonts w:hint="eastAsia"/>
                <w:sz w:val="24"/>
              </w:rPr>
              <w:t>，</w:t>
            </w:r>
            <w:r>
              <w:rPr>
                <w:rFonts w:hint="eastAsia"/>
                <w:bCs/>
                <w:kern w:val="0"/>
                <w:sz w:val="24"/>
                <w:szCs w:val="20"/>
              </w:rPr>
              <w:t>故本项目采取活性炭吸附技术可行。</w:t>
            </w:r>
          </w:p>
          <w:p>
            <w:pPr>
              <w:pStyle w:val="4"/>
              <w:spacing w:line="360" w:lineRule="auto"/>
              <w:ind w:firstLine="480" w:firstLineChars="200"/>
              <w:jc w:val="left"/>
              <w:rPr>
                <w:rFonts w:ascii="Times New Roman" w:eastAsia="宋体"/>
                <w:color w:val="auto"/>
                <w:sz w:val="24"/>
              </w:rPr>
            </w:pPr>
            <w:r>
              <w:rPr>
                <w:rFonts w:ascii="Times New Roman" w:eastAsia="宋体"/>
                <w:color w:val="auto"/>
                <w:sz w:val="24"/>
              </w:rPr>
              <w:t>无组织颗粒物和非甲烷总烃控制要求：</w:t>
            </w:r>
          </w:p>
          <w:p>
            <w:pPr>
              <w:pStyle w:val="4"/>
              <w:spacing w:line="360" w:lineRule="auto"/>
              <w:ind w:firstLine="480" w:firstLineChars="200"/>
              <w:jc w:val="left"/>
              <w:rPr>
                <w:rFonts w:ascii="Times New Roman" w:eastAsia="宋体"/>
                <w:color w:val="auto"/>
                <w:sz w:val="24"/>
              </w:rPr>
            </w:pPr>
            <w:r>
              <w:rPr>
                <w:rFonts w:hint="eastAsia" w:ascii="Times New Roman" w:eastAsia="宋体"/>
                <w:color w:val="auto"/>
                <w:sz w:val="24"/>
              </w:rPr>
              <w:t>①原料在全封闭原料库内储存，物料厂内转移、输送过程，应封闭抑尘措施。</w:t>
            </w:r>
          </w:p>
          <w:p>
            <w:pPr>
              <w:pStyle w:val="4"/>
              <w:spacing w:line="360" w:lineRule="auto"/>
              <w:ind w:firstLine="480" w:firstLineChars="200"/>
              <w:jc w:val="left"/>
              <w:rPr>
                <w:rFonts w:ascii="Times New Roman" w:eastAsia="宋体"/>
                <w:color w:val="auto"/>
                <w:sz w:val="24"/>
              </w:rPr>
            </w:pPr>
            <w:r>
              <w:rPr>
                <w:rFonts w:hint="eastAsia" w:ascii="Times New Roman" w:eastAsia="宋体"/>
                <w:color w:val="auto"/>
                <w:sz w:val="24"/>
              </w:rPr>
              <w:t>② 池窑烟道口设置集气罩，并配备高温布袋除尘器。</w:t>
            </w:r>
          </w:p>
          <w:p>
            <w:pPr>
              <w:pStyle w:val="4"/>
              <w:spacing w:line="360" w:lineRule="auto"/>
              <w:ind w:firstLine="480" w:firstLineChars="200"/>
              <w:jc w:val="left"/>
              <w:rPr>
                <w:rFonts w:ascii="Times New Roman" w:eastAsia="宋体"/>
                <w:color w:val="auto"/>
                <w:sz w:val="24"/>
              </w:rPr>
            </w:pPr>
            <w:r>
              <w:rPr>
                <w:rFonts w:hint="eastAsia" w:ascii="Times New Roman" w:eastAsia="宋体"/>
                <w:color w:val="auto"/>
                <w:sz w:val="24"/>
              </w:rPr>
              <w:t>③ 切割工序应在封闭空间操作。</w:t>
            </w:r>
          </w:p>
          <w:p>
            <w:pPr>
              <w:pStyle w:val="4"/>
              <w:spacing w:line="360" w:lineRule="auto"/>
              <w:ind w:firstLine="480" w:firstLineChars="200"/>
              <w:jc w:val="left"/>
              <w:rPr>
                <w:rFonts w:ascii="Times New Roman" w:eastAsia="宋体"/>
                <w:color w:val="auto"/>
                <w:sz w:val="24"/>
              </w:rPr>
            </w:pPr>
            <w:r>
              <w:rPr>
                <w:rFonts w:hint="eastAsia" w:ascii="Times New Roman" w:eastAsia="宋体"/>
                <w:color w:val="auto"/>
                <w:sz w:val="24"/>
              </w:rPr>
              <w:t>④ 厂区道路应硬化，并采取清扫、洒水等措施保持清洁。未硬化的厂区 地面应采取绿化等措施。</w:t>
            </w:r>
          </w:p>
          <w:p>
            <w:pPr>
              <w:pStyle w:val="4"/>
              <w:spacing w:line="360" w:lineRule="auto"/>
              <w:ind w:firstLine="480" w:firstLineChars="200"/>
              <w:jc w:val="left"/>
              <w:rPr>
                <w:rFonts w:ascii="Times New Roman" w:eastAsia="宋体"/>
                <w:color w:val="auto"/>
                <w:sz w:val="24"/>
              </w:rPr>
            </w:pPr>
            <w:r>
              <w:rPr>
                <w:rFonts w:hint="eastAsia" w:ascii="Times New Roman" w:eastAsia="宋体"/>
                <w:color w:val="auto"/>
                <w:sz w:val="24"/>
              </w:rPr>
              <w:t>⑤ 树脂、固化剂等VOCs物料应储存于密闭的容器、储库、料仓中。</w:t>
            </w:r>
          </w:p>
          <w:p>
            <w:pPr>
              <w:pStyle w:val="4"/>
              <w:spacing w:line="360" w:lineRule="auto"/>
              <w:ind w:firstLine="480" w:firstLineChars="200"/>
              <w:jc w:val="left"/>
              <w:rPr>
                <w:rFonts w:ascii="Times New Roman" w:eastAsia="宋体"/>
                <w:color w:val="auto"/>
                <w:sz w:val="24"/>
              </w:rPr>
            </w:pPr>
            <w:r>
              <w:rPr>
                <w:rFonts w:hint="eastAsia" w:ascii="Times New Roman" w:eastAsia="宋体"/>
                <w:color w:val="auto"/>
                <w:sz w:val="24"/>
              </w:rPr>
              <w:t>⑥ 盛装VOCs物料的容器或包装袋应存放于危废暂存间。盛装VOCs物料的容器或包装袋在非取用状态时应加盖、封口，保持密闭。VOCs物料转移和输送时应采用密闭管道或密闭容器、包装袋。</w:t>
            </w:r>
          </w:p>
          <w:p>
            <w:pPr>
              <w:pStyle w:val="4"/>
              <w:spacing w:line="360" w:lineRule="auto"/>
              <w:ind w:firstLine="480" w:firstLineChars="200"/>
              <w:jc w:val="left"/>
              <w:rPr>
                <w:rFonts w:ascii="Times New Roman" w:eastAsia="宋体"/>
                <w:color w:val="auto"/>
                <w:sz w:val="24"/>
              </w:rPr>
            </w:pPr>
            <w:r>
              <w:rPr>
                <w:rFonts w:hint="eastAsia" w:ascii="Times New Roman" w:eastAsia="宋体"/>
                <w:color w:val="auto"/>
                <w:sz w:val="24"/>
              </w:rPr>
              <w:t>⑦ VOCs物料储库、料仓应满足密闭（封闭）空间的要求。</w:t>
            </w:r>
          </w:p>
          <w:p>
            <w:pPr>
              <w:pStyle w:val="4"/>
              <w:spacing w:line="360" w:lineRule="auto"/>
              <w:ind w:firstLine="480" w:firstLineChars="200"/>
              <w:jc w:val="left"/>
              <w:rPr>
                <w:rFonts w:ascii="Times New Roman" w:eastAsia="宋体"/>
                <w:color w:val="auto"/>
                <w:sz w:val="24"/>
              </w:rPr>
            </w:pPr>
            <w:r>
              <w:rPr>
                <w:rFonts w:hint="eastAsia" w:ascii="Times New Roman" w:eastAsia="宋体"/>
                <w:color w:val="auto"/>
                <w:sz w:val="24"/>
              </w:rPr>
              <w:t>⑧固化等涉VOCs物料工序应采用密闭设备，废气经管道收集排至废气收集处理系统处理后排放。</w:t>
            </w:r>
          </w:p>
          <w:p>
            <w:pPr>
              <w:widowControl/>
              <w:spacing w:line="360" w:lineRule="auto"/>
              <w:ind w:firstLine="482" w:firstLineChars="200"/>
              <w:rPr>
                <w:b/>
                <w:bCs/>
                <w:sz w:val="24"/>
              </w:rPr>
            </w:pPr>
            <w:r>
              <w:rPr>
                <w:b/>
                <w:bCs/>
                <w:sz w:val="24"/>
              </w:rPr>
              <w:t>（</w:t>
            </w:r>
            <w:r>
              <w:rPr>
                <w:rFonts w:hint="eastAsia"/>
                <w:b/>
                <w:bCs/>
                <w:sz w:val="24"/>
              </w:rPr>
              <w:t>5</w:t>
            </w:r>
            <w:r>
              <w:rPr>
                <w:b/>
                <w:bCs/>
                <w:sz w:val="24"/>
              </w:rPr>
              <w:t>）废气排放口基本情况</w:t>
            </w:r>
          </w:p>
          <w:p>
            <w:pPr>
              <w:widowControl/>
              <w:spacing w:line="360" w:lineRule="auto"/>
              <w:ind w:firstLine="480" w:firstLineChars="200"/>
              <w:rPr>
                <w:sz w:val="24"/>
              </w:rPr>
            </w:pPr>
            <w:r>
              <w:rPr>
                <w:rFonts w:hint="eastAsia"/>
                <w:sz w:val="24"/>
              </w:rPr>
              <w:t>项目废气排放口基本情况见表4</w:t>
            </w:r>
            <w:r>
              <w:rPr>
                <w:sz w:val="24"/>
              </w:rPr>
              <w:t>-</w:t>
            </w:r>
            <w:r>
              <w:rPr>
                <w:rFonts w:hint="eastAsia"/>
                <w:sz w:val="24"/>
              </w:rPr>
              <w:t>2。</w:t>
            </w:r>
          </w:p>
          <w:p>
            <w:pPr>
              <w:widowControl/>
              <w:jc w:val="center"/>
              <w:rPr>
                <w:b/>
                <w:bCs/>
              </w:rPr>
            </w:pPr>
            <w:r>
              <w:rPr>
                <w:rFonts w:hint="eastAsia"/>
                <w:b/>
                <w:bCs/>
              </w:rPr>
              <w:t>表4-2 大气排放口基础信息表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942"/>
              <w:gridCol w:w="688"/>
              <w:gridCol w:w="1141"/>
              <w:gridCol w:w="1032"/>
              <w:gridCol w:w="800"/>
              <w:gridCol w:w="800"/>
              <w:gridCol w:w="642"/>
              <w:gridCol w:w="794"/>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44" w:type="pct"/>
                  <w:vMerge w:val="restart"/>
                  <w:vAlign w:val="center"/>
                </w:tcPr>
                <w:p>
                  <w:pPr>
                    <w:pStyle w:val="102"/>
                  </w:pPr>
                  <w:r>
                    <w:rPr>
                      <w:rFonts w:hint="eastAsia"/>
                    </w:rPr>
                    <w:t>排放口编号</w:t>
                  </w:r>
                </w:p>
              </w:tc>
              <w:tc>
                <w:tcPr>
                  <w:tcW w:w="599" w:type="pct"/>
                  <w:vMerge w:val="restart"/>
                  <w:vAlign w:val="center"/>
                </w:tcPr>
                <w:p>
                  <w:pPr>
                    <w:pStyle w:val="102"/>
                  </w:pPr>
                  <w:r>
                    <w:rPr>
                      <w:rFonts w:hint="eastAsia"/>
                    </w:rPr>
                    <w:t>排放口名称</w:t>
                  </w:r>
                </w:p>
              </w:tc>
              <w:tc>
                <w:tcPr>
                  <w:tcW w:w="442" w:type="pct"/>
                  <w:vMerge w:val="restart"/>
                  <w:vAlign w:val="center"/>
                </w:tcPr>
                <w:p>
                  <w:pPr>
                    <w:pStyle w:val="102"/>
                  </w:pPr>
                  <w:r>
                    <w:rPr>
                      <w:rFonts w:hint="eastAsia"/>
                    </w:rPr>
                    <w:t>污染物种类</w:t>
                  </w:r>
                </w:p>
              </w:tc>
              <w:tc>
                <w:tcPr>
                  <w:tcW w:w="1375" w:type="pct"/>
                  <w:gridSpan w:val="2"/>
                  <w:vAlign w:val="center"/>
                </w:tcPr>
                <w:p>
                  <w:pPr>
                    <w:pStyle w:val="102"/>
                  </w:pPr>
                  <w:r>
                    <w:rPr>
                      <w:rFonts w:hint="eastAsia"/>
                    </w:rPr>
                    <w:t>排放口地理坐标</w:t>
                  </w:r>
                </w:p>
              </w:tc>
              <w:tc>
                <w:tcPr>
                  <w:tcW w:w="471" w:type="pct"/>
                  <w:vMerge w:val="restart"/>
                  <w:vAlign w:val="center"/>
                </w:tcPr>
                <w:p>
                  <w:pPr>
                    <w:pStyle w:val="102"/>
                  </w:pPr>
                  <w:r>
                    <w:rPr>
                      <w:rFonts w:hint="eastAsia"/>
                    </w:rPr>
                    <w:t>排气筒高度（m）</w:t>
                  </w:r>
                </w:p>
              </w:tc>
              <w:tc>
                <w:tcPr>
                  <w:tcW w:w="471" w:type="pct"/>
                  <w:vMerge w:val="restart"/>
                  <w:vAlign w:val="center"/>
                </w:tcPr>
                <w:p>
                  <w:pPr>
                    <w:pStyle w:val="102"/>
                  </w:pPr>
                  <w:r>
                    <w:rPr>
                      <w:rFonts w:hint="eastAsia"/>
                    </w:rPr>
                    <w:t>排气筒出口内径（m）</w:t>
                  </w:r>
                </w:p>
              </w:tc>
              <w:tc>
                <w:tcPr>
                  <w:tcW w:w="378" w:type="pct"/>
                  <w:vMerge w:val="restart"/>
                  <w:vAlign w:val="center"/>
                </w:tcPr>
                <w:p>
                  <w:pPr>
                    <w:pStyle w:val="102"/>
                  </w:pPr>
                  <w:r>
                    <w:rPr>
                      <w:rFonts w:hint="eastAsia"/>
                    </w:rPr>
                    <w:t>排气温度</w:t>
                  </w:r>
                  <w:r>
                    <w:t>℃</w:t>
                  </w:r>
                </w:p>
              </w:tc>
              <w:tc>
                <w:tcPr>
                  <w:tcW w:w="468" w:type="pct"/>
                  <w:vMerge w:val="restart"/>
                  <w:vAlign w:val="center"/>
                </w:tcPr>
                <w:p>
                  <w:pPr>
                    <w:pStyle w:val="102"/>
                  </w:pPr>
                  <w:r>
                    <w:rPr>
                      <w:rFonts w:ascii="宋体" w:hAnsi="宋体"/>
                    </w:rPr>
                    <w:t>排放速率kg/h</w:t>
                  </w:r>
                </w:p>
              </w:tc>
              <w:tc>
                <w:tcPr>
                  <w:tcW w:w="250" w:type="pct"/>
                  <w:vMerge w:val="restart"/>
                  <w:vAlign w:val="center"/>
                </w:tcPr>
                <w:p>
                  <w:pPr>
                    <w:pStyle w:val="102"/>
                  </w:pPr>
                  <w:r>
                    <w:rPr>
                      <w:rFonts w:ascii="宋体" w:hAnsi="宋体"/>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4" w:type="pct"/>
                  <w:vMerge w:val="continue"/>
                  <w:vAlign w:val="center"/>
                </w:tcPr>
                <w:p>
                  <w:pPr>
                    <w:pStyle w:val="102"/>
                  </w:pPr>
                </w:p>
              </w:tc>
              <w:tc>
                <w:tcPr>
                  <w:tcW w:w="599" w:type="pct"/>
                  <w:vMerge w:val="continue"/>
                  <w:vAlign w:val="center"/>
                </w:tcPr>
                <w:p>
                  <w:pPr>
                    <w:pStyle w:val="102"/>
                  </w:pPr>
                </w:p>
              </w:tc>
              <w:tc>
                <w:tcPr>
                  <w:tcW w:w="442" w:type="pct"/>
                  <w:vMerge w:val="continue"/>
                  <w:vAlign w:val="center"/>
                </w:tcPr>
                <w:p>
                  <w:pPr>
                    <w:pStyle w:val="102"/>
                  </w:pPr>
                </w:p>
              </w:tc>
              <w:tc>
                <w:tcPr>
                  <w:tcW w:w="721" w:type="pct"/>
                  <w:vAlign w:val="center"/>
                </w:tcPr>
                <w:p>
                  <w:pPr>
                    <w:pStyle w:val="102"/>
                  </w:pPr>
                  <w:r>
                    <w:rPr>
                      <w:rFonts w:hint="eastAsia"/>
                    </w:rPr>
                    <w:t>经度</w:t>
                  </w:r>
                </w:p>
              </w:tc>
              <w:tc>
                <w:tcPr>
                  <w:tcW w:w="654" w:type="pct"/>
                  <w:vAlign w:val="center"/>
                </w:tcPr>
                <w:p>
                  <w:pPr>
                    <w:pStyle w:val="102"/>
                  </w:pPr>
                  <w:r>
                    <w:rPr>
                      <w:rFonts w:hint="eastAsia"/>
                    </w:rPr>
                    <w:t>纬度</w:t>
                  </w:r>
                </w:p>
              </w:tc>
              <w:tc>
                <w:tcPr>
                  <w:tcW w:w="471" w:type="pct"/>
                  <w:vMerge w:val="continue"/>
                  <w:vAlign w:val="center"/>
                </w:tcPr>
                <w:p>
                  <w:pPr>
                    <w:pStyle w:val="102"/>
                  </w:pPr>
                </w:p>
              </w:tc>
              <w:tc>
                <w:tcPr>
                  <w:tcW w:w="471" w:type="pct"/>
                  <w:vMerge w:val="continue"/>
                  <w:vAlign w:val="center"/>
                </w:tcPr>
                <w:p>
                  <w:pPr>
                    <w:pStyle w:val="102"/>
                  </w:pPr>
                </w:p>
              </w:tc>
              <w:tc>
                <w:tcPr>
                  <w:tcW w:w="378" w:type="pct"/>
                  <w:vMerge w:val="continue"/>
                  <w:vAlign w:val="center"/>
                </w:tcPr>
                <w:p>
                  <w:pPr>
                    <w:pStyle w:val="102"/>
                  </w:pPr>
                </w:p>
              </w:tc>
              <w:tc>
                <w:tcPr>
                  <w:tcW w:w="468" w:type="pct"/>
                  <w:vMerge w:val="continue"/>
                  <w:vAlign w:val="center"/>
                </w:tcPr>
                <w:p>
                  <w:pPr>
                    <w:pStyle w:val="102"/>
                  </w:pPr>
                </w:p>
              </w:tc>
              <w:tc>
                <w:tcPr>
                  <w:tcW w:w="250" w:type="pct"/>
                  <w:vMerge w:val="continue"/>
                  <w:vAlign w:val="center"/>
                </w:tcPr>
                <w:p>
                  <w:pPr>
                    <w:pStyle w:val="10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Align w:val="center"/>
                </w:tcPr>
                <w:p>
                  <w:pPr>
                    <w:pStyle w:val="102"/>
                  </w:pPr>
                  <w:r>
                    <w:rPr>
                      <w:rFonts w:hint="eastAsia"/>
                    </w:rPr>
                    <w:t>DA001</w:t>
                  </w:r>
                </w:p>
              </w:tc>
              <w:tc>
                <w:tcPr>
                  <w:tcW w:w="599" w:type="pct"/>
                  <w:vAlign w:val="center"/>
                </w:tcPr>
                <w:p>
                  <w:pPr>
                    <w:pStyle w:val="102"/>
                    <w:spacing w:line="240" w:lineRule="atLeast"/>
                  </w:pPr>
                  <w:r>
                    <w:rPr>
                      <w:rFonts w:hint="eastAsia"/>
                    </w:rPr>
                    <w:t>熔炼烟尘</w:t>
                  </w:r>
                </w:p>
              </w:tc>
              <w:tc>
                <w:tcPr>
                  <w:tcW w:w="442" w:type="pct"/>
                  <w:vAlign w:val="center"/>
                </w:tcPr>
                <w:p>
                  <w:pPr>
                    <w:pStyle w:val="102"/>
                  </w:pPr>
                  <w:r>
                    <w:rPr>
                      <w:rFonts w:hint="eastAsia"/>
                    </w:rPr>
                    <w:t>颗粒物</w:t>
                  </w:r>
                </w:p>
              </w:tc>
              <w:tc>
                <w:tcPr>
                  <w:tcW w:w="721" w:type="pct"/>
                  <w:vAlign w:val="center"/>
                </w:tcPr>
                <w:p>
                  <w:pPr>
                    <w:jc w:val="center"/>
                  </w:pPr>
                  <w:r>
                    <w:t>109.00045</w:t>
                  </w:r>
                </w:p>
              </w:tc>
              <w:tc>
                <w:tcPr>
                  <w:tcW w:w="654" w:type="pct"/>
                  <w:vAlign w:val="center"/>
                </w:tcPr>
                <w:p>
                  <w:pPr>
                    <w:jc w:val="center"/>
                  </w:pPr>
                  <w:r>
                    <w:t>37.61888</w:t>
                  </w:r>
                </w:p>
              </w:tc>
              <w:tc>
                <w:tcPr>
                  <w:tcW w:w="471" w:type="pct"/>
                  <w:vAlign w:val="center"/>
                </w:tcPr>
                <w:p>
                  <w:pPr>
                    <w:pStyle w:val="102"/>
                  </w:pPr>
                  <w:r>
                    <w:rPr>
                      <w:rFonts w:hint="eastAsia"/>
                    </w:rPr>
                    <w:t>15</w:t>
                  </w:r>
                </w:p>
              </w:tc>
              <w:tc>
                <w:tcPr>
                  <w:tcW w:w="471" w:type="pct"/>
                  <w:vAlign w:val="center"/>
                </w:tcPr>
                <w:p>
                  <w:pPr>
                    <w:pStyle w:val="102"/>
                  </w:pPr>
                  <w:r>
                    <w:rPr>
                      <w:rFonts w:hint="eastAsia"/>
                    </w:rPr>
                    <w:t>0.5</w:t>
                  </w:r>
                </w:p>
              </w:tc>
              <w:tc>
                <w:tcPr>
                  <w:tcW w:w="378" w:type="pct"/>
                  <w:vAlign w:val="center"/>
                </w:tcPr>
                <w:p>
                  <w:pPr>
                    <w:pStyle w:val="102"/>
                  </w:pPr>
                  <w:r>
                    <w:rPr>
                      <w:rFonts w:hint="eastAsia"/>
                    </w:rPr>
                    <w:t>8</w:t>
                  </w:r>
                  <w:r>
                    <w:t>0</w:t>
                  </w:r>
                </w:p>
              </w:tc>
              <w:tc>
                <w:tcPr>
                  <w:tcW w:w="468" w:type="pct"/>
                  <w:vAlign w:val="center"/>
                </w:tcPr>
                <w:p>
                  <w:pPr>
                    <w:pStyle w:val="102"/>
                  </w:pPr>
                  <w:r>
                    <w:rPr>
                      <w:rFonts w:hint="eastAsia"/>
                    </w:rPr>
                    <w:t>0</w:t>
                  </w:r>
                  <w:r>
                    <w:t>.00</w:t>
                  </w:r>
                  <w:r>
                    <w:rPr>
                      <w:rFonts w:hint="eastAsia"/>
                    </w:rPr>
                    <w:t>4</w:t>
                  </w:r>
                </w:p>
              </w:tc>
              <w:tc>
                <w:tcPr>
                  <w:tcW w:w="250" w:type="pct"/>
                  <w:vAlign w:val="center"/>
                </w:tcPr>
                <w:p>
                  <w:pPr>
                    <w:pStyle w:val="102"/>
                  </w:pPr>
                  <w:r>
                    <w:rPr>
                      <w:rFonts w:hint="eastAsia"/>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Align w:val="center"/>
                </w:tcPr>
                <w:p>
                  <w:pPr>
                    <w:pStyle w:val="102"/>
                  </w:pPr>
                  <w:r>
                    <w:rPr>
                      <w:rFonts w:hint="eastAsia"/>
                    </w:rPr>
                    <w:t>DA002</w:t>
                  </w:r>
                </w:p>
              </w:tc>
              <w:tc>
                <w:tcPr>
                  <w:tcW w:w="599" w:type="pct"/>
                  <w:vAlign w:val="center"/>
                </w:tcPr>
                <w:p>
                  <w:pPr>
                    <w:pStyle w:val="102"/>
                    <w:spacing w:line="240" w:lineRule="atLeast"/>
                  </w:pPr>
                  <w:r>
                    <w:rPr>
                      <w:rFonts w:hint="eastAsia"/>
                    </w:rPr>
                    <w:t>烘干有机废气</w:t>
                  </w:r>
                </w:p>
              </w:tc>
              <w:tc>
                <w:tcPr>
                  <w:tcW w:w="442" w:type="pct"/>
                </w:tcPr>
                <w:p>
                  <w:r>
                    <w:rPr>
                      <w:rFonts w:hint="eastAsia"/>
                    </w:rPr>
                    <w:t>非甲烷总烃</w:t>
                  </w:r>
                </w:p>
              </w:tc>
              <w:tc>
                <w:tcPr>
                  <w:tcW w:w="721" w:type="pct"/>
                  <w:vAlign w:val="center"/>
                </w:tcPr>
                <w:p>
                  <w:pPr>
                    <w:jc w:val="center"/>
                  </w:pPr>
                  <w:r>
                    <w:t>109.00043</w:t>
                  </w:r>
                </w:p>
              </w:tc>
              <w:tc>
                <w:tcPr>
                  <w:tcW w:w="654" w:type="pct"/>
                  <w:vAlign w:val="center"/>
                </w:tcPr>
                <w:p>
                  <w:pPr>
                    <w:jc w:val="center"/>
                  </w:pPr>
                  <w:r>
                    <w:t>37.61928</w:t>
                  </w:r>
                </w:p>
              </w:tc>
              <w:tc>
                <w:tcPr>
                  <w:tcW w:w="471" w:type="pct"/>
                  <w:vAlign w:val="center"/>
                </w:tcPr>
                <w:p>
                  <w:pPr>
                    <w:pStyle w:val="102"/>
                  </w:pPr>
                  <w:r>
                    <w:rPr>
                      <w:rFonts w:hint="eastAsia"/>
                    </w:rPr>
                    <w:t>1</w:t>
                  </w:r>
                  <w:r>
                    <w:t>5</w:t>
                  </w:r>
                </w:p>
              </w:tc>
              <w:tc>
                <w:tcPr>
                  <w:tcW w:w="471" w:type="pct"/>
                  <w:vAlign w:val="center"/>
                </w:tcPr>
                <w:p>
                  <w:pPr>
                    <w:pStyle w:val="102"/>
                  </w:pPr>
                  <w:r>
                    <w:rPr>
                      <w:rFonts w:hint="eastAsia"/>
                    </w:rPr>
                    <w:t>0</w:t>
                  </w:r>
                  <w:r>
                    <w:t>.5</w:t>
                  </w:r>
                </w:p>
              </w:tc>
              <w:tc>
                <w:tcPr>
                  <w:tcW w:w="378" w:type="pct"/>
                  <w:vAlign w:val="center"/>
                </w:tcPr>
                <w:p>
                  <w:pPr>
                    <w:pStyle w:val="102"/>
                  </w:pPr>
                  <w:r>
                    <w:rPr>
                      <w:rFonts w:hint="eastAsia"/>
                    </w:rPr>
                    <w:t>5</w:t>
                  </w:r>
                  <w:r>
                    <w:t>0</w:t>
                  </w:r>
                </w:p>
              </w:tc>
              <w:tc>
                <w:tcPr>
                  <w:tcW w:w="468" w:type="pct"/>
                  <w:vAlign w:val="center"/>
                </w:tcPr>
                <w:p>
                  <w:pPr>
                    <w:pStyle w:val="102"/>
                  </w:pPr>
                  <w:r>
                    <w:rPr>
                      <w:rFonts w:hint="eastAsia"/>
                    </w:rPr>
                    <w:t>0</w:t>
                  </w:r>
                  <w:r>
                    <w:t>.</w:t>
                  </w:r>
                  <w:r>
                    <w:rPr>
                      <w:rFonts w:hint="eastAsia"/>
                    </w:rPr>
                    <w:t>005</w:t>
                  </w:r>
                </w:p>
              </w:tc>
              <w:tc>
                <w:tcPr>
                  <w:tcW w:w="250" w:type="pct"/>
                  <w:vAlign w:val="center"/>
                </w:tcPr>
                <w:p>
                  <w:pPr>
                    <w:pStyle w:val="102"/>
                  </w:pPr>
                  <w:r>
                    <w:rPr>
                      <w:rFonts w:hint="eastAsia"/>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44" w:type="pct"/>
                  <w:vAlign w:val="center"/>
                </w:tcPr>
                <w:p>
                  <w:pPr>
                    <w:pStyle w:val="102"/>
                  </w:pPr>
                  <w:r>
                    <w:rPr>
                      <w:rFonts w:hint="eastAsia"/>
                    </w:rPr>
                    <w:t>DA00</w:t>
                  </w:r>
                  <w:r>
                    <w:t>3</w:t>
                  </w:r>
                </w:p>
              </w:tc>
              <w:tc>
                <w:tcPr>
                  <w:tcW w:w="599" w:type="pct"/>
                  <w:vAlign w:val="center"/>
                </w:tcPr>
                <w:p>
                  <w:pPr>
                    <w:pStyle w:val="102"/>
                    <w:spacing w:line="240" w:lineRule="atLeast"/>
                  </w:pPr>
                  <w:r>
                    <w:rPr>
                      <w:rFonts w:hint="eastAsia"/>
                    </w:rPr>
                    <w:t>固化有机废气</w:t>
                  </w:r>
                </w:p>
              </w:tc>
              <w:tc>
                <w:tcPr>
                  <w:tcW w:w="442" w:type="pct"/>
                </w:tcPr>
                <w:p>
                  <w:r>
                    <w:rPr>
                      <w:rFonts w:hint="eastAsia"/>
                    </w:rPr>
                    <w:t>非甲烷总烃</w:t>
                  </w:r>
                </w:p>
              </w:tc>
              <w:tc>
                <w:tcPr>
                  <w:tcW w:w="721" w:type="pct"/>
                  <w:vAlign w:val="center"/>
                </w:tcPr>
                <w:p>
                  <w:pPr>
                    <w:jc w:val="center"/>
                  </w:pPr>
                  <w:r>
                    <w:t>109.00039</w:t>
                  </w:r>
                </w:p>
              </w:tc>
              <w:tc>
                <w:tcPr>
                  <w:tcW w:w="654" w:type="pct"/>
                  <w:vAlign w:val="center"/>
                </w:tcPr>
                <w:p>
                  <w:pPr>
                    <w:jc w:val="center"/>
                  </w:pPr>
                  <w:r>
                    <w:t>37.61962</w:t>
                  </w:r>
                </w:p>
              </w:tc>
              <w:tc>
                <w:tcPr>
                  <w:tcW w:w="471" w:type="pct"/>
                  <w:vAlign w:val="center"/>
                </w:tcPr>
                <w:p>
                  <w:pPr>
                    <w:pStyle w:val="102"/>
                  </w:pPr>
                  <w:r>
                    <w:rPr>
                      <w:rFonts w:hint="eastAsia"/>
                    </w:rPr>
                    <w:t>1</w:t>
                  </w:r>
                  <w:r>
                    <w:t>5</w:t>
                  </w:r>
                </w:p>
              </w:tc>
              <w:tc>
                <w:tcPr>
                  <w:tcW w:w="471" w:type="pct"/>
                  <w:vAlign w:val="center"/>
                </w:tcPr>
                <w:p>
                  <w:pPr>
                    <w:pStyle w:val="102"/>
                  </w:pPr>
                  <w:r>
                    <w:rPr>
                      <w:rFonts w:hint="eastAsia"/>
                    </w:rPr>
                    <w:t>0</w:t>
                  </w:r>
                  <w:r>
                    <w:t>.5</w:t>
                  </w:r>
                </w:p>
              </w:tc>
              <w:tc>
                <w:tcPr>
                  <w:tcW w:w="378" w:type="pct"/>
                  <w:vAlign w:val="center"/>
                </w:tcPr>
                <w:p>
                  <w:pPr>
                    <w:pStyle w:val="102"/>
                  </w:pPr>
                  <w:r>
                    <w:rPr>
                      <w:rFonts w:hint="eastAsia"/>
                    </w:rPr>
                    <w:t>5</w:t>
                  </w:r>
                  <w:r>
                    <w:t>0</w:t>
                  </w:r>
                </w:p>
              </w:tc>
              <w:tc>
                <w:tcPr>
                  <w:tcW w:w="468" w:type="pct"/>
                  <w:vAlign w:val="center"/>
                </w:tcPr>
                <w:p>
                  <w:pPr>
                    <w:pStyle w:val="102"/>
                  </w:pPr>
                  <w:r>
                    <w:rPr>
                      <w:rFonts w:hint="eastAsia"/>
                    </w:rPr>
                    <w:t>0</w:t>
                  </w:r>
                  <w:r>
                    <w:t>.0</w:t>
                  </w:r>
                  <w:r>
                    <w:rPr>
                      <w:rFonts w:hint="eastAsia"/>
                    </w:rPr>
                    <w:t>03</w:t>
                  </w:r>
                </w:p>
              </w:tc>
              <w:tc>
                <w:tcPr>
                  <w:tcW w:w="250" w:type="pct"/>
                  <w:vAlign w:val="center"/>
                </w:tcPr>
                <w:p>
                  <w:pPr>
                    <w:pStyle w:val="102"/>
                  </w:pPr>
                  <w:r>
                    <w:rPr>
                      <w:rFonts w:hint="eastAsia"/>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Align w:val="center"/>
                </w:tcPr>
                <w:p>
                  <w:pPr>
                    <w:pStyle w:val="102"/>
                  </w:pPr>
                  <w:r>
                    <w:rPr>
                      <w:rFonts w:hint="eastAsia"/>
                    </w:rPr>
                    <w:t>DA002</w:t>
                  </w:r>
                </w:p>
              </w:tc>
              <w:tc>
                <w:tcPr>
                  <w:tcW w:w="599" w:type="pct"/>
                  <w:vAlign w:val="center"/>
                </w:tcPr>
                <w:p>
                  <w:pPr>
                    <w:pStyle w:val="102"/>
                  </w:pPr>
                  <w:r>
                    <w:rPr>
                      <w:rFonts w:hint="eastAsia"/>
                    </w:rPr>
                    <w:t>油烟排放口</w:t>
                  </w:r>
                </w:p>
              </w:tc>
              <w:tc>
                <w:tcPr>
                  <w:tcW w:w="442" w:type="pct"/>
                  <w:vAlign w:val="center"/>
                </w:tcPr>
                <w:p>
                  <w:pPr>
                    <w:pStyle w:val="102"/>
                  </w:pPr>
                  <w:r>
                    <w:rPr>
                      <w:rFonts w:hint="eastAsia"/>
                    </w:rPr>
                    <w:t>油烟</w:t>
                  </w:r>
                </w:p>
              </w:tc>
              <w:tc>
                <w:tcPr>
                  <w:tcW w:w="721" w:type="pct"/>
                  <w:vAlign w:val="center"/>
                </w:tcPr>
                <w:p>
                  <w:pPr>
                    <w:jc w:val="center"/>
                  </w:pPr>
                  <w:r>
                    <w:t>109.00132</w:t>
                  </w:r>
                </w:p>
              </w:tc>
              <w:tc>
                <w:tcPr>
                  <w:tcW w:w="654" w:type="pct"/>
                  <w:vAlign w:val="center"/>
                </w:tcPr>
                <w:p>
                  <w:pPr>
                    <w:jc w:val="center"/>
                  </w:pPr>
                  <w:r>
                    <w:t>37.62063</w:t>
                  </w:r>
                </w:p>
              </w:tc>
              <w:tc>
                <w:tcPr>
                  <w:tcW w:w="471" w:type="pct"/>
                  <w:vAlign w:val="center"/>
                </w:tcPr>
                <w:p>
                  <w:pPr>
                    <w:pStyle w:val="102"/>
                  </w:pPr>
                  <w:r>
                    <w:rPr>
                      <w:rFonts w:hint="eastAsia"/>
                    </w:rPr>
                    <w:t>/</w:t>
                  </w:r>
                </w:p>
              </w:tc>
              <w:tc>
                <w:tcPr>
                  <w:tcW w:w="471" w:type="pct"/>
                  <w:vAlign w:val="center"/>
                </w:tcPr>
                <w:p>
                  <w:pPr>
                    <w:pStyle w:val="102"/>
                  </w:pPr>
                  <w:r>
                    <w:rPr>
                      <w:rFonts w:hint="eastAsia"/>
                    </w:rPr>
                    <w:t>/</w:t>
                  </w:r>
                </w:p>
              </w:tc>
              <w:tc>
                <w:tcPr>
                  <w:tcW w:w="378" w:type="pct"/>
                  <w:vAlign w:val="center"/>
                </w:tcPr>
                <w:p>
                  <w:pPr>
                    <w:pStyle w:val="102"/>
                  </w:pPr>
                  <w:r>
                    <w:rPr>
                      <w:rFonts w:hint="eastAsia"/>
                    </w:rPr>
                    <w:t>/</w:t>
                  </w:r>
                </w:p>
              </w:tc>
              <w:tc>
                <w:tcPr>
                  <w:tcW w:w="468" w:type="pct"/>
                  <w:vAlign w:val="center"/>
                </w:tcPr>
                <w:p>
                  <w:pPr>
                    <w:pStyle w:val="102"/>
                  </w:pPr>
                  <w:r>
                    <w:rPr>
                      <w:rFonts w:hint="eastAsia"/>
                    </w:rPr>
                    <w:t>0.00</w:t>
                  </w:r>
                  <w:r>
                    <w:t>64</w:t>
                  </w:r>
                </w:p>
              </w:tc>
              <w:tc>
                <w:tcPr>
                  <w:tcW w:w="250" w:type="pct"/>
                  <w:vAlign w:val="center"/>
                </w:tcPr>
                <w:p>
                  <w:pPr>
                    <w:pStyle w:val="102"/>
                  </w:pPr>
                  <w:r>
                    <w:rPr>
                      <w:rFonts w:hint="eastAsia"/>
                    </w:rPr>
                    <w:t>一般</w:t>
                  </w:r>
                </w:p>
              </w:tc>
            </w:tr>
          </w:tbl>
          <w:p>
            <w:pPr>
              <w:pStyle w:val="8"/>
              <w:numPr>
                <w:ilvl w:val="0"/>
                <w:numId w:val="4"/>
              </w:numPr>
              <w:snapToGrid/>
              <w:spacing w:before="0" w:after="0" w:line="360" w:lineRule="auto"/>
              <w:ind w:right="0" w:firstLine="482" w:firstLineChars="200"/>
              <w:rPr>
                <w:b/>
                <w:bCs/>
                <w:kern w:val="2"/>
                <w:sz w:val="24"/>
                <w:szCs w:val="24"/>
              </w:rPr>
            </w:pPr>
            <w:r>
              <w:rPr>
                <w:rFonts w:hint="eastAsia"/>
                <w:b/>
                <w:bCs/>
                <w:kern w:val="2"/>
                <w:sz w:val="24"/>
                <w:szCs w:val="24"/>
              </w:rPr>
              <w:t>废气非正常工况排放</w:t>
            </w:r>
          </w:p>
          <w:p>
            <w:pPr>
              <w:spacing w:line="360" w:lineRule="auto"/>
              <w:ind w:firstLine="480" w:firstLineChars="200"/>
              <w:rPr>
                <w:sz w:val="24"/>
              </w:rPr>
            </w:pPr>
            <w:r>
              <w:rPr>
                <w:sz w:val="24"/>
              </w:rPr>
              <w:t>本项目涉及到的最大可信极端非正常生产状况为：</w:t>
            </w:r>
            <w:r>
              <w:rPr>
                <w:rFonts w:hint="eastAsia"/>
                <w:sz w:val="24"/>
              </w:rPr>
              <w:t>生产设施开停机（炉）且</w:t>
            </w:r>
            <w:r>
              <w:rPr>
                <w:sz w:val="24"/>
              </w:rPr>
              <w:t>废气处理措施</w:t>
            </w:r>
            <w:r>
              <w:rPr>
                <w:rFonts w:hint="eastAsia"/>
                <w:sz w:val="24"/>
              </w:rPr>
              <w:t>不运行</w:t>
            </w:r>
            <w:r>
              <w:rPr>
                <w:sz w:val="24"/>
              </w:rPr>
              <w:t>，非正常生产状况排放历时不超过30min计。废气非正常工况源强情况见表</w:t>
            </w:r>
            <w:r>
              <w:rPr>
                <w:rFonts w:hint="eastAsia"/>
                <w:sz w:val="24"/>
              </w:rPr>
              <w:t>4-3</w:t>
            </w:r>
            <w:r>
              <w:rPr>
                <w:sz w:val="24"/>
              </w:rPr>
              <w:t>。</w:t>
            </w:r>
          </w:p>
          <w:p>
            <w:pPr>
              <w:keepNext/>
              <w:spacing w:line="360" w:lineRule="auto"/>
              <w:jc w:val="center"/>
              <w:rPr>
                <w:b/>
                <w:bCs/>
                <w:sz w:val="24"/>
              </w:rPr>
            </w:pPr>
            <w:r>
              <w:rPr>
                <w:b/>
                <w:bCs/>
                <w:sz w:val="24"/>
              </w:rPr>
              <w:t>表</w:t>
            </w:r>
            <w:r>
              <w:rPr>
                <w:rFonts w:hint="eastAsia"/>
                <w:b/>
                <w:bCs/>
                <w:sz w:val="24"/>
              </w:rPr>
              <w:t>4-3</w:t>
            </w:r>
            <w:r>
              <w:rPr>
                <w:b/>
                <w:bCs/>
                <w:sz w:val="24"/>
              </w:rPr>
              <w:t xml:space="preserve">  废气非正常工况排放量核算表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953"/>
              <w:gridCol w:w="698"/>
              <w:gridCol w:w="1151"/>
              <w:gridCol w:w="1042"/>
              <w:gridCol w:w="800"/>
              <w:gridCol w:w="800"/>
              <w:gridCol w:w="642"/>
              <w:gridCol w:w="741"/>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44" w:type="pct"/>
                  <w:vMerge w:val="restart"/>
                  <w:vAlign w:val="center"/>
                </w:tcPr>
                <w:p>
                  <w:pPr>
                    <w:pStyle w:val="102"/>
                  </w:pPr>
                  <w:r>
                    <w:rPr>
                      <w:rFonts w:hint="eastAsia"/>
                    </w:rPr>
                    <w:t>排放口编号</w:t>
                  </w:r>
                </w:p>
              </w:tc>
              <w:tc>
                <w:tcPr>
                  <w:tcW w:w="599" w:type="pct"/>
                  <w:vMerge w:val="restart"/>
                  <w:vAlign w:val="center"/>
                </w:tcPr>
                <w:p>
                  <w:pPr>
                    <w:pStyle w:val="102"/>
                  </w:pPr>
                  <w:r>
                    <w:rPr>
                      <w:rFonts w:hint="eastAsia"/>
                    </w:rPr>
                    <w:t>排放口名称</w:t>
                  </w:r>
                </w:p>
              </w:tc>
              <w:tc>
                <w:tcPr>
                  <w:tcW w:w="442" w:type="pct"/>
                  <w:vMerge w:val="restart"/>
                  <w:vAlign w:val="center"/>
                </w:tcPr>
                <w:p>
                  <w:pPr>
                    <w:pStyle w:val="102"/>
                  </w:pPr>
                  <w:r>
                    <w:rPr>
                      <w:rFonts w:hint="eastAsia"/>
                    </w:rPr>
                    <w:t>污染物种类</w:t>
                  </w:r>
                </w:p>
              </w:tc>
              <w:tc>
                <w:tcPr>
                  <w:tcW w:w="1375" w:type="pct"/>
                  <w:gridSpan w:val="2"/>
                  <w:vAlign w:val="center"/>
                </w:tcPr>
                <w:p>
                  <w:pPr>
                    <w:pStyle w:val="102"/>
                  </w:pPr>
                  <w:r>
                    <w:rPr>
                      <w:rFonts w:hint="eastAsia"/>
                    </w:rPr>
                    <w:t>排放口地理坐标</w:t>
                  </w:r>
                </w:p>
              </w:tc>
              <w:tc>
                <w:tcPr>
                  <w:tcW w:w="471" w:type="pct"/>
                  <w:vMerge w:val="restart"/>
                  <w:vAlign w:val="center"/>
                </w:tcPr>
                <w:p>
                  <w:pPr>
                    <w:pStyle w:val="102"/>
                  </w:pPr>
                  <w:r>
                    <w:rPr>
                      <w:rFonts w:hint="eastAsia"/>
                    </w:rPr>
                    <w:t>排气筒高度（m）</w:t>
                  </w:r>
                </w:p>
              </w:tc>
              <w:tc>
                <w:tcPr>
                  <w:tcW w:w="471" w:type="pct"/>
                  <w:vMerge w:val="restart"/>
                  <w:vAlign w:val="center"/>
                </w:tcPr>
                <w:p>
                  <w:pPr>
                    <w:pStyle w:val="102"/>
                  </w:pPr>
                  <w:r>
                    <w:rPr>
                      <w:rFonts w:hint="eastAsia"/>
                    </w:rPr>
                    <w:t>排气筒出口内径（m）</w:t>
                  </w:r>
                </w:p>
              </w:tc>
              <w:tc>
                <w:tcPr>
                  <w:tcW w:w="378" w:type="pct"/>
                  <w:vMerge w:val="restart"/>
                  <w:vAlign w:val="center"/>
                </w:tcPr>
                <w:p>
                  <w:pPr>
                    <w:pStyle w:val="102"/>
                  </w:pPr>
                  <w:r>
                    <w:rPr>
                      <w:rFonts w:hint="eastAsia"/>
                    </w:rPr>
                    <w:t>排气温度</w:t>
                  </w:r>
                  <w:r>
                    <w:t>℃</w:t>
                  </w:r>
                </w:p>
              </w:tc>
              <w:tc>
                <w:tcPr>
                  <w:tcW w:w="468" w:type="pct"/>
                  <w:vMerge w:val="restart"/>
                  <w:vAlign w:val="center"/>
                </w:tcPr>
                <w:p>
                  <w:pPr>
                    <w:pStyle w:val="102"/>
                  </w:pPr>
                  <w:r>
                    <w:rPr>
                      <w:rFonts w:hint="eastAsia" w:ascii="宋体" w:hAnsi="宋体"/>
                    </w:rPr>
                    <w:t>非正常</w:t>
                  </w:r>
                  <w:r>
                    <w:rPr>
                      <w:rFonts w:ascii="宋体" w:hAnsi="宋体"/>
                    </w:rPr>
                    <w:t>排放速率kg/h</w:t>
                  </w:r>
                </w:p>
              </w:tc>
              <w:tc>
                <w:tcPr>
                  <w:tcW w:w="250" w:type="pct"/>
                  <w:vMerge w:val="restart"/>
                  <w:vAlign w:val="center"/>
                </w:tcPr>
                <w:p>
                  <w:pPr>
                    <w:pStyle w:val="102"/>
                  </w:pPr>
                  <w:r>
                    <w:rPr>
                      <w:rFonts w:ascii="宋体" w:hAnsi="宋体"/>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4" w:type="pct"/>
                  <w:vMerge w:val="continue"/>
                  <w:vAlign w:val="center"/>
                </w:tcPr>
                <w:p>
                  <w:pPr>
                    <w:pStyle w:val="102"/>
                  </w:pPr>
                </w:p>
              </w:tc>
              <w:tc>
                <w:tcPr>
                  <w:tcW w:w="599" w:type="pct"/>
                  <w:vMerge w:val="continue"/>
                  <w:vAlign w:val="center"/>
                </w:tcPr>
                <w:p>
                  <w:pPr>
                    <w:pStyle w:val="102"/>
                  </w:pPr>
                </w:p>
              </w:tc>
              <w:tc>
                <w:tcPr>
                  <w:tcW w:w="442" w:type="pct"/>
                  <w:vMerge w:val="continue"/>
                  <w:vAlign w:val="center"/>
                </w:tcPr>
                <w:p>
                  <w:pPr>
                    <w:pStyle w:val="102"/>
                  </w:pPr>
                </w:p>
              </w:tc>
              <w:tc>
                <w:tcPr>
                  <w:tcW w:w="721" w:type="pct"/>
                  <w:vAlign w:val="center"/>
                </w:tcPr>
                <w:p>
                  <w:pPr>
                    <w:pStyle w:val="102"/>
                  </w:pPr>
                  <w:r>
                    <w:rPr>
                      <w:rFonts w:hint="eastAsia"/>
                    </w:rPr>
                    <w:t>经度</w:t>
                  </w:r>
                </w:p>
              </w:tc>
              <w:tc>
                <w:tcPr>
                  <w:tcW w:w="654" w:type="pct"/>
                  <w:vAlign w:val="center"/>
                </w:tcPr>
                <w:p>
                  <w:pPr>
                    <w:pStyle w:val="102"/>
                  </w:pPr>
                  <w:r>
                    <w:rPr>
                      <w:rFonts w:hint="eastAsia"/>
                    </w:rPr>
                    <w:t>纬度</w:t>
                  </w:r>
                </w:p>
              </w:tc>
              <w:tc>
                <w:tcPr>
                  <w:tcW w:w="471" w:type="pct"/>
                  <w:vMerge w:val="continue"/>
                  <w:vAlign w:val="center"/>
                </w:tcPr>
                <w:p>
                  <w:pPr>
                    <w:pStyle w:val="102"/>
                  </w:pPr>
                </w:p>
              </w:tc>
              <w:tc>
                <w:tcPr>
                  <w:tcW w:w="471" w:type="pct"/>
                  <w:vMerge w:val="continue"/>
                  <w:vAlign w:val="center"/>
                </w:tcPr>
                <w:p>
                  <w:pPr>
                    <w:pStyle w:val="102"/>
                  </w:pPr>
                </w:p>
              </w:tc>
              <w:tc>
                <w:tcPr>
                  <w:tcW w:w="378" w:type="pct"/>
                  <w:vMerge w:val="continue"/>
                  <w:vAlign w:val="center"/>
                </w:tcPr>
                <w:p>
                  <w:pPr>
                    <w:pStyle w:val="102"/>
                  </w:pPr>
                </w:p>
              </w:tc>
              <w:tc>
                <w:tcPr>
                  <w:tcW w:w="468" w:type="pct"/>
                  <w:vMerge w:val="continue"/>
                  <w:vAlign w:val="center"/>
                </w:tcPr>
                <w:p>
                  <w:pPr>
                    <w:pStyle w:val="102"/>
                  </w:pPr>
                </w:p>
              </w:tc>
              <w:tc>
                <w:tcPr>
                  <w:tcW w:w="250" w:type="pct"/>
                  <w:vMerge w:val="continue"/>
                  <w:vAlign w:val="center"/>
                </w:tcPr>
                <w:p>
                  <w:pPr>
                    <w:pStyle w:val="10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Align w:val="center"/>
                </w:tcPr>
                <w:p>
                  <w:pPr>
                    <w:pStyle w:val="102"/>
                  </w:pPr>
                  <w:r>
                    <w:rPr>
                      <w:rFonts w:hint="eastAsia"/>
                    </w:rPr>
                    <w:t>DA001</w:t>
                  </w:r>
                </w:p>
              </w:tc>
              <w:tc>
                <w:tcPr>
                  <w:tcW w:w="599" w:type="pct"/>
                  <w:vAlign w:val="center"/>
                </w:tcPr>
                <w:p>
                  <w:pPr>
                    <w:pStyle w:val="102"/>
                    <w:spacing w:line="240" w:lineRule="atLeast"/>
                  </w:pPr>
                  <w:r>
                    <w:rPr>
                      <w:rFonts w:hint="eastAsia"/>
                    </w:rPr>
                    <w:t>熔炼烟尘</w:t>
                  </w:r>
                </w:p>
              </w:tc>
              <w:tc>
                <w:tcPr>
                  <w:tcW w:w="442" w:type="pct"/>
                  <w:vAlign w:val="center"/>
                </w:tcPr>
                <w:p>
                  <w:pPr>
                    <w:pStyle w:val="102"/>
                  </w:pPr>
                  <w:r>
                    <w:rPr>
                      <w:rFonts w:hint="eastAsia"/>
                    </w:rPr>
                    <w:t>颗粒物</w:t>
                  </w:r>
                </w:p>
              </w:tc>
              <w:tc>
                <w:tcPr>
                  <w:tcW w:w="721" w:type="pct"/>
                  <w:vAlign w:val="center"/>
                </w:tcPr>
                <w:p>
                  <w:pPr>
                    <w:jc w:val="center"/>
                  </w:pPr>
                  <w:r>
                    <w:t>109.00045</w:t>
                  </w:r>
                </w:p>
              </w:tc>
              <w:tc>
                <w:tcPr>
                  <w:tcW w:w="654" w:type="pct"/>
                  <w:vAlign w:val="center"/>
                </w:tcPr>
                <w:p>
                  <w:pPr>
                    <w:jc w:val="center"/>
                  </w:pPr>
                  <w:r>
                    <w:t>37.61888</w:t>
                  </w:r>
                </w:p>
              </w:tc>
              <w:tc>
                <w:tcPr>
                  <w:tcW w:w="471" w:type="pct"/>
                  <w:vAlign w:val="center"/>
                </w:tcPr>
                <w:p>
                  <w:pPr>
                    <w:pStyle w:val="102"/>
                  </w:pPr>
                  <w:r>
                    <w:rPr>
                      <w:rFonts w:hint="eastAsia"/>
                    </w:rPr>
                    <w:t>15</w:t>
                  </w:r>
                </w:p>
              </w:tc>
              <w:tc>
                <w:tcPr>
                  <w:tcW w:w="471" w:type="pct"/>
                  <w:vAlign w:val="center"/>
                </w:tcPr>
                <w:p>
                  <w:pPr>
                    <w:pStyle w:val="102"/>
                  </w:pPr>
                  <w:r>
                    <w:rPr>
                      <w:rFonts w:hint="eastAsia"/>
                    </w:rPr>
                    <w:t>0.5</w:t>
                  </w:r>
                </w:p>
              </w:tc>
              <w:tc>
                <w:tcPr>
                  <w:tcW w:w="378" w:type="pct"/>
                  <w:vAlign w:val="center"/>
                </w:tcPr>
                <w:p>
                  <w:pPr>
                    <w:pStyle w:val="102"/>
                  </w:pPr>
                  <w:r>
                    <w:rPr>
                      <w:rFonts w:hint="eastAsia"/>
                    </w:rPr>
                    <w:t>8</w:t>
                  </w:r>
                  <w:r>
                    <w:t>0</w:t>
                  </w:r>
                </w:p>
              </w:tc>
              <w:tc>
                <w:tcPr>
                  <w:tcW w:w="468" w:type="pct"/>
                  <w:vAlign w:val="center"/>
                </w:tcPr>
                <w:p>
                  <w:pPr>
                    <w:pStyle w:val="102"/>
                  </w:pPr>
                  <w:r>
                    <w:rPr>
                      <w:rFonts w:hint="eastAsia"/>
                    </w:rPr>
                    <w:t>0.79</w:t>
                  </w:r>
                </w:p>
              </w:tc>
              <w:tc>
                <w:tcPr>
                  <w:tcW w:w="250" w:type="pct"/>
                  <w:vAlign w:val="center"/>
                </w:tcPr>
                <w:p>
                  <w:pPr>
                    <w:pStyle w:val="102"/>
                  </w:pPr>
                  <w:r>
                    <w:rPr>
                      <w:rFonts w:hint="eastAsia"/>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Align w:val="center"/>
                </w:tcPr>
                <w:p>
                  <w:pPr>
                    <w:pStyle w:val="102"/>
                  </w:pPr>
                  <w:r>
                    <w:rPr>
                      <w:rFonts w:hint="eastAsia"/>
                    </w:rPr>
                    <w:t>DA002</w:t>
                  </w:r>
                </w:p>
              </w:tc>
              <w:tc>
                <w:tcPr>
                  <w:tcW w:w="599" w:type="pct"/>
                  <w:vAlign w:val="center"/>
                </w:tcPr>
                <w:p>
                  <w:pPr>
                    <w:pStyle w:val="102"/>
                    <w:spacing w:line="240" w:lineRule="atLeast"/>
                  </w:pPr>
                  <w:r>
                    <w:rPr>
                      <w:rFonts w:hint="eastAsia"/>
                    </w:rPr>
                    <w:t>烘干有机废气</w:t>
                  </w:r>
                </w:p>
              </w:tc>
              <w:tc>
                <w:tcPr>
                  <w:tcW w:w="442" w:type="pct"/>
                </w:tcPr>
                <w:p>
                  <w:r>
                    <w:rPr>
                      <w:rFonts w:hint="eastAsia"/>
                    </w:rPr>
                    <w:t>非甲烷总烃</w:t>
                  </w:r>
                </w:p>
              </w:tc>
              <w:tc>
                <w:tcPr>
                  <w:tcW w:w="721" w:type="pct"/>
                  <w:vAlign w:val="center"/>
                </w:tcPr>
                <w:p>
                  <w:pPr>
                    <w:jc w:val="center"/>
                  </w:pPr>
                  <w:r>
                    <w:t>109.00043</w:t>
                  </w:r>
                </w:p>
              </w:tc>
              <w:tc>
                <w:tcPr>
                  <w:tcW w:w="654" w:type="pct"/>
                  <w:vAlign w:val="center"/>
                </w:tcPr>
                <w:p>
                  <w:pPr>
                    <w:jc w:val="center"/>
                  </w:pPr>
                  <w:r>
                    <w:t>37.61928</w:t>
                  </w:r>
                </w:p>
              </w:tc>
              <w:tc>
                <w:tcPr>
                  <w:tcW w:w="471" w:type="pct"/>
                  <w:vAlign w:val="center"/>
                </w:tcPr>
                <w:p>
                  <w:pPr>
                    <w:pStyle w:val="102"/>
                  </w:pPr>
                  <w:r>
                    <w:rPr>
                      <w:rFonts w:hint="eastAsia"/>
                    </w:rPr>
                    <w:t>1</w:t>
                  </w:r>
                  <w:r>
                    <w:t>5</w:t>
                  </w:r>
                </w:p>
              </w:tc>
              <w:tc>
                <w:tcPr>
                  <w:tcW w:w="471" w:type="pct"/>
                  <w:vAlign w:val="center"/>
                </w:tcPr>
                <w:p>
                  <w:pPr>
                    <w:pStyle w:val="102"/>
                  </w:pPr>
                  <w:r>
                    <w:rPr>
                      <w:rFonts w:hint="eastAsia"/>
                    </w:rPr>
                    <w:t>0</w:t>
                  </w:r>
                  <w:r>
                    <w:t>.5</w:t>
                  </w:r>
                </w:p>
              </w:tc>
              <w:tc>
                <w:tcPr>
                  <w:tcW w:w="378" w:type="pct"/>
                  <w:vAlign w:val="center"/>
                </w:tcPr>
                <w:p>
                  <w:pPr>
                    <w:pStyle w:val="102"/>
                  </w:pPr>
                  <w:r>
                    <w:rPr>
                      <w:rFonts w:hint="eastAsia"/>
                    </w:rPr>
                    <w:t>5</w:t>
                  </w:r>
                  <w:r>
                    <w:t>0</w:t>
                  </w:r>
                </w:p>
              </w:tc>
              <w:tc>
                <w:tcPr>
                  <w:tcW w:w="468" w:type="pct"/>
                  <w:vAlign w:val="center"/>
                </w:tcPr>
                <w:p>
                  <w:pPr>
                    <w:pStyle w:val="102"/>
                  </w:pPr>
                  <w:r>
                    <w:rPr>
                      <w:rFonts w:hint="eastAsia"/>
                    </w:rPr>
                    <w:t>0.022</w:t>
                  </w:r>
                </w:p>
              </w:tc>
              <w:tc>
                <w:tcPr>
                  <w:tcW w:w="250" w:type="pct"/>
                  <w:vAlign w:val="center"/>
                </w:tcPr>
                <w:p>
                  <w:pPr>
                    <w:pStyle w:val="102"/>
                  </w:pPr>
                  <w:r>
                    <w:rPr>
                      <w:rFonts w:hint="eastAsia"/>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44" w:type="pct"/>
                  <w:vAlign w:val="center"/>
                </w:tcPr>
                <w:p>
                  <w:pPr>
                    <w:pStyle w:val="102"/>
                  </w:pPr>
                  <w:r>
                    <w:rPr>
                      <w:rFonts w:hint="eastAsia"/>
                    </w:rPr>
                    <w:t>DA00</w:t>
                  </w:r>
                  <w:r>
                    <w:t>3</w:t>
                  </w:r>
                </w:p>
              </w:tc>
              <w:tc>
                <w:tcPr>
                  <w:tcW w:w="599" w:type="pct"/>
                  <w:vAlign w:val="center"/>
                </w:tcPr>
                <w:p>
                  <w:pPr>
                    <w:pStyle w:val="102"/>
                    <w:spacing w:line="240" w:lineRule="atLeast"/>
                  </w:pPr>
                  <w:r>
                    <w:rPr>
                      <w:rFonts w:hint="eastAsia"/>
                    </w:rPr>
                    <w:t>固化有机废气</w:t>
                  </w:r>
                </w:p>
              </w:tc>
              <w:tc>
                <w:tcPr>
                  <w:tcW w:w="442" w:type="pct"/>
                </w:tcPr>
                <w:p>
                  <w:r>
                    <w:rPr>
                      <w:rFonts w:hint="eastAsia"/>
                    </w:rPr>
                    <w:t>非甲烷总烃</w:t>
                  </w:r>
                </w:p>
              </w:tc>
              <w:tc>
                <w:tcPr>
                  <w:tcW w:w="721" w:type="pct"/>
                  <w:vAlign w:val="center"/>
                </w:tcPr>
                <w:p>
                  <w:pPr>
                    <w:jc w:val="center"/>
                  </w:pPr>
                  <w:r>
                    <w:t>109.00039</w:t>
                  </w:r>
                </w:p>
              </w:tc>
              <w:tc>
                <w:tcPr>
                  <w:tcW w:w="654" w:type="pct"/>
                  <w:vAlign w:val="center"/>
                </w:tcPr>
                <w:p>
                  <w:pPr>
                    <w:jc w:val="center"/>
                  </w:pPr>
                  <w:r>
                    <w:t>37.61962</w:t>
                  </w:r>
                </w:p>
              </w:tc>
              <w:tc>
                <w:tcPr>
                  <w:tcW w:w="471" w:type="pct"/>
                  <w:vAlign w:val="center"/>
                </w:tcPr>
                <w:p>
                  <w:pPr>
                    <w:pStyle w:val="102"/>
                  </w:pPr>
                  <w:r>
                    <w:rPr>
                      <w:rFonts w:hint="eastAsia"/>
                    </w:rPr>
                    <w:t>1</w:t>
                  </w:r>
                  <w:r>
                    <w:t>5</w:t>
                  </w:r>
                </w:p>
              </w:tc>
              <w:tc>
                <w:tcPr>
                  <w:tcW w:w="471" w:type="pct"/>
                  <w:vAlign w:val="center"/>
                </w:tcPr>
                <w:p>
                  <w:pPr>
                    <w:pStyle w:val="102"/>
                  </w:pPr>
                  <w:r>
                    <w:rPr>
                      <w:rFonts w:hint="eastAsia"/>
                    </w:rPr>
                    <w:t>0</w:t>
                  </w:r>
                  <w:r>
                    <w:t>.5</w:t>
                  </w:r>
                </w:p>
              </w:tc>
              <w:tc>
                <w:tcPr>
                  <w:tcW w:w="378" w:type="pct"/>
                  <w:vAlign w:val="center"/>
                </w:tcPr>
                <w:p>
                  <w:pPr>
                    <w:pStyle w:val="102"/>
                  </w:pPr>
                  <w:r>
                    <w:rPr>
                      <w:rFonts w:hint="eastAsia"/>
                    </w:rPr>
                    <w:t>5</w:t>
                  </w:r>
                  <w:r>
                    <w:t>0</w:t>
                  </w:r>
                </w:p>
              </w:tc>
              <w:tc>
                <w:tcPr>
                  <w:tcW w:w="468" w:type="pct"/>
                  <w:vAlign w:val="center"/>
                </w:tcPr>
                <w:p>
                  <w:pPr>
                    <w:pStyle w:val="102"/>
                  </w:pPr>
                  <w:r>
                    <w:rPr>
                      <w:rFonts w:hint="eastAsia"/>
                    </w:rPr>
                    <w:t>0.01</w:t>
                  </w:r>
                </w:p>
              </w:tc>
              <w:tc>
                <w:tcPr>
                  <w:tcW w:w="250" w:type="pct"/>
                  <w:vAlign w:val="center"/>
                </w:tcPr>
                <w:p>
                  <w:pPr>
                    <w:pStyle w:val="102"/>
                  </w:pPr>
                  <w:r>
                    <w:rPr>
                      <w:rFonts w:hint="eastAsia"/>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Align w:val="center"/>
                </w:tcPr>
                <w:p>
                  <w:pPr>
                    <w:pStyle w:val="102"/>
                  </w:pPr>
                  <w:r>
                    <w:rPr>
                      <w:rFonts w:hint="eastAsia"/>
                    </w:rPr>
                    <w:t>DA002</w:t>
                  </w:r>
                </w:p>
              </w:tc>
              <w:tc>
                <w:tcPr>
                  <w:tcW w:w="599" w:type="pct"/>
                  <w:vAlign w:val="center"/>
                </w:tcPr>
                <w:p>
                  <w:pPr>
                    <w:pStyle w:val="102"/>
                  </w:pPr>
                  <w:r>
                    <w:rPr>
                      <w:rFonts w:hint="eastAsia"/>
                    </w:rPr>
                    <w:t>油烟排放口</w:t>
                  </w:r>
                </w:p>
              </w:tc>
              <w:tc>
                <w:tcPr>
                  <w:tcW w:w="442" w:type="pct"/>
                  <w:vAlign w:val="center"/>
                </w:tcPr>
                <w:p>
                  <w:pPr>
                    <w:pStyle w:val="102"/>
                  </w:pPr>
                  <w:r>
                    <w:rPr>
                      <w:rFonts w:hint="eastAsia"/>
                    </w:rPr>
                    <w:t>油烟</w:t>
                  </w:r>
                </w:p>
              </w:tc>
              <w:tc>
                <w:tcPr>
                  <w:tcW w:w="721" w:type="pct"/>
                  <w:vAlign w:val="center"/>
                </w:tcPr>
                <w:p>
                  <w:pPr>
                    <w:jc w:val="center"/>
                  </w:pPr>
                  <w:r>
                    <w:t>109.00132</w:t>
                  </w:r>
                </w:p>
              </w:tc>
              <w:tc>
                <w:tcPr>
                  <w:tcW w:w="654" w:type="pct"/>
                  <w:vAlign w:val="center"/>
                </w:tcPr>
                <w:p>
                  <w:pPr>
                    <w:jc w:val="center"/>
                  </w:pPr>
                  <w:r>
                    <w:t>37.62063</w:t>
                  </w:r>
                </w:p>
              </w:tc>
              <w:tc>
                <w:tcPr>
                  <w:tcW w:w="471" w:type="pct"/>
                  <w:vAlign w:val="center"/>
                </w:tcPr>
                <w:p>
                  <w:pPr>
                    <w:pStyle w:val="102"/>
                  </w:pPr>
                  <w:r>
                    <w:rPr>
                      <w:rFonts w:hint="eastAsia"/>
                    </w:rPr>
                    <w:t>/</w:t>
                  </w:r>
                </w:p>
              </w:tc>
              <w:tc>
                <w:tcPr>
                  <w:tcW w:w="471" w:type="pct"/>
                  <w:vAlign w:val="center"/>
                </w:tcPr>
                <w:p>
                  <w:pPr>
                    <w:pStyle w:val="102"/>
                  </w:pPr>
                  <w:r>
                    <w:rPr>
                      <w:rFonts w:hint="eastAsia"/>
                    </w:rPr>
                    <w:t>/</w:t>
                  </w:r>
                </w:p>
              </w:tc>
              <w:tc>
                <w:tcPr>
                  <w:tcW w:w="378" w:type="pct"/>
                  <w:vAlign w:val="center"/>
                </w:tcPr>
                <w:p>
                  <w:pPr>
                    <w:pStyle w:val="102"/>
                  </w:pPr>
                  <w:r>
                    <w:rPr>
                      <w:rFonts w:hint="eastAsia"/>
                    </w:rPr>
                    <w:t>/</w:t>
                  </w:r>
                </w:p>
              </w:tc>
              <w:tc>
                <w:tcPr>
                  <w:tcW w:w="468" w:type="pct"/>
                  <w:vAlign w:val="center"/>
                </w:tcPr>
                <w:p>
                  <w:pPr>
                    <w:pStyle w:val="102"/>
                  </w:pPr>
                  <w:r>
                    <w:rPr>
                      <w:rFonts w:hint="eastAsia"/>
                    </w:rPr>
                    <w:t>0.042</w:t>
                  </w:r>
                </w:p>
              </w:tc>
              <w:tc>
                <w:tcPr>
                  <w:tcW w:w="250" w:type="pct"/>
                  <w:vAlign w:val="center"/>
                </w:tcPr>
                <w:p>
                  <w:pPr>
                    <w:pStyle w:val="102"/>
                  </w:pPr>
                  <w:r>
                    <w:rPr>
                      <w:rFonts w:hint="eastAsia"/>
                    </w:rPr>
                    <w:t>一般</w:t>
                  </w:r>
                </w:p>
              </w:tc>
            </w:tr>
          </w:tbl>
          <w:p>
            <w:pPr>
              <w:pStyle w:val="8"/>
              <w:snapToGrid/>
              <w:spacing w:before="0" w:after="0" w:line="360" w:lineRule="auto"/>
              <w:ind w:right="0" w:firstLine="480" w:firstLineChars="200"/>
              <w:rPr>
                <w:b/>
                <w:bCs/>
                <w:kern w:val="2"/>
                <w:sz w:val="24"/>
                <w:szCs w:val="24"/>
              </w:rPr>
            </w:pPr>
            <w:r>
              <w:rPr>
                <w:rFonts w:hint="eastAsia"/>
                <w:sz w:val="24"/>
              </w:rPr>
              <w:t>非正常工况</w:t>
            </w:r>
            <w:r>
              <w:rPr>
                <w:sz w:val="24"/>
              </w:rPr>
              <w:t>污染控制措施</w:t>
            </w:r>
            <w:r>
              <w:rPr>
                <w:rFonts w:hint="eastAsia"/>
                <w:sz w:val="24"/>
              </w:rPr>
              <w:t>：</w:t>
            </w:r>
            <w:r>
              <w:rPr>
                <w:sz w:val="24"/>
              </w:rPr>
              <w:t>在项目开停机过程中，应</w:t>
            </w:r>
            <w:r>
              <w:rPr>
                <w:rFonts w:hint="eastAsia"/>
                <w:sz w:val="24"/>
              </w:rPr>
              <w:t>提前30min</w:t>
            </w:r>
            <w:r>
              <w:rPr>
                <w:sz w:val="24"/>
              </w:rPr>
              <w:t>启动各项污染治理设施并处于正常运行状态</w:t>
            </w:r>
            <w:r>
              <w:rPr>
                <w:rFonts w:hint="eastAsia"/>
                <w:sz w:val="24"/>
              </w:rPr>
              <w:t>，</w:t>
            </w:r>
            <w:r>
              <w:rPr>
                <w:sz w:val="24"/>
              </w:rPr>
              <w:t>废气处理后排放，确保配套的环保设施均能同时运行</w:t>
            </w:r>
            <w:r>
              <w:rPr>
                <w:rFonts w:hint="eastAsia"/>
                <w:sz w:val="24"/>
              </w:rPr>
              <w:t>。</w:t>
            </w:r>
          </w:p>
          <w:p>
            <w:pPr>
              <w:pStyle w:val="8"/>
              <w:numPr>
                <w:ilvl w:val="0"/>
                <w:numId w:val="4"/>
              </w:numPr>
              <w:snapToGrid/>
              <w:spacing w:before="0" w:after="0" w:line="360" w:lineRule="auto"/>
              <w:ind w:right="0" w:firstLine="482" w:firstLineChars="200"/>
              <w:rPr>
                <w:b/>
                <w:bCs/>
                <w:kern w:val="2"/>
                <w:sz w:val="24"/>
                <w:szCs w:val="24"/>
              </w:rPr>
            </w:pPr>
            <w:r>
              <w:rPr>
                <w:b/>
                <w:bCs/>
                <w:kern w:val="2"/>
                <w:sz w:val="24"/>
                <w:szCs w:val="24"/>
              </w:rPr>
              <w:t>监测计划</w:t>
            </w:r>
          </w:p>
          <w:p>
            <w:pPr>
              <w:pStyle w:val="8"/>
              <w:snapToGrid/>
              <w:spacing w:before="0" w:after="0" w:line="360" w:lineRule="auto"/>
              <w:ind w:right="0" w:firstLine="480" w:firstLineChars="200"/>
              <w:rPr>
                <w:kern w:val="2"/>
                <w:sz w:val="24"/>
                <w:szCs w:val="24"/>
              </w:rPr>
            </w:pPr>
            <w:r>
              <w:rPr>
                <w:kern w:val="2"/>
                <w:sz w:val="24"/>
                <w:szCs w:val="24"/>
              </w:rPr>
              <w:t>根据《排污单位自行监测技术指南总则》（HJ819-2017），项目废气监测计划见</w:t>
            </w:r>
            <w:r>
              <w:rPr>
                <w:rFonts w:hint="eastAsia"/>
                <w:kern w:val="2"/>
                <w:sz w:val="24"/>
                <w:szCs w:val="24"/>
              </w:rPr>
              <w:t>下</w:t>
            </w:r>
            <w:r>
              <w:rPr>
                <w:kern w:val="2"/>
                <w:sz w:val="24"/>
                <w:szCs w:val="24"/>
              </w:rPr>
              <w:t>表</w:t>
            </w:r>
            <w:r>
              <w:rPr>
                <w:rFonts w:hint="eastAsia"/>
                <w:kern w:val="2"/>
                <w:sz w:val="24"/>
                <w:szCs w:val="24"/>
              </w:rPr>
              <w:t>。</w:t>
            </w:r>
          </w:p>
          <w:p>
            <w:pPr>
              <w:widowControl/>
              <w:ind w:firstLine="422" w:firstLineChars="200"/>
              <w:jc w:val="center"/>
              <w:rPr>
                <w:rFonts w:ascii="宋体" w:hAnsi="宋体" w:cs="宋体"/>
                <w:b/>
                <w:szCs w:val="21"/>
              </w:rPr>
            </w:pPr>
            <w:r>
              <w:rPr>
                <w:rFonts w:hint="eastAsia" w:ascii="宋体" w:hAnsi="宋体" w:cs="宋体"/>
                <w:b/>
                <w:szCs w:val="21"/>
              </w:rPr>
              <w:t>表4-4</w:t>
            </w:r>
            <w:r>
              <w:rPr>
                <w:rFonts w:ascii="宋体" w:hAnsi="宋体" w:cs="宋体"/>
                <w:b/>
                <w:szCs w:val="21"/>
              </w:rPr>
              <w:t xml:space="preserve">  </w:t>
            </w:r>
            <w:r>
              <w:rPr>
                <w:rFonts w:hint="eastAsia" w:ascii="宋体" w:hAnsi="宋体" w:cs="宋体"/>
                <w:b/>
                <w:szCs w:val="21"/>
              </w:rPr>
              <w:t>运营期大气污染源监测计划表</w:t>
            </w:r>
          </w:p>
          <w:tbl>
            <w:tblPr>
              <w:tblStyle w:val="3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181"/>
              <w:gridCol w:w="892"/>
              <w:gridCol w:w="946"/>
              <w:gridCol w:w="1099"/>
              <w:gridCol w:w="687"/>
              <w:gridCol w:w="962"/>
              <w:gridCol w:w="23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27" w:type="pct"/>
                  <w:vAlign w:val="center"/>
                </w:tcPr>
                <w:p>
                  <w:pPr>
                    <w:pStyle w:val="102"/>
                  </w:pPr>
                  <w:r>
                    <w:rPr>
                      <w:rFonts w:hint="eastAsia"/>
                    </w:rPr>
                    <w:t>产污环节</w:t>
                  </w:r>
                </w:p>
              </w:tc>
              <w:tc>
                <w:tcPr>
                  <w:tcW w:w="549" w:type="pct"/>
                  <w:vAlign w:val="center"/>
                </w:tcPr>
                <w:p>
                  <w:pPr>
                    <w:pStyle w:val="102"/>
                  </w:pPr>
                  <w:r>
                    <w:t>污染源</w:t>
                  </w:r>
                </w:p>
                <w:p>
                  <w:pPr>
                    <w:pStyle w:val="102"/>
                  </w:pPr>
                  <w:r>
                    <w:t>名称</w:t>
                  </w:r>
                </w:p>
              </w:tc>
              <w:tc>
                <w:tcPr>
                  <w:tcW w:w="582" w:type="pct"/>
                  <w:vAlign w:val="center"/>
                </w:tcPr>
                <w:p>
                  <w:pPr>
                    <w:pStyle w:val="102"/>
                  </w:pPr>
                  <w:r>
                    <w:t>监测项目</w:t>
                  </w:r>
                </w:p>
              </w:tc>
              <w:tc>
                <w:tcPr>
                  <w:tcW w:w="676" w:type="pct"/>
                  <w:vAlign w:val="center"/>
                </w:tcPr>
                <w:p>
                  <w:pPr>
                    <w:pStyle w:val="102"/>
                  </w:pPr>
                  <w:r>
                    <w:t>监测点位置</w:t>
                  </w:r>
                </w:p>
              </w:tc>
              <w:tc>
                <w:tcPr>
                  <w:tcW w:w="423" w:type="pct"/>
                  <w:vAlign w:val="center"/>
                </w:tcPr>
                <w:p>
                  <w:pPr>
                    <w:pStyle w:val="102"/>
                  </w:pPr>
                  <w:r>
                    <w:t>监测点数</w:t>
                  </w:r>
                </w:p>
              </w:tc>
              <w:tc>
                <w:tcPr>
                  <w:tcW w:w="592" w:type="pct"/>
                  <w:tcBorders>
                    <w:bottom w:val="single" w:color="auto" w:sz="4" w:space="0"/>
                  </w:tcBorders>
                  <w:vAlign w:val="center"/>
                </w:tcPr>
                <w:p>
                  <w:pPr>
                    <w:pStyle w:val="102"/>
                  </w:pPr>
                  <w:r>
                    <w:t>监测</w:t>
                  </w:r>
                </w:p>
                <w:p>
                  <w:pPr>
                    <w:pStyle w:val="102"/>
                  </w:pPr>
                  <w:r>
                    <w:t>频率</w:t>
                  </w:r>
                </w:p>
              </w:tc>
              <w:tc>
                <w:tcPr>
                  <w:tcW w:w="1450" w:type="pct"/>
                  <w:tcBorders>
                    <w:bottom w:val="single" w:color="auto" w:sz="4" w:space="0"/>
                  </w:tcBorders>
                  <w:vAlign w:val="center"/>
                </w:tcPr>
                <w:p>
                  <w:pPr>
                    <w:jc w:val="center"/>
                  </w:pPr>
                  <w:r>
                    <w:t>控制指标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2" w:hRule="atLeast"/>
                <w:jc w:val="center"/>
              </w:trPr>
              <w:tc>
                <w:tcPr>
                  <w:tcW w:w="727" w:type="pct"/>
                  <w:vAlign w:val="center"/>
                </w:tcPr>
                <w:p>
                  <w:pPr>
                    <w:pStyle w:val="102"/>
                    <w:spacing w:line="240" w:lineRule="atLeast"/>
                  </w:pPr>
                  <w:r>
                    <w:rPr>
                      <w:rFonts w:hint="eastAsia"/>
                    </w:rPr>
                    <w:t>熔炼烟尘</w:t>
                  </w:r>
                </w:p>
              </w:tc>
              <w:tc>
                <w:tcPr>
                  <w:tcW w:w="549" w:type="pct"/>
                  <w:vAlign w:val="center"/>
                </w:tcPr>
                <w:p>
                  <w:pPr>
                    <w:pStyle w:val="102"/>
                  </w:pPr>
                  <w:r>
                    <w:t>排气筒</w:t>
                  </w:r>
                  <w:r>
                    <w:rPr>
                      <w:rFonts w:hint="eastAsia"/>
                    </w:rPr>
                    <w:t>DA001</w:t>
                  </w:r>
                </w:p>
              </w:tc>
              <w:tc>
                <w:tcPr>
                  <w:tcW w:w="582" w:type="pct"/>
                  <w:vAlign w:val="center"/>
                </w:tcPr>
                <w:p>
                  <w:pPr>
                    <w:pStyle w:val="102"/>
                  </w:pPr>
                  <w:r>
                    <w:t>颗粒物</w:t>
                  </w:r>
                </w:p>
              </w:tc>
              <w:tc>
                <w:tcPr>
                  <w:tcW w:w="676" w:type="pct"/>
                  <w:vAlign w:val="center"/>
                </w:tcPr>
                <w:p>
                  <w:pPr>
                    <w:pStyle w:val="102"/>
                  </w:pPr>
                  <w:r>
                    <w:t>排气筒</w:t>
                  </w:r>
                  <w:r>
                    <w:rPr>
                      <w:rFonts w:hint="eastAsia"/>
                    </w:rPr>
                    <w:t>出</w:t>
                  </w:r>
                  <w:r>
                    <w:t>口</w:t>
                  </w:r>
                </w:p>
              </w:tc>
              <w:tc>
                <w:tcPr>
                  <w:tcW w:w="423" w:type="pct"/>
                  <w:vAlign w:val="center"/>
                </w:tcPr>
                <w:p>
                  <w:pPr>
                    <w:pStyle w:val="102"/>
                  </w:pPr>
                  <w:r>
                    <w:rPr>
                      <w:rFonts w:hint="eastAsia"/>
                    </w:rPr>
                    <w:t>1个</w:t>
                  </w:r>
                </w:p>
              </w:tc>
              <w:tc>
                <w:tcPr>
                  <w:tcW w:w="592" w:type="pct"/>
                  <w:vAlign w:val="center"/>
                </w:tcPr>
                <w:p>
                  <w:pPr>
                    <w:pStyle w:val="102"/>
                  </w:pPr>
                  <w:r>
                    <w:t>1次</w:t>
                  </w:r>
                  <w:r>
                    <w:rPr>
                      <w:rFonts w:hint="eastAsia"/>
                    </w:rPr>
                    <w:t>/年</w:t>
                  </w:r>
                </w:p>
              </w:tc>
              <w:tc>
                <w:tcPr>
                  <w:tcW w:w="1450" w:type="pct"/>
                  <w:vMerge w:val="restart"/>
                  <w:vAlign w:val="center"/>
                </w:tcPr>
                <w:p>
                  <w:r>
                    <w:rPr>
                      <w:rFonts w:hint="eastAsia" w:cs="宋体"/>
                      <w:bCs/>
                      <w:szCs w:val="21"/>
                    </w:rPr>
                    <w:t>《矿物棉工业大气污染物排放标准》（GB 41617-2022）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2" w:hRule="atLeast"/>
                <w:jc w:val="center"/>
              </w:trPr>
              <w:tc>
                <w:tcPr>
                  <w:tcW w:w="727" w:type="pct"/>
                  <w:vAlign w:val="center"/>
                </w:tcPr>
                <w:p>
                  <w:pPr>
                    <w:pStyle w:val="102"/>
                    <w:spacing w:line="240" w:lineRule="atLeast"/>
                  </w:pPr>
                  <w:r>
                    <w:rPr>
                      <w:rFonts w:hint="eastAsia"/>
                    </w:rPr>
                    <w:t>烘干有机废气</w:t>
                  </w:r>
                </w:p>
              </w:tc>
              <w:tc>
                <w:tcPr>
                  <w:tcW w:w="549" w:type="pct"/>
                  <w:vAlign w:val="center"/>
                </w:tcPr>
                <w:p>
                  <w:pPr>
                    <w:pStyle w:val="102"/>
                  </w:pPr>
                  <w:r>
                    <w:t>排气筒</w:t>
                  </w:r>
                  <w:r>
                    <w:rPr>
                      <w:rFonts w:hint="eastAsia"/>
                    </w:rPr>
                    <w:t>DA002</w:t>
                  </w:r>
                </w:p>
              </w:tc>
              <w:tc>
                <w:tcPr>
                  <w:tcW w:w="582" w:type="pct"/>
                </w:tcPr>
                <w:p>
                  <w:r>
                    <w:rPr>
                      <w:rFonts w:hint="eastAsia"/>
                    </w:rPr>
                    <w:t>非甲烷总烃</w:t>
                  </w:r>
                </w:p>
              </w:tc>
              <w:tc>
                <w:tcPr>
                  <w:tcW w:w="676" w:type="pct"/>
                  <w:vAlign w:val="center"/>
                </w:tcPr>
                <w:p>
                  <w:pPr>
                    <w:pStyle w:val="102"/>
                  </w:pPr>
                  <w:r>
                    <w:t>排气筒</w:t>
                  </w:r>
                  <w:r>
                    <w:rPr>
                      <w:rFonts w:hint="eastAsia"/>
                    </w:rPr>
                    <w:t>出</w:t>
                  </w:r>
                  <w:r>
                    <w:t>口</w:t>
                  </w:r>
                </w:p>
              </w:tc>
              <w:tc>
                <w:tcPr>
                  <w:tcW w:w="423" w:type="pct"/>
                  <w:vAlign w:val="center"/>
                </w:tcPr>
                <w:p>
                  <w:pPr>
                    <w:pStyle w:val="102"/>
                  </w:pPr>
                  <w:r>
                    <w:rPr>
                      <w:rFonts w:hint="eastAsia"/>
                    </w:rPr>
                    <w:t>1个</w:t>
                  </w:r>
                </w:p>
              </w:tc>
              <w:tc>
                <w:tcPr>
                  <w:tcW w:w="592" w:type="pct"/>
                  <w:vAlign w:val="center"/>
                </w:tcPr>
                <w:p>
                  <w:pPr>
                    <w:pStyle w:val="102"/>
                  </w:pPr>
                  <w:r>
                    <w:t>1次</w:t>
                  </w:r>
                  <w:r>
                    <w:rPr>
                      <w:rFonts w:hint="eastAsia"/>
                    </w:rPr>
                    <w:t>/年</w:t>
                  </w:r>
                </w:p>
              </w:tc>
              <w:tc>
                <w:tcPr>
                  <w:tcW w:w="1450" w:type="pct"/>
                  <w:vMerge w:val="continue"/>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2" w:hRule="atLeast"/>
                <w:jc w:val="center"/>
              </w:trPr>
              <w:tc>
                <w:tcPr>
                  <w:tcW w:w="727" w:type="pct"/>
                  <w:vAlign w:val="center"/>
                </w:tcPr>
                <w:p>
                  <w:pPr>
                    <w:pStyle w:val="102"/>
                    <w:spacing w:line="240" w:lineRule="atLeast"/>
                  </w:pPr>
                  <w:r>
                    <w:rPr>
                      <w:rFonts w:hint="eastAsia"/>
                    </w:rPr>
                    <w:t>固化有机废气</w:t>
                  </w:r>
                </w:p>
              </w:tc>
              <w:tc>
                <w:tcPr>
                  <w:tcW w:w="549" w:type="pct"/>
                  <w:vAlign w:val="center"/>
                </w:tcPr>
                <w:p>
                  <w:pPr>
                    <w:pStyle w:val="102"/>
                  </w:pPr>
                  <w:r>
                    <w:t>排气筒</w:t>
                  </w:r>
                  <w:r>
                    <w:rPr>
                      <w:rFonts w:hint="eastAsia"/>
                    </w:rPr>
                    <w:t>DA00</w:t>
                  </w:r>
                  <w:r>
                    <w:t>3</w:t>
                  </w:r>
                </w:p>
              </w:tc>
              <w:tc>
                <w:tcPr>
                  <w:tcW w:w="582" w:type="pct"/>
                </w:tcPr>
                <w:p>
                  <w:r>
                    <w:rPr>
                      <w:rFonts w:hint="eastAsia"/>
                    </w:rPr>
                    <w:t>非甲烷总烃</w:t>
                  </w:r>
                </w:p>
              </w:tc>
              <w:tc>
                <w:tcPr>
                  <w:tcW w:w="676" w:type="pct"/>
                  <w:vAlign w:val="center"/>
                </w:tcPr>
                <w:p>
                  <w:pPr>
                    <w:pStyle w:val="102"/>
                  </w:pPr>
                  <w:r>
                    <w:t>排气筒</w:t>
                  </w:r>
                  <w:r>
                    <w:rPr>
                      <w:rFonts w:hint="eastAsia"/>
                    </w:rPr>
                    <w:t>出</w:t>
                  </w:r>
                  <w:r>
                    <w:t>口</w:t>
                  </w:r>
                </w:p>
              </w:tc>
              <w:tc>
                <w:tcPr>
                  <w:tcW w:w="423" w:type="pct"/>
                  <w:vAlign w:val="center"/>
                </w:tcPr>
                <w:p>
                  <w:pPr>
                    <w:pStyle w:val="102"/>
                  </w:pPr>
                  <w:r>
                    <w:rPr>
                      <w:rFonts w:hint="eastAsia"/>
                    </w:rPr>
                    <w:t>1个</w:t>
                  </w:r>
                </w:p>
              </w:tc>
              <w:tc>
                <w:tcPr>
                  <w:tcW w:w="592" w:type="pct"/>
                  <w:vAlign w:val="center"/>
                </w:tcPr>
                <w:p>
                  <w:pPr>
                    <w:pStyle w:val="102"/>
                  </w:pPr>
                  <w:r>
                    <w:t>1次</w:t>
                  </w:r>
                  <w:r>
                    <w:rPr>
                      <w:rFonts w:hint="eastAsia"/>
                    </w:rPr>
                    <w:t>/年</w:t>
                  </w:r>
                </w:p>
              </w:tc>
              <w:tc>
                <w:tcPr>
                  <w:tcW w:w="1450" w:type="pct"/>
                  <w:vMerge w:val="continue"/>
                  <w:tcBorders>
                    <w:bottom w:val="single" w:color="auto" w:sz="4" w:space="0"/>
                  </w:tcBorders>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8" w:hRule="atLeast"/>
                <w:jc w:val="center"/>
              </w:trPr>
              <w:tc>
                <w:tcPr>
                  <w:tcW w:w="1276" w:type="pct"/>
                  <w:gridSpan w:val="2"/>
                  <w:vAlign w:val="center"/>
                </w:tcPr>
                <w:p>
                  <w:pPr>
                    <w:pStyle w:val="102"/>
                  </w:pPr>
                  <w:r>
                    <w:rPr>
                      <w:rFonts w:hint="eastAsia"/>
                    </w:rPr>
                    <w:t>厂界无组织</w:t>
                  </w:r>
                </w:p>
              </w:tc>
              <w:tc>
                <w:tcPr>
                  <w:tcW w:w="582" w:type="pct"/>
                  <w:vAlign w:val="center"/>
                </w:tcPr>
                <w:p>
                  <w:pPr>
                    <w:pStyle w:val="102"/>
                  </w:pPr>
                  <w:r>
                    <w:rPr>
                      <w:rFonts w:hint="eastAsia"/>
                    </w:rPr>
                    <w:t>颗粒物、非甲烷总烃</w:t>
                  </w:r>
                </w:p>
              </w:tc>
              <w:tc>
                <w:tcPr>
                  <w:tcW w:w="676" w:type="pct"/>
                  <w:vAlign w:val="center"/>
                </w:tcPr>
                <w:p>
                  <w:pPr>
                    <w:pStyle w:val="102"/>
                  </w:pPr>
                  <w:r>
                    <w:t>上风向1个、下风向3个</w:t>
                  </w:r>
                </w:p>
              </w:tc>
              <w:tc>
                <w:tcPr>
                  <w:tcW w:w="423" w:type="pct"/>
                  <w:vAlign w:val="center"/>
                </w:tcPr>
                <w:p>
                  <w:pPr>
                    <w:pStyle w:val="102"/>
                  </w:pPr>
                  <w:r>
                    <w:rPr>
                      <w:rFonts w:hint="eastAsia"/>
                    </w:rPr>
                    <w:t>4个</w:t>
                  </w:r>
                </w:p>
              </w:tc>
              <w:tc>
                <w:tcPr>
                  <w:tcW w:w="592" w:type="pct"/>
                  <w:vAlign w:val="center"/>
                </w:tcPr>
                <w:p>
                  <w:pPr>
                    <w:pStyle w:val="102"/>
                  </w:pPr>
                  <w:r>
                    <w:t>1次</w:t>
                  </w:r>
                  <w:r>
                    <w:rPr>
                      <w:rFonts w:hint="eastAsia"/>
                    </w:rPr>
                    <w:t>/年</w:t>
                  </w:r>
                </w:p>
              </w:tc>
              <w:tc>
                <w:tcPr>
                  <w:tcW w:w="1450" w:type="pct"/>
                  <w:tcBorders>
                    <w:top w:val="single" w:color="auto" w:sz="4" w:space="0"/>
                  </w:tcBorders>
                  <w:vAlign w:val="center"/>
                </w:tcPr>
                <w:p>
                  <w:r>
                    <w:rPr>
                      <w:rFonts w:hint="eastAsia"/>
                    </w:rPr>
                    <w:t>《大气污染物综合排放标准》（GB16297-1996）</w:t>
                  </w:r>
                </w:p>
              </w:tc>
            </w:tr>
          </w:tbl>
          <w:p>
            <w:pPr>
              <w:tabs>
                <w:tab w:val="left" w:pos="397"/>
              </w:tabs>
              <w:spacing w:line="360" w:lineRule="auto"/>
              <w:ind w:firstLine="482" w:firstLineChars="200"/>
              <w:rPr>
                <w:b/>
                <w:bCs/>
                <w:sz w:val="24"/>
              </w:rPr>
            </w:pPr>
            <w:r>
              <w:rPr>
                <w:rFonts w:hint="eastAsia"/>
                <w:b/>
                <w:bCs/>
                <w:sz w:val="24"/>
              </w:rPr>
              <w:t>2</w:t>
            </w:r>
            <w:r>
              <w:rPr>
                <w:b/>
                <w:bCs/>
                <w:sz w:val="24"/>
              </w:rPr>
              <w:t>、废水环境影响分析及治理措施</w:t>
            </w:r>
          </w:p>
          <w:p>
            <w:pPr>
              <w:spacing w:line="360" w:lineRule="auto"/>
              <w:ind w:firstLine="480" w:firstLineChars="200"/>
              <w:rPr>
                <w:sz w:val="24"/>
              </w:rPr>
            </w:pPr>
            <w:r>
              <w:rPr>
                <w:rFonts w:hint="eastAsia"/>
                <w:sz w:val="24"/>
              </w:rPr>
              <w:t>（1）</w:t>
            </w:r>
            <w:r>
              <w:rPr>
                <w:sz w:val="24"/>
              </w:rPr>
              <w:t>地表水环境影响分析</w:t>
            </w:r>
          </w:p>
          <w:p>
            <w:pPr>
              <w:spacing w:line="360" w:lineRule="auto"/>
              <w:ind w:firstLine="480" w:firstLineChars="200"/>
              <w:rPr>
                <w:sz w:val="24"/>
              </w:rPr>
            </w:pPr>
            <w:r>
              <w:rPr>
                <w:rFonts w:hint="eastAsia"/>
                <w:sz w:val="24"/>
              </w:rPr>
              <w:t>项目无生产废水，生活污水产生量</w:t>
            </w:r>
            <w:r>
              <w:rPr>
                <w:sz w:val="24"/>
              </w:rPr>
              <w:t>为15.6m</w:t>
            </w:r>
            <w:r>
              <w:rPr>
                <w:sz w:val="24"/>
                <w:vertAlign w:val="superscript"/>
              </w:rPr>
              <w:t>3</w:t>
            </w:r>
            <w:r>
              <w:rPr>
                <w:sz w:val="24"/>
              </w:rPr>
              <w:t>/d</w:t>
            </w:r>
            <w:r>
              <w:rPr>
                <w:rFonts w:hint="eastAsia"/>
                <w:sz w:val="24"/>
              </w:rPr>
              <w:t>。生活污水采用化粪池处理，污染物排放浓度可以满足</w:t>
            </w:r>
            <w:r>
              <w:rPr>
                <w:sz w:val="24"/>
              </w:rPr>
              <w:t>《污水排入城镇下水道水质标准》</w:t>
            </w:r>
            <w:r>
              <w:rPr>
                <w:bCs/>
                <w:sz w:val="24"/>
              </w:rPr>
              <w:t>（GB/T31962-2015）</w:t>
            </w:r>
            <w:r>
              <w:rPr>
                <w:sz w:val="24"/>
              </w:rPr>
              <w:t>中B级限值要求，</w:t>
            </w:r>
            <w:r>
              <w:rPr>
                <w:rFonts w:hint="eastAsia"/>
                <w:sz w:val="24"/>
              </w:rPr>
              <w:t>经园区污水管网排入园区污水处理厂处理达标后排放。</w:t>
            </w:r>
          </w:p>
          <w:p>
            <w:pPr>
              <w:spacing w:line="360" w:lineRule="auto"/>
              <w:ind w:firstLine="480" w:firstLineChars="200"/>
              <w:rPr>
                <w:sz w:val="24"/>
              </w:rPr>
            </w:pPr>
            <w:r>
              <w:rPr>
                <w:rFonts w:hint="eastAsia"/>
                <w:sz w:val="24"/>
              </w:rPr>
              <w:t>（2）靖边</w:t>
            </w:r>
            <w:r>
              <w:rPr>
                <w:sz w:val="24"/>
              </w:rPr>
              <w:t>县</w:t>
            </w:r>
            <w:r>
              <w:rPr>
                <w:rFonts w:hint="eastAsia"/>
                <w:sz w:val="24"/>
              </w:rPr>
              <w:t>经济技术开发区</w:t>
            </w:r>
            <w:r>
              <w:rPr>
                <w:sz w:val="24"/>
              </w:rPr>
              <w:t>杨桥畔镇污水处理厂</w:t>
            </w:r>
          </w:p>
          <w:p>
            <w:pPr>
              <w:spacing w:line="360" w:lineRule="auto"/>
              <w:ind w:firstLine="480" w:firstLineChars="200"/>
              <w:rPr>
                <w:sz w:val="24"/>
              </w:rPr>
            </w:pPr>
            <w:r>
              <w:rPr>
                <w:sz w:val="24"/>
              </w:rPr>
              <w:t>靖边县</w:t>
            </w:r>
            <w:r>
              <w:rPr>
                <w:rFonts w:hint="eastAsia"/>
                <w:sz w:val="24"/>
              </w:rPr>
              <w:t>经济技术开发区</w:t>
            </w:r>
            <w:r>
              <w:rPr>
                <w:sz w:val="24"/>
              </w:rPr>
              <w:t>杨桥畔镇污水处理厂建设地点</w:t>
            </w:r>
            <w:r>
              <w:rPr>
                <w:rFonts w:hint="eastAsia"/>
                <w:sz w:val="24"/>
              </w:rPr>
              <w:t>位于</w:t>
            </w:r>
            <w:r>
              <w:rPr>
                <w:sz w:val="24"/>
              </w:rPr>
              <w:t>靖边县杨桥畔镇</w:t>
            </w:r>
            <w:r>
              <w:rPr>
                <w:rFonts w:hint="eastAsia"/>
                <w:sz w:val="24"/>
              </w:rPr>
              <w:t>经济技术开发区</w:t>
            </w:r>
            <w:r>
              <w:rPr>
                <w:sz w:val="24"/>
              </w:rPr>
              <w:t>园区祥和大道、绿洲路与宁朔街相交处的左侧。</w:t>
            </w:r>
            <w:r>
              <w:rPr>
                <w:rFonts w:hint="eastAsia"/>
                <w:sz w:val="24"/>
              </w:rPr>
              <w:t>污水厂</w:t>
            </w:r>
            <w:r>
              <w:rPr>
                <w:sz w:val="24"/>
              </w:rPr>
              <w:t>服务范围</w:t>
            </w:r>
            <w:r>
              <w:rPr>
                <w:rFonts w:hint="eastAsia"/>
                <w:sz w:val="24"/>
              </w:rPr>
              <w:t>为靖边县经济技术开发区中小企业版块</w:t>
            </w:r>
            <w:r>
              <w:rPr>
                <w:sz w:val="24"/>
              </w:rPr>
              <w:t>、杨桥畔镇</w:t>
            </w:r>
            <w:r>
              <w:rPr>
                <w:rFonts w:hint="eastAsia"/>
                <w:sz w:val="24"/>
              </w:rPr>
              <w:t>（</w:t>
            </w:r>
            <w:r>
              <w:rPr>
                <w:sz w:val="24"/>
              </w:rPr>
              <w:t>具备污水收集条件的村</w:t>
            </w:r>
            <w:r>
              <w:rPr>
                <w:rFonts w:hint="eastAsia"/>
                <w:sz w:val="24"/>
              </w:rPr>
              <w:t>）</w:t>
            </w:r>
            <w:r>
              <w:rPr>
                <w:sz w:val="24"/>
              </w:rPr>
              <w:t>两个片区工业污水与生活污水。</w:t>
            </w:r>
            <w:r>
              <w:rPr>
                <w:rFonts w:hint="eastAsia"/>
                <w:sz w:val="24"/>
              </w:rPr>
              <w:t>废水排放</w:t>
            </w:r>
            <w:r>
              <w:rPr>
                <w:sz w:val="24"/>
              </w:rPr>
              <w:t>执行《城镇污水处理厂污染物排放标准》(GB18918-2002)的一级A标准。</w:t>
            </w:r>
          </w:p>
          <w:p>
            <w:pPr>
              <w:spacing w:line="360" w:lineRule="auto"/>
              <w:ind w:firstLine="480" w:firstLineChars="200"/>
              <w:rPr>
                <w:sz w:val="24"/>
              </w:rPr>
            </w:pPr>
            <w:r>
              <w:rPr>
                <w:rFonts w:hint="eastAsia"/>
                <w:sz w:val="24"/>
              </w:rPr>
              <w:t>（3）依托可行性</w:t>
            </w:r>
          </w:p>
          <w:p>
            <w:pPr>
              <w:spacing w:line="360" w:lineRule="auto"/>
              <w:ind w:firstLine="480" w:firstLineChars="200"/>
              <w:rPr>
                <w:sz w:val="24"/>
              </w:rPr>
            </w:pPr>
            <w:r>
              <w:rPr>
                <w:rFonts w:hint="eastAsia"/>
                <w:sz w:val="24"/>
              </w:rPr>
              <w:t>靖边</w:t>
            </w:r>
            <w:r>
              <w:rPr>
                <w:sz w:val="24"/>
              </w:rPr>
              <w:t>县</w:t>
            </w:r>
            <w:r>
              <w:rPr>
                <w:rFonts w:hint="eastAsia"/>
                <w:sz w:val="24"/>
              </w:rPr>
              <w:t>经济技术开发区</w:t>
            </w:r>
            <w:r>
              <w:rPr>
                <w:sz w:val="24"/>
              </w:rPr>
              <w:t>桥畔镇污水处理厂于2015年建设，污水处理工艺</w:t>
            </w:r>
            <w:r>
              <w:rPr>
                <w:rFonts w:hint="eastAsia"/>
                <w:sz w:val="24"/>
              </w:rPr>
              <w:t>为</w:t>
            </w:r>
            <w:r>
              <w:rPr>
                <w:sz w:val="24"/>
              </w:rPr>
              <w:t>厌氧水解酸化+A/O的强化预处理脱氮除磷，其设计规模为</w:t>
            </w:r>
            <w:r>
              <w:rPr>
                <w:rFonts w:hint="eastAsia"/>
                <w:sz w:val="24"/>
              </w:rPr>
              <w:t>0.</w:t>
            </w:r>
            <w:r>
              <w:rPr>
                <w:sz w:val="24"/>
              </w:rPr>
              <w:t>5万立方米/日，</w:t>
            </w:r>
            <w:r>
              <w:rPr>
                <w:rFonts w:hint="eastAsia"/>
                <w:sz w:val="24"/>
              </w:rPr>
              <w:t>一期</w:t>
            </w:r>
            <w:r>
              <w:rPr>
                <w:sz w:val="24"/>
              </w:rPr>
              <w:t>处理规模达到</w:t>
            </w:r>
            <w:r>
              <w:rPr>
                <w:rFonts w:hint="eastAsia"/>
                <w:sz w:val="24"/>
              </w:rPr>
              <w:t>0.</w:t>
            </w:r>
            <w:r>
              <w:rPr>
                <w:sz w:val="24"/>
              </w:rPr>
              <w:t>1万立方米/日</w:t>
            </w:r>
            <w:r>
              <w:rPr>
                <w:rFonts w:hint="eastAsia"/>
                <w:sz w:val="24"/>
              </w:rPr>
              <w:t>。</w:t>
            </w:r>
            <w:r>
              <w:rPr>
                <w:sz w:val="24"/>
              </w:rPr>
              <w:t>根据现场调查，本项目地处</w:t>
            </w:r>
            <w:r>
              <w:rPr>
                <w:rFonts w:hint="eastAsia"/>
                <w:sz w:val="24"/>
              </w:rPr>
              <w:t>靖边</w:t>
            </w:r>
            <w:r>
              <w:rPr>
                <w:sz w:val="24"/>
              </w:rPr>
              <w:t>县</w:t>
            </w:r>
            <w:r>
              <w:rPr>
                <w:rFonts w:hint="eastAsia"/>
                <w:sz w:val="24"/>
              </w:rPr>
              <w:t>经济技术开发区</w:t>
            </w:r>
            <w:r>
              <w:rPr>
                <w:sz w:val="24"/>
              </w:rPr>
              <w:t>杨桥畔镇污水处理厂收水范围内，且</w:t>
            </w:r>
            <w:r>
              <w:rPr>
                <w:rFonts w:hint="eastAsia"/>
                <w:sz w:val="24"/>
              </w:rPr>
              <w:t>项目所在地雨污水管网及道路正在施工，靖边</w:t>
            </w:r>
            <w:r>
              <w:rPr>
                <w:sz w:val="24"/>
              </w:rPr>
              <w:t>县</w:t>
            </w:r>
            <w:r>
              <w:rPr>
                <w:rFonts w:hint="eastAsia"/>
                <w:sz w:val="24"/>
              </w:rPr>
              <w:t>经济技术开发区</w:t>
            </w:r>
            <w:r>
              <w:rPr>
                <w:sz w:val="24"/>
              </w:rPr>
              <w:t>杨桥畔镇污水处理厂</w:t>
            </w:r>
            <w:r>
              <w:rPr>
                <w:rFonts w:hint="eastAsia"/>
                <w:sz w:val="24"/>
              </w:rPr>
              <w:t>目前处理水量为250~400</w:t>
            </w:r>
            <w:r>
              <w:rPr>
                <w:sz w:val="24"/>
              </w:rPr>
              <w:t>立方米/日</w:t>
            </w:r>
            <w:r>
              <w:rPr>
                <w:rFonts w:hint="eastAsia"/>
                <w:sz w:val="24"/>
              </w:rPr>
              <w:t>。</w:t>
            </w:r>
            <w:r>
              <w:rPr>
                <w:sz w:val="24"/>
              </w:rPr>
              <w:t>此外，</w:t>
            </w:r>
            <w:r>
              <w:rPr>
                <w:rFonts w:hint="eastAsia"/>
                <w:sz w:val="24"/>
              </w:rPr>
              <w:t>项目污水主要为生活污水，并设置化粪池预处理，经处理后生活污水排放</w:t>
            </w:r>
            <w:r>
              <w:rPr>
                <w:sz w:val="24"/>
              </w:rPr>
              <w:t>符合</w:t>
            </w:r>
            <w:r>
              <w:rPr>
                <w:rFonts w:hint="eastAsia"/>
                <w:sz w:val="24"/>
              </w:rPr>
              <w:t>靖边</w:t>
            </w:r>
            <w:r>
              <w:rPr>
                <w:sz w:val="24"/>
              </w:rPr>
              <w:t>县</w:t>
            </w:r>
            <w:r>
              <w:rPr>
                <w:rFonts w:hint="eastAsia"/>
                <w:sz w:val="24"/>
              </w:rPr>
              <w:t>经济技术开发区</w:t>
            </w:r>
            <w:r>
              <w:rPr>
                <w:sz w:val="24"/>
              </w:rPr>
              <w:t>杨桥畔镇污水处理厂收水水质要求。综上分析，本项目废水依托</w:t>
            </w:r>
            <w:r>
              <w:rPr>
                <w:rFonts w:hint="eastAsia"/>
                <w:sz w:val="24"/>
              </w:rPr>
              <w:t>靖边</w:t>
            </w:r>
            <w:r>
              <w:rPr>
                <w:sz w:val="24"/>
              </w:rPr>
              <w:t>县</w:t>
            </w:r>
            <w:r>
              <w:rPr>
                <w:rFonts w:hint="eastAsia"/>
                <w:sz w:val="24"/>
              </w:rPr>
              <w:t>经济技术开发区</w:t>
            </w:r>
            <w:r>
              <w:rPr>
                <w:sz w:val="24"/>
              </w:rPr>
              <w:t>杨桥畔镇污水处理厂处理废水是可行的。</w:t>
            </w:r>
          </w:p>
          <w:p>
            <w:pPr>
              <w:spacing w:line="360" w:lineRule="auto"/>
              <w:ind w:firstLine="480" w:firstLineChars="200"/>
              <w:rPr>
                <w:sz w:val="24"/>
              </w:rPr>
            </w:pPr>
            <w:r>
              <w:rPr>
                <w:rFonts w:hint="eastAsia"/>
                <w:sz w:val="24"/>
              </w:rPr>
              <w:t>根据《排污单位自行监测技术指南总则》（HJ819-2017），以及项目运营期环境污染特点，生活污水排入市政污水管网，故废水不进行监测。</w:t>
            </w:r>
          </w:p>
          <w:p>
            <w:pPr>
              <w:pStyle w:val="109"/>
              <w:snapToGrid/>
              <w:spacing w:line="360" w:lineRule="auto"/>
              <w:ind w:firstLine="482" w:firstLineChars="200"/>
              <w:rPr>
                <w:rFonts w:ascii="Times New Roman" w:hAnsi="Times New Roman"/>
                <w:bCs/>
                <w:sz w:val="24"/>
              </w:rPr>
            </w:pPr>
            <w:r>
              <w:rPr>
                <w:rFonts w:hint="eastAsia" w:ascii="Times New Roman" w:hAnsi="Times New Roman"/>
                <w:bCs/>
                <w:sz w:val="24"/>
              </w:rPr>
              <w:t>3</w:t>
            </w:r>
            <w:r>
              <w:rPr>
                <w:rFonts w:ascii="Times New Roman" w:hAnsi="Times New Roman"/>
                <w:bCs/>
                <w:sz w:val="24"/>
              </w:rPr>
              <w:t>、噪声环境影响分析</w:t>
            </w:r>
          </w:p>
          <w:p>
            <w:pPr>
              <w:pStyle w:val="109"/>
              <w:snapToGrid/>
              <w:spacing w:line="360" w:lineRule="auto"/>
              <w:ind w:firstLine="482" w:firstLineChars="200"/>
              <w:rPr>
                <w:rFonts w:ascii="Times New Roman" w:hAnsi="Times New Roman"/>
                <w:bCs/>
                <w:sz w:val="24"/>
              </w:rPr>
            </w:pPr>
            <w:r>
              <w:rPr>
                <w:rFonts w:hint="eastAsia" w:ascii="Times New Roman" w:hAnsi="Times New Roman"/>
                <w:bCs/>
                <w:sz w:val="24"/>
              </w:rPr>
              <w:t>（1）</w:t>
            </w:r>
            <w:r>
              <w:rPr>
                <w:rFonts w:ascii="Times New Roman" w:hAnsi="Times New Roman"/>
                <w:bCs/>
                <w:sz w:val="24"/>
              </w:rPr>
              <w:t>主要噪声源强</w:t>
            </w:r>
          </w:p>
          <w:p>
            <w:pPr>
              <w:pStyle w:val="109"/>
              <w:snapToGrid/>
              <w:spacing w:line="360" w:lineRule="auto"/>
              <w:ind w:firstLine="480" w:firstLineChars="200"/>
              <w:rPr>
                <w:rFonts w:ascii="Times New Roman" w:hAnsi="Times New Roman"/>
                <w:b w:val="0"/>
                <w:sz w:val="24"/>
              </w:rPr>
            </w:pPr>
            <w:r>
              <w:rPr>
                <w:rFonts w:ascii="Times New Roman" w:hAnsi="Times New Roman"/>
                <w:b w:val="0"/>
                <w:sz w:val="24"/>
              </w:rPr>
              <w:t>项目主要噪声源为</w:t>
            </w:r>
            <w:r>
              <w:rPr>
                <w:rFonts w:hint="eastAsia" w:ascii="Times New Roman" w:hAnsi="Times New Roman"/>
                <w:b w:val="0"/>
                <w:sz w:val="24"/>
              </w:rPr>
              <w:t>池窑、上料机、电烘箱、固化机</w:t>
            </w:r>
            <w:r>
              <w:rPr>
                <w:rFonts w:ascii="Times New Roman" w:hAnsi="Times New Roman"/>
                <w:b w:val="0"/>
                <w:sz w:val="24"/>
              </w:rPr>
              <w:t>以及风机等设备运行产生的噪声，其声级值为</w:t>
            </w:r>
            <w:r>
              <w:rPr>
                <w:rFonts w:hint="eastAsia" w:ascii="Times New Roman" w:hAnsi="Times New Roman"/>
                <w:b w:val="0"/>
                <w:sz w:val="24"/>
              </w:rPr>
              <w:t>70</w:t>
            </w:r>
            <w:r>
              <w:rPr>
                <w:rFonts w:ascii="Times New Roman" w:hAnsi="Times New Roman"/>
                <w:b w:val="0"/>
                <w:sz w:val="24"/>
              </w:rPr>
              <w:t>～</w:t>
            </w:r>
            <w:r>
              <w:rPr>
                <w:rFonts w:hint="eastAsia" w:ascii="Times New Roman" w:hAnsi="Times New Roman"/>
                <w:b w:val="0"/>
                <w:sz w:val="24"/>
              </w:rPr>
              <w:t>90</w:t>
            </w:r>
            <w:r>
              <w:rPr>
                <w:rFonts w:ascii="Times New Roman" w:hAnsi="Times New Roman"/>
                <w:b w:val="0"/>
                <w:sz w:val="24"/>
              </w:rPr>
              <w:t>dB（A）。项目主要噪声源源强见表</w:t>
            </w:r>
            <w:r>
              <w:rPr>
                <w:rFonts w:hint="eastAsia" w:ascii="Times New Roman" w:hAnsi="Times New Roman"/>
                <w:b w:val="0"/>
                <w:sz w:val="24"/>
              </w:rPr>
              <w:t>4-4</w:t>
            </w:r>
            <w:r>
              <w:rPr>
                <w:rFonts w:ascii="Times New Roman" w:hAnsi="Times New Roman"/>
                <w:b w:val="0"/>
                <w:sz w:val="24"/>
              </w:rPr>
              <w:t>。</w:t>
            </w:r>
          </w:p>
          <w:p>
            <w:pPr>
              <w:pStyle w:val="109"/>
              <w:snapToGrid/>
              <w:ind w:firstLine="0"/>
              <w:jc w:val="center"/>
              <w:rPr>
                <w:rFonts w:cs="宋体"/>
                <w:szCs w:val="21"/>
              </w:rPr>
            </w:pPr>
            <w:r>
              <w:rPr>
                <w:rFonts w:hint="eastAsia" w:cs="宋体"/>
                <w:szCs w:val="21"/>
              </w:rPr>
              <w:t>表4-4  主要</w:t>
            </w:r>
            <w:r>
              <w:t>室内</w:t>
            </w:r>
            <w:r>
              <w:rPr>
                <w:rFonts w:hint="eastAsia" w:cs="宋体"/>
                <w:szCs w:val="21"/>
              </w:rPr>
              <w:t>噪声源统计表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1878"/>
              <w:gridCol w:w="636"/>
              <w:gridCol w:w="958"/>
              <w:gridCol w:w="823"/>
              <w:gridCol w:w="322"/>
              <w:gridCol w:w="636"/>
              <w:gridCol w:w="80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91" w:type="pct"/>
                  <w:vMerge w:val="restart"/>
                  <w:tcBorders>
                    <w:top w:val="single" w:color="auto" w:sz="4" w:space="0"/>
                  </w:tcBorders>
                  <w:vAlign w:val="center"/>
                </w:tcPr>
                <w:p>
                  <w:pPr>
                    <w:pStyle w:val="60"/>
                    <w:spacing w:before="24" w:after="24"/>
                  </w:pPr>
                  <w:r>
                    <w:rPr>
                      <w:rFonts w:hint="eastAsia"/>
                    </w:rPr>
                    <w:t>序号</w:t>
                  </w:r>
                </w:p>
              </w:tc>
              <w:tc>
                <w:tcPr>
                  <w:tcW w:w="1156" w:type="pct"/>
                  <w:vMerge w:val="restart"/>
                  <w:tcBorders>
                    <w:top w:val="single" w:color="auto" w:sz="4" w:space="0"/>
                  </w:tcBorders>
                  <w:noWrap/>
                  <w:vAlign w:val="center"/>
                </w:tcPr>
                <w:p>
                  <w:pPr>
                    <w:pStyle w:val="60"/>
                    <w:spacing w:before="24" w:after="24"/>
                  </w:pPr>
                  <w:r>
                    <w:rPr>
                      <w:rFonts w:hint="eastAsia"/>
                    </w:rPr>
                    <w:t>声源名称</w:t>
                  </w:r>
                </w:p>
              </w:tc>
              <w:tc>
                <w:tcPr>
                  <w:tcW w:w="391" w:type="pct"/>
                  <w:vMerge w:val="restart"/>
                  <w:tcBorders>
                    <w:top w:val="single" w:color="auto" w:sz="4" w:space="0"/>
                  </w:tcBorders>
                  <w:noWrap/>
                  <w:vAlign w:val="center"/>
                </w:tcPr>
                <w:p>
                  <w:pPr>
                    <w:pStyle w:val="60"/>
                    <w:spacing w:before="24" w:after="24"/>
                  </w:pPr>
                  <w:r>
                    <w:rPr>
                      <w:rFonts w:hint="eastAsia"/>
                    </w:rPr>
                    <w:t>数量</w:t>
                  </w:r>
                </w:p>
              </w:tc>
              <w:tc>
                <w:tcPr>
                  <w:tcW w:w="1367" w:type="pct"/>
                  <w:gridSpan w:val="3"/>
                  <w:tcBorders>
                    <w:top w:val="single" w:color="auto" w:sz="4" w:space="0"/>
                  </w:tcBorders>
                  <w:noWrap/>
                  <w:vAlign w:val="center"/>
                </w:tcPr>
                <w:p>
                  <w:pPr>
                    <w:pStyle w:val="60"/>
                    <w:spacing w:before="24" w:after="24"/>
                  </w:pPr>
                  <w:r>
                    <w:rPr>
                      <w:rFonts w:hint="eastAsia"/>
                    </w:rPr>
                    <w:t>空间相对位置</w:t>
                  </w:r>
                </w:p>
              </w:tc>
              <w:tc>
                <w:tcPr>
                  <w:tcW w:w="392" w:type="pct"/>
                  <w:vMerge w:val="restart"/>
                  <w:tcBorders>
                    <w:top w:val="single" w:color="auto" w:sz="4" w:space="0"/>
                  </w:tcBorders>
                  <w:vAlign w:val="center"/>
                </w:tcPr>
                <w:p>
                  <w:pPr>
                    <w:pStyle w:val="60"/>
                    <w:spacing w:before="24" w:after="24"/>
                  </w:pPr>
                  <w:r>
                    <w:rPr>
                      <w:rFonts w:hint="eastAsia"/>
                    </w:rPr>
                    <w:t>声源控制措施</w:t>
                  </w:r>
                </w:p>
              </w:tc>
              <w:tc>
                <w:tcPr>
                  <w:tcW w:w="586" w:type="pct"/>
                  <w:vMerge w:val="restart"/>
                  <w:tcBorders>
                    <w:top w:val="single" w:color="auto" w:sz="4" w:space="0"/>
                  </w:tcBorders>
                  <w:vAlign w:val="center"/>
                </w:tcPr>
                <w:p>
                  <w:pPr>
                    <w:pStyle w:val="60"/>
                    <w:spacing w:before="24" w:after="24"/>
                  </w:pPr>
                  <w:r>
                    <w:rPr>
                      <w:rFonts w:hint="eastAsia"/>
                    </w:rPr>
                    <w:t>室内边界声级</w:t>
                  </w:r>
                </w:p>
                <w:p>
                  <w:pPr>
                    <w:pStyle w:val="60"/>
                    <w:spacing w:before="24" w:after="24"/>
                  </w:pPr>
                  <w:r>
                    <w:rPr>
                      <w:rFonts w:hint="eastAsia"/>
                    </w:rPr>
                    <w:t>/dB（A)</w:t>
                  </w:r>
                </w:p>
              </w:tc>
              <w:tc>
                <w:tcPr>
                  <w:tcW w:w="714" w:type="pct"/>
                  <w:vMerge w:val="restart"/>
                  <w:tcBorders>
                    <w:top w:val="single" w:color="auto" w:sz="4" w:space="0"/>
                  </w:tcBorders>
                  <w:noWrap/>
                  <w:vAlign w:val="center"/>
                </w:tcPr>
                <w:p>
                  <w:pPr>
                    <w:pStyle w:val="60"/>
                    <w:spacing w:before="24" w:after="24"/>
                  </w:pPr>
                  <w:r>
                    <w:rPr>
                      <w:rFonts w:hint="eastAsia"/>
                    </w:rPr>
                    <w:t>等效室外声级</w:t>
                  </w:r>
                </w:p>
                <w:p>
                  <w:pPr>
                    <w:pStyle w:val="60"/>
                    <w:spacing w:before="24" w:after="24"/>
                  </w:pPr>
                  <w:r>
                    <w:rPr>
                      <w:rFonts w:hint="eastAsia"/>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91" w:type="pct"/>
                  <w:vMerge w:val="continue"/>
                  <w:vAlign w:val="center"/>
                </w:tcPr>
                <w:p>
                  <w:pPr>
                    <w:pStyle w:val="60"/>
                    <w:spacing w:before="24" w:after="24"/>
                  </w:pPr>
                </w:p>
              </w:tc>
              <w:tc>
                <w:tcPr>
                  <w:tcW w:w="1156" w:type="pct"/>
                  <w:vMerge w:val="continue"/>
                  <w:noWrap/>
                  <w:vAlign w:val="center"/>
                </w:tcPr>
                <w:p>
                  <w:pPr>
                    <w:pStyle w:val="60"/>
                    <w:spacing w:before="24" w:after="24"/>
                  </w:pPr>
                </w:p>
              </w:tc>
              <w:tc>
                <w:tcPr>
                  <w:tcW w:w="391" w:type="pct"/>
                  <w:vMerge w:val="continue"/>
                  <w:noWrap/>
                  <w:vAlign w:val="center"/>
                </w:tcPr>
                <w:p>
                  <w:pPr>
                    <w:pStyle w:val="60"/>
                    <w:spacing w:before="24" w:after="24"/>
                  </w:pPr>
                </w:p>
              </w:tc>
              <w:tc>
                <w:tcPr>
                  <w:tcW w:w="622" w:type="pct"/>
                  <w:tcBorders>
                    <w:top w:val="single" w:color="auto" w:sz="4" w:space="0"/>
                  </w:tcBorders>
                  <w:noWrap/>
                  <w:vAlign w:val="center"/>
                </w:tcPr>
                <w:p>
                  <w:pPr>
                    <w:pStyle w:val="60"/>
                    <w:spacing w:before="24" w:after="24"/>
                    <w:rPr>
                      <w:b/>
                      <w:bCs/>
                    </w:rPr>
                  </w:pPr>
                  <w:r>
                    <w:rPr>
                      <w:b/>
                      <w:bCs/>
                    </w:rPr>
                    <w:t>X</w:t>
                  </w:r>
                </w:p>
              </w:tc>
              <w:tc>
                <w:tcPr>
                  <w:tcW w:w="539" w:type="pct"/>
                  <w:tcBorders>
                    <w:top w:val="single" w:color="auto" w:sz="4" w:space="0"/>
                  </w:tcBorders>
                  <w:noWrap/>
                  <w:vAlign w:val="center"/>
                </w:tcPr>
                <w:p>
                  <w:pPr>
                    <w:pStyle w:val="60"/>
                    <w:spacing w:before="24" w:after="24"/>
                    <w:rPr>
                      <w:b/>
                      <w:bCs/>
                    </w:rPr>
                  </w:pPr>
                  <w:r>
                    <w:rPr>
                      <w:b/>
                      <w:bCs/>
                    </w:rPr>
                    <w:t>Y</w:t>
                  </w:r>
                </w:p>
              </w:tc>
              <w:tc>
                <w:tcPr>
                  <w:tcW w:w="205" w:type="pct"/>
                  <w:tcBorders>
                    <w:top w:val="single" w:color="auto" w:sz="4" w:space="0"/>
                  </w:tcBorders>
                  <w:noWrap/>
                  <w:vAlign w:val="center"/>
                </w:tcPr>
                <w:p>
                  <w:pPr>
                    <w:pStyle w:val="60"/>
                    <w:spacing w:before="24" w:after="24"/>
                    <w:rPr>
                      <w:b/>
                      <w:bCs/>
                    </w:rPr>
                  </w:pPr>
                  <w:r>
                    <w:rPr>
                      <w:b/>
                      <w:bCs/>
                    </w:rPr>
                    <w:t>Z</w:t>
                  </w:r>
                </w:p>
              </w:tc>
              <w:tc>
                <w:tcPr>
                  <w:tcW w:w="392" w:type="pct"/>
                  <w:vMerge w:val="continue"/>
                  <w:vAlign w:val="center"/>
                </w:tcPr>
                <w:p>
                  <w:pPr>
                    <w:pStyle w:val="60"/>
                    <w:spacing w:before="24" w:after="24"/>
                  </w:pPr>
                </w:p>
              </w:tc>
              <w:tc>
                <w:tcPr>
                  <w:tcW w:w="586" w:type="pct"/>
                  <w:vMerge w:val="continue"/>
                  <w:vAlign w:val="center"/>
                </w:tcPr>
                <w:p>
                  <w:pPr>
                    <w:pStyle w:val="60"/>
                    <w:spacing w:before="24" w:after="24"/>
                  </w:pPr>
                </w:p>
              </w:tc>
              <w:tc>
                <w:tcPr>
                  <w:tcW w:w="714" w:type="pct"/>
                  <w:vMerge w:val="continue"/>
                  <w:noWrap/>
                  <w:vAlign w:val="center"/>
                </w:tcPr>
                <w:p>
                  <w:pPr>
                    <w:pStyle w:val="60"/>
                    <w:spacing w:before="24" w:after="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1" w:type="pct"/>
                  <w:tcBorders>
                    <w:top w:val="single" w:color="auto" w:sz="4" w:space="0"/>
                  </w:tcBorders>
                  <w:vAlign w:val="center"/>
                </w:tcPr>
                <w:p>
                  <w:pPr>
                    <w:widowControl/>
                    <w:jc w:val="right"/>
                    <w:textAlignment w:val="center"/>
                  </w:pPr>
                  <w:r>
                    <w:rPr>
                      <w:rFonts w:hint="eastAsia" w:ascii="宋体" w:hAnsi="宋体" w:cs="宋体"/>
                      <w:kern w:val="0"/>
                      <w:sz w:val="24"/>
                      <w:lang w:bidi="ar"/>
                    </w:rPr>
                    <w:t>1</w:t>
                  </w:r>
                </w:p>
              </w:tc>
              <w:tc>
                <w:tcPr>
                  <w:tcW w:w="1156" w:type="pct"/>
                  <w:tcBorders>
                    <w:top w:val="single" w:color="auto" w:sz="4" w:space="0"/>
                  </w:tcBorders>
                  <w:noWrap/>
                  <w:vAlign w:val="center"/>
                </w:tcPr>
                <w:p>
                  <w:pPr>
                    <w:pStyle w:val="101"/>
                    <w:spacing w:before="62"/>
                    <w:ind w:left="519" w:right="513"/>
                    <w:jc w:val="center"/>
                    <w:rPr>
                      <w:sz w:val="21"/>
                    </w:rPr>
                  </w:pPr>
                  <w:r>
                    <w:rPr>
                      <w:rFonts w:hint="eastAsia" w:ascii="宋体" w:hAnsi="宋体" w:eastAsia="宋体" w:cs="宋体"/>
                      <w:sz w:val="21"/>
                    </w:rPr>
                    <w:t>加料机</w:t>
                  </w:r>
                </w:p>
              </w:tc>
              <w:tc>
                <w:tcPr>
                  <w:tcW w:w="391" w:type="pct"/>
                  <w:tcBorders>
                    <w:top w:val="single" w:color="auto" w:sz="4" w:space="0"/>
                  </w:tcBorders>
                  <w:noWrap/>
                  <w:vAlign w:val="center"/>
                </w:tcPr>
                <w:p>
                  <w:pPr>
                    <w:jc w:val="center"/>
                  </w:pPr>
                  <w:r>
                    <w:t xml:space="preserve">5 </w:t>
                  </w:r>
                </w:p>
              </w:tc>
              <w:tc>
                <w:tcPr>
                  <w:tcW w:w="622" w:type="pct"/>
                  <w:tcBorders>
                    <w:top w:val="single" w:color="auto" w:sz="4" w:space="0"/>
                  </w:tcBorders>
                  <w:noWrap/>
                  <w:vAlign w:val="center"/>
                </w:tcPr>
                <w:p>
                  <w:pPr>
                    <w:pStyle w:val="60"/>
                    <w:spacing w:before="24" w:after="24"/>
                    <w:rPr>
                      <w:sz w:val="22"/>
                      <w:szCs w:val="22"/>
                    </w:rPr>
                  </w:pPr>
                  <w:r>
                    <w:rPr>
                      <w:rFonts w:hint="eastAsia"/>
                      <w:sz w:val="22"/>
                      <w:szCs w:val="22"/>
                    </w:rPr>
                    <w:t>15</w:t>
                  </w:r>
                </w:p>
              </w:tc>
              <w:tc>
                <w:tcPr>
                  <w:tcW w:w="539" w:type="pct"/>
                  <w:tcBorders>
                    <w:top w:val="single" w:color="auto" w:sz="4" w:space="0"/>
                  </w:tcBorders>
                  <w:noWrap/>
                  <w:vAlign w:val="center"/>
                </w:tcPr>
                <w:p>
                  <w:pPr>
                    <w:pStyle w:val="60"/>
                    <w:spacing w:before="24" w:after="24"/>
                    <w:rPr>
                      <w:sz w:val="22"/>
                      <w:szCs w:val="22"/>
                    </w:rPr>
                  </w:pPr>
                  <w:r>
                    <w:rPr>
                      <w:rFonts w:hint="eastAsia"/>
                      <w:sz w:val="22"/>
                      <w:szCs w:val="22"/>
                    </w:rPr>
                    <w:t>-31</w:t>
                  </w:r>
                </w:p>
              </w:tc>
              <w:tc>
                <w:tcPr>
                  <w:tcW w:w="205" w:type="pct"/>
                  <w:tcBorders>
                    <w:top w:val="single" w:color="auto" w:sz="4" w:space="0"/>
                  </w:tcBorders>
                  <w:noWrap/>
                  <w:vAlign w:val="center"/>
                </w:tcPr>
                <w:p>
                  <w:pPr>
                    <w:pStyle w:val="60"/>
                    <w:spacing w:before="24" w:after="24"/>
                  </w:pPr>
                  <w:r>
                    <w:rPr>
                      <w:rFonts w:hint="eastAsia"/>
                    </w:rPr>
                    <w:t>1</w:t>
                  </w:r>
                </w:p>
              </w:tc>
              <w:tc>
                <w:tcPr>
                  <w:tcW w:w="392" w:type="pct"/>
                  <w:vMerge w:val="restart"/>
                  <w:tcBorders>
                    <w:top w:val="single" w:color="auto" w:sz="4" w:space="0"/>
                  </w:tcBorders>
                  <w:vAlign w:val="center"/>
                </w:tcPr>
                <w:p>
                  <w:pPr>
                    <w:pStyle w:val="60"/>
                    <w:spacing w:before="24" w:after="24"/>
                  </w:pPr>
                  <w:r>
                    <w:t>选低噪设备</w:t>
                  </w:r>
                  <w:r>
                    <w:rPr>
                      <w:rFonts w:hint="eastAsia"/>
                    </w:rPr>
                    <w:t>、</w:t>
                  </w:r>
                </w:p>
                <w:p>
                  <w:pPr>
                    <w:pStyle w:val="60"/>
                    <w:spacing w:before="24" w:after="24"/>
                  </w:pPr>
                  <w:r>
                    <w:t>建筑物隔声、加减振垫</w:t>
                  </w:r>
                </w:p>
              </w:tc>
              <w:tc>
                <w:tcPr>
                  <w:tcW w:w="586" w:type="pct"/>
                  <w:tcBorders>
                    <w:top w:val="single" w:color="auto" w:sz="4" w:space="0"/>
                  </w:tcBorders>
                  <w:vAlign w:val="center"/>
                </w:tcPr>
                <w:p>
                  <w:pPr>
                    <w:pStyle w:val="60"/>
                    <w:spacing w:before="24" w:after="24"/>
                  </w:pPr>
                  <w:r>
                    <w:rPr>
                      <w:rFonts w:hint="eastAsia"/>
                    </w:rPr>
                    <w:t>75</w:t>
                  </w:r>
                </w:p>
              </w:tc>
              <w:tc>
                <w:tcPr>
                  <w:tcW w:w="714" w:type="pct"/>
                  <w:tcBorders>
                    <w:top w:val="single" w:color="auto" w:sz="4" w:space="0"/>
                  </w:tcBorders>
                  <w:noWrap/>
                </w:tcPr>
                <w:p>
                  <w:pPr>
                    <w:pStyle w:val="60"/>
                    <w:spacing w:before="24" w:after="24"/>
                  </w:pPr>
                  <w:r>
                    <w:rPr>
                      <w:rFonts w:hint="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1" w:type="pct"/>
                  <w:tcBorders>
                    <w:top w:val="single" w:color="auto" w:sz="4" w:space="0"/>
                  </w:tcBorders>
                  <w:vAlign w:val="center"/>
                </w:tcPr>
                <w:p>
                  <w:pPr>
                    <w:widowControl/>
                    <w:jc w:val="right"/>
                    <w:textAlignment w:val="center"/>
                  </w:pPr>
                  <w:r>
                    <w:rPr>
                      <w:rFonts w:hint="eastAsia" w:ascii="宋体" w:hAnsi="宋体" w:cs="宋体"/>
                      <w:kern w:val="0"/>
                      <w:sz w:val="24"/>
                      <w:lang w:bidi="ar"/>
                    </w:rPr>
                    <w:t>2</w:t>
                  </w:r>
                </w:p>
              </w:tc>
              <w:tc>
                <w:tcPr>
                  <w:tcW w:w="1156" w:type="pct"/>
                  <w:tcBorders>
                    <w:top w:val="single" w:color="auto" w:sz="4" w:space="0"/>
                  </w:tcBorders>
                  <w:noWrap/>
                  <w:vAlign w:val="center"/>
                </w:tcPr>
                <w:p>
                  <w:pPr>
                    <w:pStyle w:val="101"/>
                    <w:spacing w:before="61"/>
                    <w:ind w:left="519" w:right="513"/>
                    <w:jc w:val="center"/>
                    <w:rPr>
                      <w:sz w:val="21"/>
                    </w:rPr>
                  </w:pPr>
                  <w:r>
                    <w:rPr>
                      <w:rFonts w:hint="eastAsia" w:ascii="宋体" w:hAnsi="宋体" w:eastAsia="宋体" w:cs="宋体"/>
                      <w:sz w:val="21"/>
                    </w:rPr>
                    <w:t>上料机</w:t>
                  </w:r>
                </w:p>
              </w:tc>
              <w:tc>
                <w:tcPr>
                  <w:tcW w:w="391" w:type="pct"/>
                  <w:tcBorders>
                    <w:top w:val="single" w:color="auto" w:sz="4" w:space="0"/>
                  </w:tcBorders>
                  <w:noWrap/>
                  <w:vAlign w:val="center"/>
                </w:tcPr>
                <w:p>
                  <w:pPr>
                    <w:jc w:val="center"/>
                  </w:pPr>
                  <w:r>
                    <w:t xml:space="preserve">5 </w:t>
                  </w:r>
                </w:p>
              </w:tc>
              <w:tc>
                <w:tcPr>
                  <w:tcW w:w="622" w:type="pct"/>
                  <w:tcBorders>
                    <w:top w:val="single" w:color="auto" w:sz="4" w:space="0"/>
                  </w:tcBorders>
                  <w:noWrap/>
                  <w:vAlign w:val="center"/>
                </w:tcPr>
                <w:p>
                  <w:pPr>
                    <w:pStyle w:val="60"/>
                    <w:spacing w:before="24" w:after="24"/>
                    <w:rPr>
                      <w:sz w:val="22"/>
                      <w:szCs w:val="22"/>
                    </w:rPr>
                  </w:pPr>
                  <w:r>
                    <w:rPr>
                      <w:rFonts w:hint="eastAsia"/>
                      <w:sz w:val="22"/>
                      <w:szCs w:val="22"/>
                    </w:rPr>
                    <w:t>7</w:t>
                  </w:r>
                </w:p>
              </w:tc>
              <w:tc>
                <w:tcPr>
                  <w:tcW w:w="539" w:type="pct"/>
                  <w:tcBorders>
                    <w:top w:val="single" w:color="auto" w:sz="4" w:space="0"/>
                  </w:tcBorders>
                  <w:noWrap/>
                  <w:vAlign w:val="center"/>
                </w:tcPr>
                <w:p>
                  <w:pPr>
                    <w:pStyle w:val="60"/>
                    <w:spacing w:before="24" w:after="24"/>
                    <w:rPr>
                      <w:sz w:val="22"/>
                      <w:szCs w:val="22"/>
                    </w:rPr>
                  </w:pPr>
                  <w:r>
                    <w:rPr>
                      <w:rFonts w:hint="eastAsia"/>
                      <w:sz w:val="22"/>
                      <w:szCs w:val="22"/>
                    </w:rPr>
                    <w:t>-32</w:t>
                  </w:r>
                </w:p>
              </w:tc>
              <w:tc>
                <w:tcPr>
                  <w:tcW w:w="205" w:type="pct"/>
                  <w:tcBorders>
                    <w:top w:val="single" w:color="auto" w:sz="4" w:space="0"/>
                  </w:tcBorders>
                  <w:noWrap/>
                  <w:vAlign w:val="center"/>
                </w:tcPr>
                <w:p>
                  <w:pPr>
                    <w:pStyle w:val="60"/>
                    <w:spacing w:before="24" w:after="24"/>
                  </w:pPr>
                  <w:r>
                    <w:rPr>
                      <w:rFonts w:hint="eastAsia"/>
                    </w:rPr>
                    <w:t>1</w:t>
                  </w:r>
                </w:p>
              </w:tc>
              <w:tc>
                <w:tcPr>
                  <w:tcW w:w="392" w:type="pct"/>
                  <w:vMerge w:val="continue"/>
                  <w:vAlign w:val="center"/>
                </w:tcPr>
                <w:p>
                  <w:pPr>
                    <w:pStyle w:val="60"/>
                    <w:spacing w:before="24" w:after="24"/>
                  </w:pPr>
                </w:p>
              </w:tc>
              <w:tc>
                <w:tcPr>
                  <w:tcW w:w="586" w:type="pct"/>
                  <w:tcBorders>
                    <w:top w:val="single" w:color="auto" w:sz="4" w:space="0"/>
                  </w:tcBorders>
                  <w:vAlign w:val="center"/>
                </w:tcPr>
                <w:p>
                  <w:pPr>
                    <w:pStyle w:val="60"/>
                    <w:spacing w:before="24" w:after="24"/>
                  </w:pPr>
                  <w:r>
                    <w:rPr>
                      <w:rFonts w:hint="eastAsia"/>
                    </w:rPr>
                    <w:t>75</w:t>
                  </w:r>
                </w:p>
              </w:tc>
              <w:tc>
                <w:tcPr>
                  <w:tcW w:w="714" w:type="pct"/>
                  <w:tcBorders>
                    <w:top w:val="single" w:color="auto" w:sz="4" w:space="0"/>
                  </w:tcBorders>
                  <w:noWrap/>
                </w:tcPr>
                <w:p>
                  <w:pPr>
                    <w:pStyle w:val="60"/>
                    <w:spacing w:before="24" w:after="24"/>
                  </w:pPr>
                  <w:r>
                    <w:rPr>
                      <w:rFonts w:hint="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1" w:type="pct"/>
                  <w:tcBorders>
                    <w:top w:val="single" w:color="auto" w:sz="4" w:space="0"/>
                  </w:tcBorders>
                  <w:vAlign w:val="center"/>
                </w:tcPr>
                <w:p>
                  <w:pPr>
                    <w:widowControl/>
                    <w:jc w:val="right"/>
                    <w:textAlignment w:val="center"/>
                  </w:pPr>
                  <w:r>
                    <w:rPr>
                      <w:rFonts w:hint="eastAsia" w:ascii="宋体" w:hAnsi="宋体" w:cs="宋体"/>
                      <w:kern w:val="0"/>
                      <w:sz w:val="24"/>
                      <w:lang w:bidi="ar"/>
                    </w:rPr>
                    <w:t>3</w:t>
                  </w:r>
                </w:p>
              </w:tc>
              <w:tc>
                <w:tcPr>
                  <w:tcW w:w="1156" w:type="pct"/>
                  <w:tcBorders>
                    <w:top w:val="single" w:color="auto" w:sz="4" w:space="0"/>
                  </w:tcBorders>
                  <w:noWrap/>
                  <w:vAlign w:val="center"/>
                </w:tcPr>
                <w:p>
                  <w:pPr>
                    <w:widowControl/>
                    <w:jc w:val="center"/>
                    <w:rPr>
                      <w:kern w:val="0"/>
                      <w:szCs w:val="21"/>
                    </w:rPr>
                  </w:pPr>
                  <w:r>
                    <w:rPr>
                      <w:rFonts w:hint="eastAsia"/>
                      <w:kern w:val="0"/>
                      <w:szCs w:val="21"/>
                    </w:rPr>
                    <w:t>全电熔池窑</w:t>
                  </w:r>
                </w:p>
              </w:tc>
              <w:tc>
                <w:tcPr>
                  <w:tcW w:w="391" w:type="pct"/>
                  <w:tcBorders>
                    <w:top w:val="single" w:color="auto" w:sz="4" w:space="0"/>
                  </w:tcBorders>
                  <w:noWrap/>
                </w:tcPr>
                <w:p>
                  <w:pPr>
                    <w:widowControl/>
                    <w:jc w:val="center"/>
                    <w:rPr>
                      <w:kern w:val="0"/>
                      <w:szCs w:val="21"/>
                    </w:rPr>
                  </w:pPr>
                  <w:r>
                    <w:rPr>
                      <w:kern w:val="0"/>
                      <w:szCs w:val="21"/>
                    </w:rPr>
                    <w:t xml:space="preserve">5 </w:t>
                  </w:r>
                </w:p>
              </w:tc>
              <w:tc>
                <w:tcPr>
                  <w:tcW w:w="622" w:type="pct"/>
                  <w:tcBorders>
                    <w:top w:val="single" w:color="auto" w:sz="4" w:space="0"/>
                  </w:tcBorders>
                  <w:noWrap/>
                  <w:vAlign w:val="center"/>
                </w:tcPr>
                <w:p>
                  <w:pPr>
                    <w:pStyle w:val="60"/>
                    <w:spacing w:before="24" w:after="24"/>
                    <w:rPr>
                      <w:sz w:val="22"/>
                      <w:szCs w:val="22"/>
                    </w:rPr>
                  </w:pPr>
                  <w:r>
                    <w:rPr>
                      <w:rFonts w:hint="eastAsia"/>
                      <w:sz w:val="22"/>
                      <w:szCs w:val="22"/>
                    </w:rPr>
                    <w:t>53</w:t>
                  </w:r>
                </w:p>
              </w:tc>
              <w:tc>
                <w:tcPr>
                  <w:tcW w:w="539" w:type="pct"/>
                  <w:tcBorders>
                    <w:top w:val="single" w:color="auto" w:sz="4" w:space="0"/>
                  </w:tcBorders>
                  <w:noWrap/>
                  <w:vAlign w:val="center"/>
                </w:tcPr>
                <w:p>
                  <w:pPr>
                    <w:pStyle w:val="60"/>
                    <w:spacing w:before="24" w:after="24"/>
                    <w:rPr>
                      <w:sz w:val="22"/>
                      <w:szCs w:val="22"/>
                    </w:rPr>
                  </w:pPr>
                  <w:r>
                    <w:rPr>
                      <w:rFonts w:hint="eastAsia"/>
                      <w:sz w:val="22"/>
                      <w:szCs w:val="22"/>
                    </w:rPr>
                    <w:t>-26</w:t>
                  </w:r>
                </w:p>
              </w:tc>
              <w:tc>
                <w:tcPr>
                  <w:tcW w:w="205" w:type="pct"/>
                  <w:tcBorders>
                    <w:top w:val="single" w:color="auto" w:sz="4" w:space="0"/>
                  </w:tcBorders>
                  <w:noWrap/>
                  <w:vAlign w:val="center"/>
                </w:tcPr>
                <w:p>
                  <w:pPr>
                    <w:pStyle w:val="60"/>
                    <w:spacing w:before="24" w:after="24"/>
                  </w:pPr>
                  <w:r>
                    <w:rPr>
                      <w:rFonts w:hint="eastAsia"/>
                    </w:rPr>
                    <w:t>1</w:t>
                  </w:r>
                </w:p>
              </w:tc>
              <w:tc>
                <w:tcPr>
                  <w:tcW w:w="392" w:type="pct"/>
                  <w:vMerge w:val="continue"/>
                  <w:vAlign w:val="center"/>
                </w:tcPr>
                <w:p>
                  <w:pPr>
                    <w:pStyle w:val="60"/>
                    <w:spacing w:before="24" w:after="24"/>
                  </w:pPr>
                </w:p>
              </w:tc>
              <w:tc>
                <w:tcPr>
                  <w:tcW w:w="586" w:type="pct"/>
                  <w:tcBorders>
                    <w:top w:val="single" w:color="auto" w:sz="4" w:space="0"/>
                  </w:tcBorders>
                  <w:vAlign w:val="center"/>
                </w:tcPr>
                <w:p>
                  <w:pPr>
                    <w:pStyle w:val="60"/>
                    <w:spacing w:before="24" w:after="24"/>
                  </w:pPr>
                  <w:r>
                    <w:rPr>
                      <w:rFonts w:hint="eastAsia"/>
                    </w:rPr>
                    <w:t>75</w:t>
                  </w:r>
                </w:p>
              </w:tc>
              <w:tc>
                <w:tcPr>
                  <w:tcW w:w="714" w:type="pct"/>
                  <w:tcBorders>
                    <w:top w:val="single" w:color="auto" w:sz="4" w:space="0"/>
                  </w:tcBorders>
                  <w:noWrap/>
                </w:tcPr>
                <w:p>
                  <w:pPr>
                    <w:pStyle w:val="60"/>
                    <w:spacing w:before="24" w:after="24"/>
                  </w:pPr>
                  <w:r>
                    <w:rPr>
                      <w:rFonts w:hint="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 w:type="pct"/>
                  <w:vAlign w:val="center"/>
                </w:tcPr>
                <w:p>
                  <w:pPr>
                    <w:widowControl/>
                    <w:jc w:val="right"/>
                    <w:textAlignment w:val="center"/>
                  </w:pPr>
                  <w:r>
                    <w:rPr>
                      <w:rFonts w:hint="eastAsia" w:ascii="宋体" w:hAnsi="宋体" w:cs="宋体"/>
                      <w:kern w:val="0"/>
                      <w:sz w:val="24"/>
                      <w:lang w:bidi="ar"/>
                    </w:rPr>
                    <w:t>4</w:t>
                  </w:r>
                </w:p>
              </w:tc>
              <w:tc>
                <w:tcPr>
                  <w:tcW w:w="1156" w:type="pct"/>
                  <w:noWrap/>
                  <w:vAlign w:val="center"/>
                </w:tcPr>
                <w:p>
                  <w:pPr>
                    <w:widowControl/>
                    <w:jc w:val="center"/>
                    <w:rPr>
                      <w:kern w:val="0"/>
                      <w:szCs w:val="21"/>
                    </w:rPr>
                  </w:pPr>
                  <w:r>
                    <w:rPr>
                      <w:rFonts w:hint="eastAsia"/>
                      <w:kern w:val="0"/>
                      <w:szCs w:val="21"/>
                    </w:rPr>
                    <w:t>拉丝机</w:t>
                  </w:r>
                </w:p>
              </w:tc>
              <w:tc>
                <w:tcPr>
                  <w:tcW w:w="391" w:type="pct"/>
                  <w:noWrap/>
                </w:tcPr>
                <w:p>
                  <w:pPr>
                    <w:widowControl/>
                    <w:jc w:val="center"/>
                    <w:rPr>
                      <w:kern w:val="0"/>
                      <w:szCs w:val="21"/>
                    </w:rPr>
                  </w:pPr>
                  <w:r>
                    <w:rPr>
                      <w:rFonts w:hint="eastAsia"/>
                      <w:kern w:val="0"/>
                      <w:szCs w:val="21"/>
                    </w:rPr>
                    <w:t xml:space="preserve">5 </w:t>
                  </w:r>
                </w:p>
              </w:tc>
              <w:tc>
                <w:tcPr>
                  <w:tcW w:w="622" w:type="pct"/>
                  <w:noWrap/>
                  <w:vAlign w:val="center"/>
                </w:tcPr>
                <w:p>
                  <w:pPr>
                    <w:pStyle w:val="60"/>
                    <w:spacing w:before="24" w:after="24"/>
                  </w:pPr>
                  <w:r>
                    <w:rPr>
                      <w:rFonts w:hint="eastAsia"/>
                    </w:rPr>
                    <w:t>43</w:t>
                  </w:r>
                </w:p>
              </w:tc>
              <w:tc>
                <w:tcPr>
                  <w:tcW w:w="539" w:type="pct"/>
                  <w:noWrap/>
                  <w:vAlign w:val="center"/>
                </w:tcPr>
                <w:p>
                  <w:pPr>
                    <w:pStyle w:val="60"/>
                    <w:spacing w:before="24" w:after="24"/>
                  </w:pPr>
                  <w:r>
                    <w:rPr>
                      <w:rFonts w:hint="eastAsia"/>
                    </w:rPr>
                    <w:t>-31</w:t>
                  </w:r>
                </w:p>
              </w:tc>
              <w:tc>
                <w:tcPr>
                  <w:tcW w:w="205" w:type="pct"/>
                  <w:noWrap/>
                  <w:vAlign w:val="center"/>
                </w:tcPr>
                <w:p>
                  <w:pPr>
                    <w:pStyle w:val="60"/>
                    <w:spacing w:before="24" w:after="24"/>
                  </w:pPr>
                  <w:r>
                    <w:rPr>
                      <w:rFonts w:hint="eastAsia"/>
                    </w:rPr>
                    <w:t>1</w:t>
                  </w:r>
                </w:p>
              </w:tc>
              <w:tc>
                <w:tcPr>
                  <w:tcW w:w="392" w:type="pct"/>
                  <w:vMerge w:val="continue"/>
                  <w:vAlign w:val="center"/>
                </w:tcPr>
                <w:p>
                  <w:pPr>
                    <w:pStyle w:val="60"/>
                    <w:spacing w:before="24" w:after="24"/>
                  </w:pPr>
                </w:p>
              </w:tc>
              <w:tc>
                <w:tcPr>
                  <w:tcW w:w="586" w:type="pct"/>
                  <w:vAlign w:val="center"/>
                </w:tcPr>
                <w:p>
                  <w:pPr>
                    <w:pStyle w:val="60"/>
                    <w:spacing w:before="24" w:after="24"/>
                  </w:pPr>
                  <w:r>
                    <w:rPr>
                      <w:rFonts w:hint="eastAsia"/>
                    </w:rPr>
                    <w:t>70</w:t>
                  </w:r>
                </w:p>
              </w:tc>
              <w:tc>
                <w:tcPr>
                  <w:tcW w:w="714" w:type="pct"/>
                  <w:noWrap/>
                </w:tcPr>
                <w:p>
                  <w:pPr>
                    <w:pStyle w:val="60"/>
                    <w:spacing w:before="24" w:after="24"/>
                  </w:pPr>
                  <w:r>
                    <w:rPr>
                      <w:rFonts w:hint="eastAsi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1" w:type="pct"/>
                  <w:vAlign w:val="center"/>
                </w:tcPr>
                <w:p>
                  <w:pPr>
                    <w:widowControl/>
                    <w:jc w:val="right"/>
                    <w:textAlignment w:val="center"/>
                  </w:pPr>
                  <w:r>
                    <w:rPr>
                      <w:rFonts w:hint="eastAsia" w:ascii="宋体" w:hAnsi="宋体" w:cs="宋体"/>
                      <w:kern w:val="0"/>
                      <w:sz w:val="24"/>
                      <w:lang w:bidi="ar"/>
                    </w:rPr>
                    <w:t>5</w:t>
                  </w:r>
                </w:p>
              </w:tc>
              <w:tc>
                <w:tcPr>
                  <w:tcW w:w="1156" w:type="pct"/>
                  <w:noWrap/>
                  <w:vAlign w:val="center"/>
                </w:tcPr>
                <w:p>
                  <w:pPr>
                    <w:widowControl/>
                    <w:jc w:val="center"/>
                    <w:rPr>
                      <w:kern w:val="0"/>
                      <w:szCs w:val="21"/>
                    </w:rPr>
                  </w:pPr>
                  <w:r>
                    <w:rPr>
                      <w:rFonts w:hint="eastAsia"/>
                      <w:kern w:val="0"/>
                      <w:szCs w:val="21"/>
                    </w:rPr>
                    <w:t>烘箱</w:t>
                  </w:r>
                </w:p>
              </w:tc>
              <w:tc>
                <w:tcPr>
                  <w:tcW w:w="391" w:type="pct"/>
                  <w:noWrap/>
                </w:tcPr>
                <w:p>
                  <w:pPr>
                    <w:widowControl/>
                    <w:jc w:val="center"/>
                    <w:rPr>
                      <w:kern w:val="0"/>
                      <w:szCs w:val="21"/>
                    </w:rPr>
                  </w:pPr>
                  <w:r>
                    <w:rPr>
                      <w:rFonts w:hint="eastAsia"/>
                      <w:kern w:val="0"/>
                      <w:szCs w:val="21"/>
                    </w:rPr>
                    <w:t>5</w:t>
                  </w:r>
                </w:p>
              </w:tc>
              <w:tc>
                <w:tcPr>
                  <w:tcW w:w="622" w:type="pct"/>
                  <w:noWrap/>
                  <w:vAlign w:val="center"/>
                </w:tcPr>
                <w:p>
                  <w:pPr>
                    <w:pStyle w:val="60"/>
                    <w:spacing w:before="24" w:after="24"/>
                  </w:pPr>
                  <w:r>
                    <w:rPr>
                      <w:rFonts w:hint="eastAsia"/>
                    </w:rPr>
                    <w:t>61</w:t>
                  </w:r>
                </w:p>
              </w:tc>
              <w:tc>
                <w:tcPr>
                  <w:tcW w:w="539" w:type="pct"/>
                  <w:noWrap/>
                  <w:vAlign w:val="center"/>
                </w:tcPr>
                <w:p>
                  <w:pPr>
                    <w:pStyle w:val="60"/>
                    <w:spacing w:before="24" w:after="24"/>
                  </w:pPr>
                  <w:r>
                    <w:rPr>
                      <w:rFonts w:hint="eastAsia"/>
                    </w:rPr>
                    <w:t>-20</w:t>
                  </w:r>
                </w:p>
              </w:tc>
              <w:tc>
                <w:tcPr>
                  <w:tcW w:w="205" w:type="pct"/>
                  <w:noWrap/>
                  <w:vAlign w:val="center"/>
                </w:tcPr>
                <w:p>
                  <w:pPr>
                    <w:pStyle w:val="60"/>
                    <w:spacing w:before="24" w:after="24"/>
                  </w:pPr>
                  <w:r>
                    <w:rPr>
                      <w:rFonts w:hint="eastAsia"/>
                    </w:rPr>
                    <w:t>1</w:t>
                  </w:r>
                </w:p>
              </w:tc>
              <w:tc>
                <w:tcPr>
                  <w:tcW w:w="392" w:type="pct"/>
                  <w:vMerge w:val="continue"/>
                </w:tcPr>
                <w:p>
                  <w:pPr>
                    <w:pStyle w:val="60"/>
                    <w:spacing w:before="24" w:after="24"/>
                  </w:pPr>
                </w:p>
              </w:tc>
              <w:tc>
                <w:tcPr>
                  <w:tcW w:w="586" w:type="pct"/>
                  <w:vAlign w:val="center"/>
                </w:tcPr>
                <w:p>
                  <w:pPr>
                    <w:pStyle w:val="60"/>
                    <w:spacing w:before="24" w:after="24"/>
                  </w:pPr>
                  <w:r>
                    <w:rPr>
                      <w:rFonts w:hint="eastAsia"/>
                    </w:rPr>
                    <w:t>70</w:t>
                  </w:r>
                </w:p>
              </w:tc>
              <w:tc>
                <w:tcPr>
                  <w:tcW w:w="714" w:type="pct"/>
                  <w:noWrap/>
                </w:tcPr>
                <w:p>
                  <w:pPr>
                    <w:pStyle w:val="60"/>
                    <w:spacing w:before="24" w:after="24"/>
                  </w:pPr>
                  <w:r>
                    <w:rPr>
                      <w:rFonts w:hint="eastAsi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1" w:type="pct"/>
                  <w:vAlign w:val="center"/>
                </w:tcPr>
                <w:p>
                  <w:pPr>
                    <w:widowControl/>
                    <w:jc w:val="right"/>
                    <w:textAlignment w:val="center"/>
                  </w:pPr>
                  <w:r>
                    <w:rPr>
                      <w:rFonts w:hint="eastAsia" w:ascii="宋体" w:hAnsi="宋体" w:cs="宋体"/>
                      <w:kern w:val="0"/>
                      <w:sz w:val="24"/>
                      <w:lang w:bidi="ar"/>
                    </w:rPr>
                    <w:t>6</w:t>
                  </w:r>
                </w:p>
              </w:tc>
              <w:tc>
                <w:tcPr>
                  <w:tcW w:w="1156" w:type="pct"/>
                  <w:noWrap/>
                  <w:vAlign w:val="center"/>
                </w:tcPr>
                <w:p>
                  <w:pPr>
                    <w:widowControl/>
                    <w:jc w:val="center"/>
                    <w:rPr>
                      <w:kern w:val="0"/>
                      <w:szCs w:val="21"/>
                    </w:rPr>
                  </w:pPr>
                  <w:r>
                    <w:rPr>
                      <w:rFonts w:hint="eastAsia"/>
                      <w:kern w:val="0"/>
                      <w:szCs w:val="21"/>
                    </w:rPr>
                    <w:t>空压机</w:t>
                  </w:r>
                </w:p>
              </w:tc>
              <w:tc>
                <w:tcPr>
                  <w:tcW w:w="391" w:type="pct"/>
                  <w:noWrap/>
                </w:tcPr>
                <w:p>
                  <w:pPr>
                    <w:widowControl/>
                    <w:jc w:val="center"/>
                    <w:rPr>
                      <w:kern w:val="0"/>
                      <w:szCs w:val="21"/>
                    </w:rPr>
                  </w:pPr>
                  <w:r>
                    <w:rPr>
                      <w:rFonts w:hint="eastAsia"/>
                      <w:kern w:val="0"/>
                      <w:szCs w:val="21"/>
                    </w:rPr>
                    <w:t>1</w:t>
                  </w:r>
                </w:p>
              </w:tc>
              <w:tc>
                <w:tcPr>
                  <w:tcW w:w="622" w:type="pct"/>
                  <w:noWrap/>
                  <w:vAlign w:val="center"/>
                </w:tcPr>
                <w:p>
                  <w:pPr>
                    <w:pStyle w:val="60"/>
                    <w:spacing w:before="24" w:after="24"/>
                  </w:pPr>
                  <w:r>
                    <w:rPr>
                      <w:rFonts w:hint="eastAsia"/>
                    </w:rPr>
                    <w:t>75</w:t>
                  </w:r>
                </w:p>
              </w:tc>
              <w:tc>
                <w:tcPr>
                  <w:tcW w:w="539" w:type="pct"/>
                  <w:noWrap/>
                  <w:vAlign w:val="center"/>
                </w:tcPr>
                <w:p>
                  <w:pPr>
                    <w:pStyle w:val="60"/>
                    <w:spacing w:before="24" w:after="24"/>
                  </w:pPr>
                  <w:r>
                    <w:rPr>
                      <w:rFonts w:hint="eastAsia"/>
                    </w:rPr>
                    <w:t>-43</w:t>
                  </w:r>
                </w:p>
              </w:tc>
              <w:tc>
                <w:tcPr>
                  <w:tcW w:w="205" w:type="pct"/>
                  <w:noWrap/>
                  <w:vAlign w:val="center"/>
                </w:tcPr>
                <w:p>
                  <w:pPr>
                    <w:pStyle w:val="60"/>
                    <w:spacing w:before="24" w:after="24"/>
                  </w:pPr>
                  <w:r>
                    <w:rPr>
                      <w:rFonts w:hint="eastAsia"/>
                    </w:rPr>
                    <w:t>1</w:t>
                  </w:r>
                </w:p>
              </w:tc>
              <w:tc>
                <w:tcPr>
                  <w:tcW w:w="392" w:type="pct"/>
                  <w:vMerge w:val="continue"/>
                </w:tcPr>
                <w:p>
                  <w:pPr>
                    <w:pStyle w:val="60"/>
                    <w:spacing w:before="24" w:after="24"/>
                  </w:pPr>
                </w:p>
              </w:tc>
              <w:tc>
                <w:tcPr>
                  <w:tcW w:w="586" w:type="pct"/>
                  <w:vAlign w:val="center"/>
                </w:tcPr>
                <w:p>
                  <w:pPr>
                    <w:pStyle w:val="60"/>
                    <w:spacing w:before="24" w:after="24"/>
                  </w:pPr>
                  <w:r>
                    <w:rPr>
                      <w:rFonts w:hint="eastAsia"/>
                    </w:rPr>
                    <w:t>90</w:t>
                  </w:r>
                </w:p>
              </w:tc>
              <w:tc>
                <w:tcPr>
                  <w:tcW w:w="714" w:type="pct"/>
                  <w:noWrap/>
                </w:tcPr>
                <w:p>
                  <w:pPr>
                    <w:pStyle w:val="60"/>
                    <w:spacing w:before="24" w:after="24"/>
                  </w:pPr>
                  <w:r>
                    <w:rPr>
                      <w:rFonts w:hint="eastAsia"/>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1" w:type="pct"/>
                  <w:vAlign w:val="center"/>
                </w:tcPr>
                <w:p>
                  <w:pPr>
                    <w:widowControl/>
                    <w:jc w:val="right"/>
                    <w:textAlignment w:val="center"/>
                  </w:pPr>
                  <w:r>
                    <w:rPr>
                      <w:rFonts w:hint="eastAsia" w:ascii="宋体" w:hAnsi="宋体" w:cs="宋体"/>
                      <w:kern w:val="0"/>
                      <w:sz w:val="24"/>
                      <w:lang w:bidi="ar"/>
                    </w:rPr>
                    <w:t>7</w:t>
                  </w:r>
                </w:p>
              </w:tc>
              <w:tc>
                <w:tcPr>
                  <w:tcW w:w="1156" w:type="pct"/>
                  <w:noWrap/>
                  <w:vAlign w:val="center"/>
                </w:tcPr>
                <w:p>
                  <w:pPr>
                    <w:widowControl/>
                    <w:jc w:val="center"/>
                    <w:rPr>
                      <w:kern w:val="0"/>
                      <w:szCs w:val="21"/>
                    </w:rPr>
                  </w:pPr>
                  <w:r>
                    <w:rPr>
                      <w:rFonts w:hint="eastAsia"/>
                      <w:kern w:val="0"/>
                      <w:szCs w:val="21"/>
                    </w:rPr>
                    <w:t>无捻粗纱机</w:t>
                  </w:r>
                </w:p>
              </w:tc>
              <w:tc>
                <w:tcPr>
                  <w:tcW w:w="391" w:type="pct"/>
                  <w:noWrap/>
                </w:tcPr>
                <w:p>
                  <w:pPr>
                    <w:widowControl/>
                    <w:jc w:val="center"/>
                    <w:rPr>
                      <w:kern w:val="0"/>
                      <w:szCs w:val="21"/>
                    </w:rPr>
                  </w:pPr>
                  <w:r>
                    <w:rPr>
                      <w:kern w:val="0"/>
                      <w:szCs w:val="21"/>
                    </w:rPr>
                    <w:t>20</w:t>
                  </w:r>
                </w:p>
              </w:tc>
              <w:tc>
                <w:tcPr>
                  <w:tcW w:w="622" w:type="pct"/>
                  <w:noWrap/>
                  <w:vAlign w:val="center"/>
                </w:tcPr>
                <w:p>
                  <w:pPr>
                    <w:pStyle w:val="60"/>
                    <w:spacing w:before="24" w:after="24"/>
                  </w:pPr>
                  <w:r>
                    <w:rPr>
                      <w:rFonts w:hint="eastAsia"/>
                    </w:rPr>
                    <w:t>-68</w:t>
                  </w:r>
                </w:p>
              </w:tc>
              <w:tc>
                <w:tcPr>
                  <w:tcW w:w="539" w:type="pct"/>
                  <w:noWrap/>
                  <w:vAlign w:val="center"/>
                </w:tcPr>
                <w:p>
                  <w:pPr>
                    <w:pStyle w:val="60"/>
                    <w:spacing w:before="24" w:after="24"/>
                  </w:pPr>
                  <w:r>
                    <w:rPr>
                      <w:rFonts w:hint="eastAsia"/>
                    </w:rPr>
                    <w:t>74</w:t>
                  </w:r>
                </w:p>
              </w:tc>
              <w:tc>
                <w:tcPr>
                  <w:tcW w:w="205" w:type="pct"/>
                  <w:noWrap/>
                  <w:vAlign w:val="center"/>
                </w:tcPr>
                <w:p>
                  <w:pPr>
                    <w:pStyle w:val="60"/>
                    <w:spacing w:before="24" w:after="24"/>
                  </w:pPr>
                  <w:r>
                    <w:rPr>
                      <w:rFonts w:hint="eastAsia"/>
                    </w:rPr>
                    <w:t>1</w:t>
                  </w:r>
                </w:p>
              </w:tc>
              <w:tc>
                <w:tcPr>
                  <w:tcW w:w="392" w:type="pct"/>
                  <w:vMerge w:val="continue"/>
                </w:tcPr>
                <w:p>
                  <w:pPr>
                    <w:pStyle w:val="60"/>
                    <w:spacing w:before="24" w:after="24"/>
                  </w:pPr>
                </w:p>
              </w:tc>
              <w:tc>
                <w:tcPr>
                  <w:tcW w:w="586" w:type="pct"/>
                  <w:vAlign w:val="center"/>
                </w:tcPr>
                <w:p>
                  <w:pPr>
                    <w:pStyle w:val="60"/>
                    <w:spacing w:before="24" w:after="24"/>
                  </w:pPr>
                  <w:r>
                    <w:rPr>
                      <w:rFonts w:hint="eastAsia"/>
                    </w:rPr>
                    <w:t>70</w:t>
                  </w:r>
                </w:p>
              </w:tc>
              <w:tc>
                <w:tcPr>
                  <w:tcW w:w="714" w:type="pct"/>
                  <w:noWrap/>
                </w:tcPr>
                <w:p>
                  <w:pPr>
                    <w:jc w:val="center"/>
                  </w:pPr>
                  <w:r>
                    <w:rPr>
                      <w:rFonts w:hint="eastAsi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1" w:type="pct"/>
                  <w:vAlign w:val="center"/>
                </w:tcPr>
                <w:p>
                  <w:pPr>
                    <w:widowControl/>
                    <w:jc w:val="right"/>
                    <w:textAlignment w:val="center"/>
                  </w:pPr>
                  <w:r>
                    <w:rPr>
                      <w:rFonts w:hint="eastAsia" w:ascii="宋体" w:hAnsi="宋体" w:cs="宋体"/>
                      <w:kern w:val="0"/>
                      <w:sz w:val="24"/>
                      <w:lang w:bidi="ar"/>
                    </w:rPr>
                    <w:t>8</w:t>
                  </w:r>
                </w:p>
              </w:tc>
              <w:tc>
                <w:tcPr>
                  <w:tcW w:w="1156" w:type="pct"/>
                  <w:noWrap/>
                  <w:vAlign w:val="center"/>
                </w:tcPr>
                <w:p>
                  <w:pPr>
                    <w:widowControl/>
                    <w:jc w:val="center"/>
                    <w:rPr>
                      <w:kern w:val="0"/>
                      <w:szCs w:val="21"/>
                    </w:rPr>
                  </w:pPr>
                  <w:r>
                    <w:rPr>
                      <w:rFonts w:hint="eastAsia"/>
                      <w:kern w:val="0"/>
                      <w:szCs w:val="21"/>
                    </w:rPr>
                    <w:t>络纱机</w:t>
                  </w:r>
                </w:p>
              </w:tc>
              <w:tc>
                <w:tcPr>
                  <w:tcW w:w="391" w:type="pct"/>
                  <w:noWrap/>
                </w:tcPr>
                <w:p>
                  <w:pPr>
                    <w:widowControl/>
                    <w:jc w:val="center"/>
                    <w:rPr>
                      <w:kern w:val="0"/>
                      <w:szCs w:val="21"/>
                    </w:rPr>
                  </w:pPr>
                  <w:r>
                    <w:rPr>
                      <w:rFonts w:hint="eastAsia"/>
                      <w:kern w:val="0"/>
                      <w:szCs w:val="21"/>
                    </w:rPr>
                    <w:t>2</w:t>
                  </w:r>
                  <w:r>
                    <w:rPr>
                      <w:kern w:val="0"/>
                      <w:szCs w:val="21"/>
                    </w:rPr>
                    <w:t>0</w:t>
                  </w:r>
                </w:p>
              </w:tc>
              <w:tc>
                <w:tcPr>
                  <w:tcW w:w="622" w:type="pct"/>
                  <w:noWrap/>
                  <w:vAlign w:val="center"/>
                </w:tcPr>
                <w:p>
                  <w:pPr>
                    <w:pStyle w:val="60"/>
                    <w:spacing w:before="24" w:after="24"/>
                  </w:pPr>
                  <w:r>
                    <w:rPr>
                      <w:rFonts w:hint="eastAsia"/>
                    </w:rPr>
                    <w:t>-62</w:t>
                  </w:r>
                </w:p>
              </w:tc>
              <w:tc>
                <w:tcPr>
                  <w:tcW w:w="539" w:type="pct"/>
                  <w:noWrap/>
                  <w:vAlign w:val="center"/>
                </w:tcPr>
                <w:p>
                  <w:pPr>
                    <w:pStyle w:val="60"/>
                    <w:spacing w:before="24" w:after="24"/>
                  </w:pPr>
                  <w:r>
                    <w:rPr>
                      <w:rFonts w:hint="eastAsia"/>
                    </w:rPr>
                    <w:t>44</w:t>
                  </w:r>
                </w:p>
              </w:tc>
              <w:tc>
                <w:tcPr>
                  <w:tcW w:w="205" w:type="pct"/>
                  <w:noWrap/>
                  <w:vAlign w:val="center"/>
                </w:tcPr>
                <w:p>
                  <w:pPr>
                    <w:pStyle w:val="60"/>
                    <w:spacing w:before="24" w:after="24"/>
                  </w:pPr>
                  <w:r>
                    <w:rPr>
                      <w:rFonts w:hint="eastAsia"/>
                    </w:rPr>
                    <w:t>1</w:t>
                  </w:r>
                </w:p>
              </w:tc>
              <w:tc>
                <w:tcPr>
                  <w:tcW w:w="392" w:type="pct"/>
                  <w:vMerge w:val="continue"/>
                </w:tcPr>
                <w:p>
                  <w:pPr>
                    <w:pStyle w:val="60"/>
                    <w:spacing w:before="24" w:after="24"/>
                  </w:pPr>
                </w:p>
              </w:tc>
              <w:tc>
                <w:tcPr>
                  <w:tcW w:w="586" w:type="pct"/>
                  <w:vAlign w:val="center"/>
                </w:tcPr>
                <w:p>
                  <w:pPr>
                    <w:pStyle w:val="60"/>
                    <w:spacing w:before="24" w:after="24"/>
                  </w:pPr>
                  <w:r>
                    <w:rPr>
                      <w:rFonts w:hint="eastAsia"/>
                    </w:rPr>
                    <w:t>70</w:t>
                  </w:r>
                </w:p>
              </w:tc>
              <w:tc>
                <w:tcPr>
                  <w:tcW w:w="714" w:type="pct"/>
                  <w:noWrap/>
                </w:tcPr>
                <w:p>
                  <w:pPr>
                    <w:jc w:val="center"/>
                  </w:pPr>
                  <w:r>
                    <w:rPr>
                      <w:rFonts w:hint="eastAsi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1" w:type="pct"/>
                  <w:vAlign w:val="center"/>
                </w:tcPr>
                <w:p>
                  <w:pPr>
                    <w:widowControl/>
                    <w:jc w:val="right"/>
                    <w:textAlignment w:val="center"/>
                  </w:pPr>
                  <w:r>
                    <w:rPr>
                      <w:rFonts w:hint="eastAsia" w:ascii="宋体" w:hAnsi="宋体" w:cs="宋体"/>
                      <w:kern w:val="0"/>
                      <w:sz w:val="24"/>
                      <w:lang w:bidi="ar"/>
                    </w:rPr>
                    <w:t>9</w:t>
                  </w:r>
                </w:p>
              </w:tc>
              <w:tc>
                <w:tcPr>
                  <w:tcW w:w="1156" w:type="pct"/>
                  <w:noWrap/>
                  <w:vAlign w:val="center"/>
                </w:tcPr>
                <w:p>
                  <w:pPr>
                    <w:widowControl/>
                    <w:jc w:val="center"/>
                    <w:rPr>
                      <w:kern w:val="0"/>
                      <w:szCs w:val="21"/>
                    </w:rPr>
                  </w:pPr>
                  <w:r>
                    <w:rPr>
                      <w:rFonts w:hint="eastAsia"/>
                      <w:kern w:val="0"/>
                      <w:szCs w:val="21"/>
                    </w:rPr>
                    <w:t>成型机</w:t>
                  </w:r>
                </w:p>
              </w:tc>
              <w:tc>
                <w:tcPr>
                  <w:tcW w:w="391" w:type="pct"/>
                  <w:noWrap/>
                </w:tcPr>
                <w:p>
                  <w:pPr>
                    <w:widowControl/>
                    <w:jc w:val="center"/>
                    <w:rPr>
                      <w:kern w:val="0"/>
                      <w:szCs w:val="21"/>
                    </w:rPr>
                  </w:pPr>
                  <w:r>
                    <w:rPr>
                      <w:rFonts w:hint="eastAsia"/>
                      <w:kern w:val="0"/>
                      <w:szCs w:val="21"/>
                    </w:rPr>
                    <w:t>2</w:t>
                  </w:r>
                </w:p>
              </w:tc>
              <w:tc>
                <w:tcPr>
                  <w:tcW w:w="622" w:type="pct"/>
                  <w:noWrap/>
                  <w:vAlign w:val="center"/>
                </w:tcPr>
                <w:p>
                  <w:pPr>
                    <w:pStyle w:val="60"/>
                    <w:spacing w:before="24" w:after="24"/>
                  </w:pPr>
                  <w:r>
                    <w:rPr>
                      <w:rFonts w:hint="eastAsia"/>
                    </w:rPr>
                    <w:t>32</w:t>
                  </w:r>
                </w:p>
              </w:tc>
              <w:tc>
                <w:tcPr>
                  <w:tcW w:w="539" w:type="pct"/>
                  <w:noWrap/>
                  <w:vAlign w:val="center"/>
                </w:tcPr>
                <w:p>
                  <w:pPr>
                    <w:pStyle w:val="60"/>
                    <w:spacing w:before="24" w:after="24"/>
                  </w:pPr>
                  <w:r>
                    <w:rPr>
                      <w:rFonts w:hint="eastAsia"/>
                    </w:rPr>
                    <w:t>23</w:t>
                  </w:r>
                </w:p>
              </w:tc>
              <w:tc>
                <w:tcPr>
                  <w:tcW w:w="205" w:type="pct"/>
                  <w:noWrap/>
                  <w:vAlign w:val="center"/>
                </w:tcPr>
                <w:p>
                  <w:pPr>
                    <w:pStyle w:val="60"/>
                    <w:spacing w:before="24" w:after="24"/>
                  </w:pPr>
                  <w:r>
                    <w:rPr>
                      <w:rFonts w:hint="eastAsia"/>
                    </w:rPr>
                    <w:t>1</w:t>
                  </w:r>
                </w:p>
              </w:tc>
              <w:tc>
                <w:tcPr>
                  <w:tcW w:w="392" w:type="pct"/>
                  <w:vMerge w:val="continue"/>
                  <w:vAlign w:val="center"/>
                </w:tcPr>
                <w:p>
                  <w:pPr>
                    <w:pStyle w:val="60"/>
                    <w:spacing w:before="24" w:after="24"/>
                  </w:pPr>
                </w:p>
              </w:tc>
              <w:tc>
                <w:tcPr>
                  <w:tcW w:w="586" w:type="pct"/>
                  <w:vAlign w:val="center"/>
                </w:tcPr>
                <w:p>
                  <w:pPr>
                    <w:pStyle w:val="60"/>
                    <w:spacing w:before="24" w:after="24"/>
                  </w:pPr>
                  <w:r>
                    <w:rPr>
                      <w:rFonts w:hint="eastAsia"/>
                    </w:rPr>
                    <w:t>70</w:t>
                  </w:r>
                </w:p>
              </w:tc>
              <w:tc>
                <w:tcPr>
                  <w:tcW w:w="714" w:type="pct"/>
                  <w:noWrap/>
                </w:tcPr>
                <w:p>
                  <w:pPr>
                    <w:jc w:val="center"/>
                  </w:pPr>
                  <w:r>
                    <w:rPr>
                      <w:rFonts w:hint="eastAsi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1" w:type="pct"/>
                  <w:vAlign w:val="center"/>
                </w:tcPr>
                <w:p>
                  <w:pPr>
                    <w:widowControl/>
                    <w:jc w:val="right"/>
                    <w:textAlignment w:val="center"/>
                  </w:pPr>
                  <w:r>
                    <w:rPr>
                      <w:rFonts w:hint="eastAsia" w:ascii="宋体" w:hAnsi="宋体" w:cs="宋体"/>
                      <w:kern w:val="0"/>
                      <w:sz w:val="24"/>
                      <w:lang w:bidi="ar"/>
                    </w:rPr>
                    <w:t>10</w:t>
                  </w:r>
                </w:p>
              </w:tc>
              <w:tc>
                <w:tcPr>
                  <w:tcW w:w="1156" w:type="pct"/>
                  <w:noWrap/>
                  <w:vAlign w:val="center"/>
                </w:tcPr>
                <w:p>
                  <w:pPr>
                    <w:widowControl/>
                    <w:jc w:val="center"/>
                    <w:rPr>
                      <w:kern w:val="0"/>
                      <w:szCs w:val="21"/>
                    </w:rPr>
                  </w:pPr>
                  <w:r>
                    <w:rPr>
                      <w:rFonts w:hint="eastAsia"/>
                      <w:kern w:val="0"/>
                      <w:szCs w:val="21"/>
                    </w:rPr>
                    <w:t>固化机</w:t>
                  </w:r>
                </w:p>
              </w:tc>
              <w:tc>
                <w:tcPr>
                  <w:tcW w:w="391" w:type="pct"/>
                  <w:noWrap/>
                </w:tcPr>
                <w:p>
                  <w:pPr>
                    <w:widowControl/>
                    <w:jc w:val="center"/>
                    <w:rPr>
                      <w:kern w:val="0"/>
                      <w:szCs w:val="21"/>
                    </w:rPr>
                  </w:pPr>
                  <w:r>
                    <w:rPr>
                      <w:rFonts w:hint="eastAsia"/>
                      <w:kern w:val="0"/>
                      <w:szCs w:val="21"/>
                    </w:rPr>
                    <w:t>2</w:t>
                  </w:r>
                </w:p>
              </w:tc>
              <w:tc>
                <w:tcPr>
                  <w:tcW w:w="622" w:type="pct"/>
                  <w:noWrap/>
                  <w:vAlign w:val="center"/>
                </w:tcPr>
                <w:p>
                  <w:pPr>
                    <w:pStyle w:val="60"/>
                    <w:spacing w:before="24" w:after="24"/>
                  </w:pPr>
                  <w:r>
                    <w:rPr>
                      <w:rFonts w:hint="eastAsia"/>
                    </w:rPr>
                    <w:t>67</w:t>
                  </w:r>
                </w:p>
              </w:tc>
              <w:tc>
                <w:tcPr>
                  <w:tcW w:w="539" w:type="pct"/>
                  <w:noWrap/>
                  <w:vAlign w:val="center"/>
                </w:tcPr>
                <w:p>
                  <w:pPr>
                    <w:pStyle w:val="60"/>
                    <w:spacing w:before="24" w:after="24"/>
                  </w:pPr>
                  <w:r>
                    <w:rPr>
                      <w:rFonts w:hint="eastAsia"/>
                    </w:rPr>
                    <w:t>21</w:t>
                  </w:r>
                </w:p>
              </w:tc>
              <w:tc>
                <w:tcPr>
                  <w:tcW w:w="205" w:type="pct"/>
                  <w:noWrap/>
                  <w:vAlign w:val="center"/>
                </w:tcPr>
                <w:p>
                  <w:pPr>
                    <w:pStyle w:val="60"/>
                    <w:spacing w:before="24" w:after="24"/>
                  </w:pPr>
                  <w:r>
                    <w:rPr>
                      <w:rFonts w:hint="eastAsia"/>
                    </w:rPr>
                    <w:t>1</w:t>
                  </w:r>
                </w:p>
              </w:tc>
              <w:tc>
                <w:tcPr>
                  <w:tcW w:w="392" w:type="pct"/>
                  <w:vMerge w:val="continue"/>
                  <w:vAlign w:val="center"/>
                </w:tcPr>
                <w:p>
                  <w:pPr>
                    <w:pStyle w:val="60"/>
                    <w:spacing w:before="24" w:after="24"/>
                  </w:pPr>
                </w:p>
              </w:tc>
              <w:tc>
                <w:tcPr>
                  <w:tcW w:w="586" w:type="pct"/>
                  <w:vAlign w:val="center"/>
                </w:tcPr>
                <w:p>
                  <w:pPr>
                    <w:pStyle w:val="60"/>
                    <w:spacing w:before="24" w:after="24"/>
                  </w:pPr>
                  <w:r>
                    <w:rPr>
                      <w:rFonts w:hint="eastAsia"/>
                    </w:rPr>
                    <w:t>70</w:t>
                  </w:r>
                </w:p>
              </w:tc>
              <w:tc>
                <w:tcPr>
                  <w:tcW w:w="714" w:type="pct"/>
                  <w:noWrap/>
                </w:tcPr>
                <w:p>
                  <w:pPr>
                    <w:jc w:val="center"/>
                  </w:pPr>
                  <w:r>
                    <w:rPr>
                      <w:rFonts w:hint="eastAsi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1" w:type="pct"/>
                  <w:vAlign w:val="center"/>
                </w:tcPr>
                <w:p>
                  <w:pPr>
                    <w:widowControl/>
                    <w:jc w:val="right"/>
                    <w:textAlignment w:val="center"/>
                  </w:pPr>
                  <w:r>
                    <w:rPr>
                      <w:rFonts w:hint="eastAsia" w:ascii="宋体" w:hAnsi="宋体" w:cs="宋体"/>
                      <w:kern w:val="0"/>
                      <w:sz w:val="24"/>
                      <w:lang w:bidi="ar"/>
                    </w:rPr>
                    <w:t>11</w:t>
                  </w:r>
                </w:p>
              </w:tc>
              <w:tc>
                <w:tcPr>
                  <w:tcW w:w="1156" w:type="pct"/>
                  <w:noWrap/>
                  <w:vAlign w:val="center"/>
                </w:tcPr>
                <w:p>
                  <w:pPr>
                    <w:widowControl/>
                    <w:jc w:val="center"/>
                    <w:rPr>
                      <w:kern w:val="0"/>
                      <w:szCs w:val="21"/>
                    </w:rPr>
                  </w:pPr>
                  <w:r>
                    <w:rPr>
                      <w:rFonts w:hint="eastAsia"/>
                      <w:kern w:val="0"/>
                      <w:szCs w:val="21"/>
                    </w:rPr>
                    <w:t>短切机</w:t>
                  </w:r>
                </w:p>
              </w:tc>
              <w:tc>
                <w:tcPr>
                  <w:tcW w:w="391" w:type="pct"/>
                  <w:noWrap/>
                  <w:vAlign w:val="center"/>
                </w:tcPr>
                <w:p>
                  <w:pPr>
                    <w:widowControl/>
                    <w:jc w:val="center"/>
                    <w:rPr>
                      <w:kern w:val="0"/>
                      <w:szCs w:val="21"/>
                    </w:rPr>
                  </w:pPr>
                  <w:r>
                    <w:rPr>
                      <w:rFonts w:hint="eastAsia" w:hAnsi="宋体"/>
                      <w:szCs w:val="21"/>
                    </w:rPr>
                    <w:t>4</w:t>
                  </w:r>
                  <w:r>
                    <w:rPr>
                      <w:rFonts w:hAnsi="宋体"/>
                      <w:szCs w:val="21"/>
                    </w:rPr>
                    <w:t>0</w:t>
                  </w:r>
                </w:p>
              </w:tc>
              <w:tc>
                <w:tcPr>
                  <w:tcW w:w="622" w:type="pct"/>
                  <w:noWrap/>
                  <w:vAlign w:val="center"/>
                </w:tcPr>
                <w:p>
                  <w:pPr>
                    <w:pStyle w:val="60"/>
                    <w:spacing w:before="24" w:after="24"/>
                  </w:pPr>
                  <w:r>
                    <w:rPr>
                      <w:rFonts w:hint="eastAsia"/>
                    </w:rPr>
                    <w:t>-53</w:t>
                  </w:r>
                </w:p>
              </w:tc>
              <w:tc>
                <w:tcPr>
                  <w:tcW w:w="539" w:type="pct"/>
                  <w:noWrap/>
                  <w:vAlign w:val="center"/>
                </w:tcPr>
                <w:p>
                  <w:pPr>
                    <w:pStyle w:val="60"/>
                    <w:spacing w:before="24" w:after="24"/>
                  </w:pPr>
                  <w:r>
                    <w:rPr>
                      <w:rFonts w:hint="eastAsia"/>
                    </w:rPr>
                    <w:t>-66</w:t>
                  </w:r>
                </w:p>
              </w:tc>
              <w:tc>
                <w:tcPr>
                  <w:tcW w:w="205" w:type="pct"/>
                  <w:noWrap/>
                  <w:vAlign w:val="center"/>
                </w:tcPr>
                <w:p>
                  <w:pPr>
                    <w:pStyle w:val="60"/>
                    <w:spacing w:before="24" w:after="24"/>
                  </w:pPr>
                  <w:r>
                    <w:rPr>
                      <w:rFonts w:hint="eastAsia"/>
                    </w:rPr>
                    <w:t>1</w:t>
                  </w:r>
                </w:p>
              </w:tc>
              <w:tc>
                <w:tcPr>
                  <w:tcW w:w="392" w:type="pct"/>
                  <w:vMerge w:val="continue"/>
                  <w:vAlign w:val="center"/>
                </w:tcPr>
                <w:p>
                  <w:pPr>
                    <w:pStyle w:val="60"/>
                    <w:spacing w:before="24" w:after="24"/>
                  </w:pPr>
                </w:p>
              </w:tc>
              <w:tc>
                <w:tcPr>
                  <w:tcW w:w="586" w:type="pct"/>
                  <w:vAlign w:val="center"/>
                </w:tcPr>
                <w:p>
                  <w:pPr>
                    <w:pStyle w:val="60"/>
                    <w:spacing w:before="24" w:after="24"/>
                  </w:pPr>
                  <w:r>
                    <w:rPr>
                      <w:rFonts w:hint="eastAsia"/>
                    </w:rPr>
                    <w:t>70</w:t>
                  </w:r>
                </w:p>
              </w:tc>
              <w:tc>
                <w:tcPr>
                  <w:tcW w:w="714" w:type="pct"/>
                  <w:noWrap/>
                </w:tcPr>
                <w:p>
                  <w:pPr>
                    <w:jc w:val="center"/>
                  </w:pPr>
                  <w:r>
                    <w:rPr>
                      <w:rFonts w:hint="eastAsia"/>
                    </w:rPr>
                    <w:t>55</w:t>
                  </w:r>
                </w:p>
              </w:tc>
            </w:tr>
          </w:tbl>
          <w:p>
            <w:pPr>
              <w:ind w:firstLine="480"/>
            </w:pPr>
            <w:r>
              <w:t>注：坐标系以厂区中心点为坐标原点（0，0），为计算最大影响，预测工况均按连续运行考虑。</w:t>
            </w:r>
          </w:p>
          <w:p>
            <w:pPr>
              <w:pStyle w:val="109"/>
              <w:snapToGrid/>
              <w:ind w:firstLine="0"/>
              <w:jc w:val="center"/>
              <w:rPr>
                <w:rFonts w:cs="宋体"/>
                <w:szCs w:val="21"/>
              </w:rPr>
            </w:pPr>
          </w:p>
          <w:p>
            <w:pPr>
              <w:pStyle w:val="109"/>
              <w:snapToGrid/>
              <w:ind w:firstLine="0"/>
              <w:jc w:val="center"/>
              <w:rPr>
                <w:rFonts w:cs="宋体"/>
                <w:szCs w:val="21"/>
              </w:rPr>
            </w:pPr>
          </w:p>
          <w:p>
            <w:pPr>
              <w:pStyle w:val="109"/>
              <w:snapToGrid/>
              <w:ind w:firstLine="0"/>
              <w:jc w:val="center"/>
              <w:rPr>
                <w:rFonts w:cs="宋体"/>
                <w:szCs w:val="21"/>
              </w:rPr>
            </w:pPr>
          </w:p>
          <w:p>
            <w:pPr>
              <w:pStyle w:val="109"/>
              <w:snapToGrid/>
              <w:ind w:firstLine="0"/>
              <w:jc w:val="center"/>
              <w:rPr>
                <w:rFonts w:cs="宋体"/>
                <w:szCs w:val="21"/>
              </w:rPr>
            </w:pPr>
            <w:r>
              <w:rPr>
                <w:rFonts w:hint="eastAsia" w:cs="宋体"/>
                <w:szCs w:val="21"/>
              </w:rPr>
              <w:t>表4-4  主要</w:t>
            </w:r>
            <w:r>
              <w:t>室</w:t>
            </w:r>
            <w:r>
              <w:rPr>
                <w:rFonts w:hint="eastAsia"/>
              </w:rPr>
              <w:t>外</w:t>
            </w:r>
            <w:r>
              <w:rPr>
                <w:rFonts w:hint="eastAsia" w:cs="宋体"/>
                <w:szCs w:val="21"/>
              </w:rPr>
              <w:t>噪声源统计表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1871"/>
              <w:gridCol w:w="636"/>
              <w:gridCol w:w="1004"/>
              <w:gridCol w:w="869"/>
              <w:gridCol w:w="322"/>
              <w:gridCol w:w="802"/>
              <w:gridCol w:w="922"/>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95" w:type="pct"/>
                  <w:vMerge w:val="restart"/>
                  <w:tcBorders>
                    <w:top w:val="single" w:color="auto" w:sz="4" w:space="0"/>
                  </w:tcBorders>
                  <w:vAlign w:val="center"/>
                </w:tcPr>
                <w:p>
                  <w:pPr>
                    <w:pStyle w:val="60"/>
                    <w:spacing w:before="24" w:after="24"/>
                  </w:pPr>
                  <w:r>
                    <w:rPr>
                      <w:rFonts w:hint="eastAsia"/>
                    </w:rPr>
                    <w:t>序号</w:t>
                  </w:r>
                </w:p>
              </w:tc>
              <w:tc>
                <w:tcPr>
                  <w:tcW w:w="1156" w:type="pct"/>
                  <w:vMerge w:val="restart"/>
                  <w:tcBorders>
                    <w:top w:val="single" w:color="auto" w:sz="4" w:space="0"/>
                  </w:tcBorders>
                  <w:noWrap/>
                  <w:vAlign w:val="center"/>
                </w:tcPr>
                <w:p>
                  <w:pPr>
                    <w:pStyle w:val="60"/>
                    <w:spacing w:before="24" w:after="24"/>
                  </w:pPr>
                  <w:r>
                    <w:rPr>
                      <w:rFonts w:hint="eastAsia"/>
                    </w:rPr>
                    <w:t>声源名称</w:t>
                  </w:r>
                </w:p>
              </w:tc>
              <w:tc>
                <w:tcPr>
                  <w:tcW w:w="391" w:type="pct"/>
                  <w:vMerge w:val="restart"/>
                  <w:tcBorders>
                    <w:top w:val="single" w:color="auto" w:sz="4" w:space="0"/>
                  </w:tcBorders>
                  <w:noWrap/>
                  <w:vAlign w:val="center"/>
                </w:tcPr>
                <w:p>
                  <w:pPr>
                    <w:pStyle w:val="60"/>
                    <w:spacing w:before="24" w:after="24"/>
                  </w:pPr>
                  <w:r>
                    <w:rPr>
                      <w:rFonts w:hint="eastAsia"/>
                    </w:rPr>
                    <w:t>数量</w:t>
                  </w:r>
                </w:p>
              </w:tc>
              <w:tc>
                <w:tcPr>
                  <w:tcW w:w="1362" w:type="pct"/>
                  <w:gridSpan w:val="3"/>
                  <w:tcBorders>
                    <w:top w:val="single" w:color="auto" w:sz="4" w:space="0"/>
                  </w:tcBorders>
                  <w:noWrap/>
                  <w:vAlign w:val="center"/>
                </w:tcPr>
                <w:p>
                  <w:pPr>
                    <w:pStyle w:val="60"/>
                    <w:spacing w:before="24" w:after="24"/>
                  </w:pPr>
                  <w:r>
                    <w:rPr>
                      <w:rFonts w:hint="eastAsia"/>
                    </w:rPr>
                    <w:t>空间相对位置</w:t>
                  </w:r>
                </w:p>
              </w:tc>
              <w:tc>
                <w:tcPr>
                  <w:tcW w:w="499" w:type="pct"/>
                  <w:vMerge w:val="restart"/>
                  <w:tcBorders>
                    <w:top w:val="single" w:color="auto" w:sz="4" w:space="0"/>
                  </w:tcBorders>
                  <w:vAlign w:val="center"/>
                </w:tcPr>
                <w:p>
                  <w:pPr>
                    <w:pStyle w:val="60"/>
                    <w:spacing w:before="24" w:after="24"/>
                  </w:pPr>
                  <w:r>
                    <w:rPr>
                      <w:rFonts w:hint="eastAsia"/>
                    </w:rPr>
                    <w:t>声源控制措施</w:t>
                  </w:r>
                </w:p>
              </w:tc>
              <w:tc>
                <w:tcPr>
                  <w:tcW w:w="572" w:type="pct"/>
                  <w:vMerge w:val="restart"/>
                  <w:tcBorders>
                    <w:top w:val="single" w:color="auto" w:sz="4" w:space="0"/>
                  </w:tcBorders>
                  <w:vAlign w:val="center"/>
                </w:tcPr>
                <w:p>
                  <w:pPr>
                    <w:pStyle w:val="60"/>
                    <w:spacing w:before="24" w:after="24"/>
                  </w:pPr>
                  <w:r>
                    <w:rPr>
                      <w:rFonts w:hint="eastAsia"/>
                    </w:rPr>
                    <w:t>措施后</w:t>
                  </w:r>
                </w:p>
                <w:p>
                  <w:pPr>
                    <w:pStyle w:val="60"/>
                    <w:spacing w:before="24" w:after="24"/>
                  </w:pPr>
                  <w:r>
                    <w:rPr>
                      <w:rFonts w:hint="eastAsia"/>
                    </w:rPr>
                    <w:t>声级dB（A)</w:t>
                  </w:r>
                </w:p>
              </w:tc>
              <w:tc>
                <w:tcPr>
                  <w:tcW w:w="622" w:type="pct"/>
                  <w:vMerge w:val="restart"/>
                  <w:tcBorders>
                    <w:top w:val="single" w:color="auto" w:sz="4" w:space="0"/>
                  </w:tcBorders>
                  <w:noWrap/>
                  <w:vAlign w:val="center"/>
                </w:tcPr>
                <w:p>
                  <w:pPr>
                    <w:pStyle w:val="60"/>
                    <w:spacing w:before="24" w:after="24"/>
                  </w:pPr>
                  <w:r>
                    <w:rPr>
                      <w:rFonts w:hint="eastAsia"/>
                    </w:rPr>
                    <w:t>运行时段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5" w:type="pct"/>
                  <w:vMerge w:val="continue"/>
                  <w:vAlign w:val="center"/>
                </w:tcPr>
                <w:p>
                  <w:pPr>
                    <w:pStyle w:val="60"/>
                    <w:spacing w:before="24" w:after="24"/>
                  </w:pPr>
                </w:p>
              </w:tc>
              <w:tc>
                <w:tcPr>
                  <w:tcW w:w="1156" w:type="pct"/>
                  <w:vMerge w:val="continue"/>
                  <w:noWrap/>
                  <w:vAlign w:val="center"/>
                </w:tcPr>
                <w:p>
                  <w:pPr>
                    <w:pStyle w:val="60"/>
                    <w:spacing w:before="24" w:after="24"/>
                  </w:pPr>
                </w:p>
              </w:tc>
              <w:tc>
                <w:tcPr>
                  <w:tcW w:w="391" w:type="pct"/>
                  <w:vMerge w:val="continue"/>
                  <w:noWrap/>
                  <w:vAlign w:val="center"/>
                </w:tcPr>
                <w:p>
                  <w:pPr>
                    <w:pStyle w:val="60"/>
                    <w:spacing w:before="24" w:after="24"/>
                  </w:pPr>
                </w:p>
              </w:tc>
              <w:tc>
                <w:tcPr>
                  <w:tcW w:w="622" w:type="pct"/>
                  <w:tcBorders>
                    <w:top w:val="single" w:color="auto" w:sz="4" w:space="0"/>
                  </w:tcBorders>
                  <w:noWrap/>
                  <w:vAlign w:val="center"/>
                </w:tcPr>
                <w:p>
                  <w:pPr>
                    <w:pStyle w:val="60"/>
                    <w:spacing w:before="24" w:after="24"/>
                    <w:rPr>
                      <w:b/>
                      <w:bCs/>
                    </w:rPr>
                  </w:pPr>
                  <w:r>
                    <w:rPr>
                      <w:b/>
                      <w:bCs/>
                    </w:rPr>
                    <w:t>X</w:t>
                  </w:r>
                </w:p>
              </w:tc>
              <w:tc>
                <w:tcPr>
                  <w:tcW w:w="539" w:type="pct"/>
                  <w:tcBorders>
                    <w:top w:val="single" w:color="auto" w:sz="4" w:space="0"/>
                  </w:tcBorders>
                  <w:noWrap/>
                  <w:vAlign w:val="center"/>
                </w:tcPr>
                <w:p>
                  <w:pPr>
                    <w:pStyle w:val="60"/>
                    <w:spacing w:before="24" w:after="24"/>
                    <w:rPr>
                      <w:b/>
                      <w:bCs/>
                    </w:rPr>
                  </w:pPr>
                  <w:r>
                    <w:rPr>
                      <w:b/>
                      <w:bCs/>
                    </w:rPr>
                    <w:t>Y</w:t>
                  </w:r>
                </w:p>
              </w:tc>
              <w:tc>
                <w:tcPr>
                  <w:tcW w:w="200" w:type="pct"/>
                  <w:tcBorders>
                    <w:top w:val="single" w:color="auto" w:sz="4" w:space="0"/>
                  </w:tcBorders>
                  <w:noWrap/>
                  <w:vAlign w:val="center"/>
                </w:tcPr>
                <w:p>
                  <w:pPr>
                    <w:pStyle w:val="60"/>
                    <w:spacing w:before="24" w:after="24"/>
                    <w:rPr>
                      <w:b/>
                      <w:bCs/>
                    </w:rPr>
                  </w:pPr>
                  <w:r>
                    <w:rPr>
                      <w:b/>
                      <w:bCs/>
                    </w:rPr>
                    <w:t>Z</w:t>
                  </w:r>
                </w:p>
              </w:tc>
              <w:tc>
                <w:tcPr>
                  <w:tcW w:w="499" w:type="pct"/>
                  <w:vMerge w:val="continue"/>
                  <w:vAlign w:val="center"/>
                </w:tcPr>
                <w:p>
                  <w:pPr>
                    <w:pStyle w:val="60"/>
                    <w:spacing w:before="24" w:after="24"/>
                  </w:pPr>
                </w:p>
              </w:tc>
              <w:tc>
                <w:tcPr>
                  <w:tcW w:w="572" w:type="pct"/>
                  <w:vMerge w:val="continue"/>
                  <w:vAlign w:val="center"/>
                </w:tcPr>
                <w:p>
                  <w:pPr>
                    <w:pStyle w:val="60"/>
                    <w:spacing w:before="24" w:after="24"/>
                  </w:pPr>
                </w:p>
              </w:tc>
              <w:tc>
                <w:tcPr>
                  <w:tcW w:w="622" w:type="pct"/>
                  <w:vMerge w:val="continue"/>
                  <w:noWrap/>
                  <w:vAlign w:val="center"/>
                </w:tcPr>
                <w:p>
                  <w:pPr>
                    <w:pStyle w:val="60"/>
                    <w:spacing w:before="24" w:after="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5" w:type="pct"/>
                  <w:tcBorders>
                    <w:top w:val="single" w:color="auto" w:sz="4" w:space="0"/>
                  </w:tcBorders>
                  <w:vAlign w:val="center"/>
                </w:tcPr>
                <w:p>
                  <w:pPr>
                    <w:pStyle w:val="60"/>
                    <w:spacing w:before="24" w:after="24"/>
                  </w:pPr>
                  <w:r>
                    <w:rPr>
                      <w:rFonts w:hint="eastAsia"/>
                    </w:rPr>
                    <w:t>1</w:t>
                  </w:r>
                </w:p>
              </w:tc>
              <w:tc>
                <w:tcPr>
                  <w:tcW w:w="1156" w:type="pct"/>
                  <w:tcBorders>
                    <w:top w:val="single" w:color="auto" w:sz="4" w:space="0"/>
                  </w:tcBorders>
                  <w:noWrap/>
                  <w:vAlign w:val="center"/>
                </w:tcPr>
                <w:p>
                  <w:pPr>
                    <w:pStyle w:val="60"/>
                    <w:spacing w:before="24" w:after="24"/>
                  </w:pPr>
                  <w:r>
                    <w:rPr>
                      <w:rFonts w:hint="eastAsia"/>
                    </w:rPr>
                    <w:t>除尘风机</w:t>
                  </w:r>
                </w:p>
              </w:tc>
              <w:tc>
                <w:tcPr>
                  <w:tcW w:w="391" w:type="pct"/>
                  <w:tcBorders>
                    <w:top w:val="single" w:color="auto" w:sz="4" w:space="0"/>
                  </w:tcBorders>
                  <w:noWrap/>
                  <w:vAlign w:val="center"/>
                </w:tcPr>
                <w:p>
                  <w:pPr>
                    <w:pStyle w:val="60"/>
                    <w:spacing w:before="24" w:after="24"/>
                  </w:pPr>
                  <w:r>
                    <w:t>1</w:t>
                  </w:r>
                </w:p>
              </w:tc>
              <w:tc>
                <w:tcPr>
                  <w:tcW w:w="622" w:type="pct"/>
                  <w:tcBorders>
                    <w:top w:val="single" w:color="auto" w:sz="4" w:space="0"/>
                  </w:tcBorders>
                  <w:noWrap/>
                  <w:vAlign w:val="center"/>
                </w:tcPr>
                <w:p>
                  <w:pPr>
                    <w:pStyle w:val="60"/>
                    <w:spacing w:before="24" w:after="24"/>
                  </w:pPr>
                  <w:r>
                    <w:rPr>
                      <w:rFonts w:hint="eastAsia"/>
                    </w:rPr>
                    <w:t>23</w:t>
                  </w:r>
                </w:p>
              </w:tc>
              <w:tc>
                <w:tcPr>
                  <w:tcW w:w="539" w:type="pct"/>
                  <w:tcBorders>
                    <w:top w:val="single" w:color="auto" w:sz="4" w:space="0"/>
                  </w:tcBorders>
                  <w:noWrap/>
                  <w:vAlign w:val="center"/>
                </w:tcPr>
                <w:p>
                  <w:pPr>
                    <w:pStyle w:val="60"/>
                    <w:spacing w:before="24" w:after="24"/>
                  </w:pPr>
                  <w:r>
                    <w:rPr>
                      <w:rFonts w:hint="eastAsia"/>
                    </w:rPr>
                    <w:t>-49</w:t>
                  </w:r>
                </w:p>
              </w:tc>
              <w:tc>
                <w:tcPr>
                  <w:tcW w:w="200" w:type="pct"/>
                  <w:tcBorders>
                    <w:top w:val="single" w:color="auto" w:sz="4" w:space="0"/>
                  </w:tcBorders>
                  <w:noWrap/>
                  <w:vAlign w:val="center"/>
                </w:tcPr>
                <w:p>
                  <w:pPr>
                    <w:pStyle w:val="60"/>
                    <w:spacing w:before="24" w:after="24"/>
                  </w:pPr>
                  <w:r>
                    <w:rPr>
                      <w:rFonts w:hint="eastAsia"/>
                    </w:rPr>
                    <w:t>1</w:t>
                  </w:r>
                </w:p>
              </w:tc>
              <w:tc>
                <w:tcPr>
                  <w:tcW w:w="499" w:type="pct"/>
                  <w:vMerge w:val="restart"/>
                  <w:tcBorders>
                    <w:top w:val="single" w:color="auto" w:sz="4" w:space="0"/>
                  </w:tcBorders>
                  <w:vAlign w:val="center"/>
                </w:tcPr>
                <w:p>
                  <w:pPr>
                    <w:pStyle w:val="60"/>
                    <w:spacing w:before="24" w:after="24"/>
                  </w:pPr>
                  <w:r>
                    <w:t>加隔声罩，减振垫</w:t>
                  </w:r>
                </w:p>
              </w:tc>
              <w:tc>
                <w:tcPr>
                  <w:tcW w:w="572" w:type="pct"/>
                  <w:tcBorders>
                    <w:top w:val="single" w:color="auto" w:sz="4" w:space="0"/>
                  </w:tcBorders>
                  <w:vAlign w:val="center"/>
                </w:tcPr>
                <w:p>
                  <w:pPr>
                    <w:pStyle w:val="60"/>
                    <w:spacing w:before="24" w:after="24"/>
                  </w:pPr>
                  <w:r>
                    <w:t>8</w:t>
                  </w:r>
                  <w:r>
                    <w:rPr>
                      <w:rFonts w:hint="eastAsia"/>
                    </w:rPr>
                    <w:t>0</w:t>
                  </w:r>
                </w:p>
              </w:tc>
              <w:tc>
                <w:tcPr>
                  <w:tcW w:w="622" w:type="pct"/>
                  <w:tcBorders>
                    <w:top w:val="single" w:color="auto" w:sz="4" w:space="0"/>
                  </w:tcBorders>
                  <w:noWrap/>
                  <w:vAlign w:val="center"/>
                </w:tcPr>
                <w:p>
                  <w:pPr>
                    <w:pStyle w:val="60"/>
                    <w:spacing w:before="24" w:after="24"/>
                  </w:pPr>
                  <w:r>
                    <w:rPr>
                      <w:rFonts w:hint="eastAsia"/>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5" w:type="pct"/>
                  <w:tcBorders>
                    <w:top w:val="single" w:color="auto" w:sz="4" w:space="0"/>
                  </w:tcBorders>
                  <w:vAlign w:val="center"/>
                </w:tcPr>
                <w:p>
                  <w:pPr>
                    <w:pStyle w:val="60"/>
                    <w:spacing w:before="24" w:after="24"/>
                  </w:pPr>
                  <w:r>
                    <w:rPr>
                      <w:rFonts w:hint="eastAsia"/>
                    </w:rPr>
                    <w:t>2</w:t>
                  </w:r>
                </w:p>
              </w:tc>
              <w:tc>
                <w:tcPr>
                  <w:tcW w:w="1156" w:type="pct"/>
                  <w:tcBorders>
                    <w:top w:val="single" w:color="auto" w:sz="4" w:space="0"/>
                  </w:tcBorders>
                  <w:noWrap/>
                  <w:vAlign w:val="center"/>
                </w:tcPr>
                <w:p>
                  <w:pPr>
                    <w:pStyle w:val="60"/>
                    <w:spacing w:before="24" w:after="24"/>
                  </w:pPr>
                  <w:r>
                    <w:rPr>
                      <w:rFonts w:hint="eastAsia"/>
                    </w:rPr>
                    <w:t>烘干风机</w:t>
                  </w:r>
                </w:p>
              </w:tc>
              <w:tc>
                <w:tcPr>
                  <w:tcW w:w="391" w:type="pct"/>
                  <w:tcBorders>
                    <w:top w:val="single" w:color="auto" w:sz="4" w:space="0"/>
                  </w:tcBorders>
                  <w:noWrap/>
                  <w:vAlign w:val="center"/>
                </w:tcPr>
                <w:p>
                  <w:pPr>
                    <w:pStyle w:val="60"/>
                    <w:spacing w:before="24" w:after="24"/>
                  </w:pPr>
                  <w:r>
                    <w:rPr>
                      <w:rFonts w:hint="eastAsia"/>
                    </w:rPr>
                    <w:t>1</w:t>
                  </w:r>
                </w:p>
              </w:tc>
              <w:tc>
                <w:tcPr>
                  <w:tcW w:w="622" w:type="pct"/>
                  <w:tcBorders>
                    <w:top w:val="single" w:color="auto" w:sz="4" w:space="0"/>
                  </w:tcBorders>
                  <w:noWrap/>
                  <w:vAlign w:val="center"/>
                </w:tcPr>
                <w:p>
                  <w:pPr>
                    <w:pStyle w:val="60"/>
                    <w:spacing w:before="24" w:after="24"/>
                  </w:pPr>
                  <w:r>
                    <w:rPr>
                      <w:rFonts w:hint="eastAsia"/>
                    </w:rPr>
                    <w:t>82</w:t>
                  </w:r>
                </w:p>
              </w:tc>
              <w:tc>
                <w:tcPr>
                  <w:tcW w:w="539" w:type="pct"/>
                  <w:tcBorders>
                    <w:top w:val="single" w:color="auto" w:sz="4" w:space="0"/>
                  </w:tcBorders>
                  <w:noWrap/>
                  <w:vAlign w:val="center"/>
                </w:tcPr>
                <w:p>
                  <w:pPr>
                    <w:pStyle w:val="60"/>
                    <w:spacing w:before="24" w:after="24"/>
                  </w:pPr>
                  <w:r>
                    <w:rPr>
                      <w:rFonts w:hint="eastAsia"/>
                    </w:rPr>
                    <w:t>-42</w:t>
                  </w:r>
                </w:p>
              </w:tc>
              <w:tc>
                <w:tcPr>
                  <w:tcW w:w="200" w:type="pct"/>
                  <w:tcBorders>
                    <w:top w:val="single" w:color="auto" w:sz="4" w:space="0"/>
                  </w:tcBorders>
                  <w:noWrap/>
                  <w:vAlign w:val="center"/>
                </w:tcPr>
                <w:p>
                  <w:pPr>
                    <w:pStyle w:val="60"/>
                    <w:spacing w:before="24" w:after="24"/>
                  </w:pPr>
                  <w:r>
                    <w:rPr>
                      <w:rFonts w:hint="eastAsia"/>
                    </w:rPr>
                    <w:t>1</w:t>
                  </w:r>
                </w:p>
              </w:tc>
              <w:tc>
                <w:tcPr>
                  <w:tcW w:w="499" w:type="pct"/>
                  <w:vMerge w:val="continue"/>
                  <w:vAlign w:val="center"/>
                </w:tcPr>
                <w:p>
                  <w:pPr>
                    <w:pStyle w:val="60"/>
                    <w:spacing w:before="24" w:after="24"/>
                  </w:pPr>
                </w:p>
              </w:tc>
              <w:tc>
                <w:tcPr>
                  <w:tcW w:w="572" w:type="pct"/>
                  <w:tcBorders>
                    <w:top w:val="single" w:color="auto" w:sz="4" w:space="0"/>
                  </w:tcBorders>
                  <w:vAlign w:val="center"/>
                </w:tcPr>
                <w:p>
                  <w:pPr>
                    <w:pStyle w:val="60"/>
                    <w:spacing w:before="24" w:after="24"/>
                  </w:pPr>
                  <w:r>
                    <w:t>8</w:t>
                  </w:r>
                  <w:r>
                    <w:rPr>
                      <w:rFonts w:hint="eastAsia"/>
                    </w:rPr>
                    <w:t>0</w:t>
                  </w:r>
                </w:p>
              </w:tc>
              <w:tc>
                <w:tcPr>
                  <w:tcW w:w="622" w:type="pct"/>
                  <w:tcBorders>
                    <w:top w:val="single" w:color="auto" w:sz="4" w:space="0"/>
                  </w:tcBorders>
                  <w:noWrap/>
                  <w:vAlign w:val="center"/>
                </w:tcPr>
                <w:p>
                  <w:pPr>
                    <w:pStyle w:val="60"/>
                    <w:spacing w:before="24" w:after="24"/>
                  </w:pPr>
                  <w:r>
                    <w:rPr>
                      <w:rFonts w:hint="eastAsia"/>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5" w:type="pct"/>
                  <w:tcBorders>
                    <w:top w:val="single" w:color="auto" w:sz="4" w:space="0"/>
                    <w:bottom w:val="single" w:color="auto" w:sz="4" w:space="0"/>
                  </w:tcBorders>
                  <w:vAlign w:val="center"/>
                </w:tcPr>
                <w:p>
                  <w:pPr>
                    <w:pStyle w:val="60"/>
                    <w:spacing w:before="24" w:after="24"/>
                  </w:pPr>
                  <w:r>
                    <w:rPr>
                      <w:rFonts w:hint="eastAsia"/>
                    </w:rPr>
                    <w:t>3</w:t>
                  </w:r>
                </w:p>
              </w:tc>
              <w:tc>
                <w:tcPr>
                  <w:tcW w:w="1156" w:type="pct"/>
                  <w:tcBorders>
                    <w:top w:val="single" w:color="auto" w:sz="4" w:space="0"/>
                    <w:bottom w:val="single" w:color="auto" w:sz="4" w:space="0"/>
                  </w:tcBorders>
                  <w:noWrap/>
                  <w:vAlign w:val="center"/>
                </w:tcPr>
                <w:p>
                  <w:pPr>
                    <w:pStyle w:val="60"/>
                    <w:spacing w:before="24" w:after="24"/>
                  </w:pPr>
                  <w:r>
                    <w:rPr>
                      <w:rFonts w:hint="eastAsia"/>
                    </w:rPr>
                    <w:t>固化风机</w:t>
                  </w:r>
                </w:p>
              </w:tc>
              <w:tc>
                <w:tcPr>
                  <w:tcW w:w="391" w:type="pct"/>
                  <w:tcBorders>
                    <w:top w:val="single" w:color="auto" w:sz="4" w:space="0"/>
                    <w:bottom w:val="single" w:color="auto" w:sz="4" w:space="0"/>
                  </w:tcBorders>
                  <w:noWrap/>
                  <w:vAlign w:val="center"/>
                </w:tcPr>
                <w:p>
                  <w:pPr>
                    <w:pStyle w:val="60"/>
                    <w:spacing w:before="24" w:after="24"/>
                  </w:pPr>
                  <w:r>
                    <w:rPr>
                      <w:rFonts w:hint="eastAsia"/>
                    </w:rPr>
                    <w:t>1</w:t>
                  </w:r>
                </w:p>
              </w:tc>
              <w:tc>
                <w:tcPr>
                  <w:tcW w:w="622" w:type="pct"/>
                  <w:tcBorders>
                    <w:top w:val="single" w:color="auto" w:sz="4" w:space="0"/>
                    <w:bottom w:val="single" w:color="auto" w:sz="4" w:space="0"/>
                  </w:tcBorders>
                  <w:noWrap/>
                  <w:vAlign w:val="center"/>
                </w:tcPr>
                <w:p>
                  <w:pPr>
                    <w:pStyle w:val="60"/>
                    <w:spacing w:before="24" w:after="24"/>
                  </w:pPr>
                  <w:r>
                    <w:rPr>
                      <w:rFonts w:hint="eastAsia"/>
                    </w:rPr>
                    <w:t>77</w:t>
                  </w:r>
                </w:p>
              </w:tc>
              <w:tc>
                <w:tcPr>
                  <w:tcW w:w="539" w:type="pct"/>
                  <w:tcBorders>
                    <w:top w:val="single" w:color="auto" w:sz="4" w:space="0"/>
                    <w:bottom w:val="single" w:color="auto" w:sz="4" w:space="0"/>
                  </w:tcBorders>
                  <w:noWrap/>
                  <w:vAlign w:val="center"/>
                </w:tcPr>
                <w:p>
                  <w:pPr>
                    <w:pStyle w:val="60"/>
                    <w:spacing w:before="24" w:after="24"/>
                  </w:pPr>
                  <w:r>
                    <w:rPr>
                      <w:rFonts w:hint="eastAsia"/>
                    </w:rPr>
                    <w:t>43</w:t>
                  </w:r>
                </w:p>
              </w:tc>
              <w:tc>
                <w:tcPr>
                  <w:tcW w:w="200" w:type="pct"/>
                  <w:tcBorders>
                    <w:top w:val="single" w:color="auto" w:sz="4" w:space="0"/>
                    <w:bottom w:val="single" w:color="auto" w:sz="4" w:space="0"/>
                  </w:tcBorders>
                  <w:noWrap/>
                  <w:vAlign w:val="center"/>
                </w:tcPr>
                <w:p>
                  <w:pPr>
                    <w:pStyle w:val="60"/>
                    <w:spacing w:before="24" w:after="24"/>
                  </w:pPr>
                  <w:r>
                    <w:rPr>
                      <w:rFonts w:hint="eastAsia"/>
                    </w:rPr>
                    <w:t>1</w:t>
                  </w:r>
                </w:p>
              </w:tc>
              <w:tc>
                <w:tcPr>
                  <w:tcW w:w="499" w:type="pct"/>
                  <w:vMerge w:val="continue"/>
                  <w:vAlign w:val="center"/>
                </w:tcPr>
                <w:p>
                  <w:pPr>
                    <w:pStyle w:val="60"/>
                    <w:spacing w:before="24" w:after="24"/>
                  </w:pPr>
                </w:p>
              </w:tc>
              <w:tc>
                <w:tcPr>
                  <w:tcW w:w="572" w:type="pct"/>
                  <w:tcBorders>
                    <w:top w:val="single" w:color="auto" w:sz="4" w:space="0"/>
                    <w:bottom w:val="single" w:color="auto" w:sz="4" w:space="0"/>
                  </w:tcBorders>
                  <w:vAlign w:val="center"/>
                </w:tcPr>
                <w:p>
                  <w:pPr>
                    <w:pStyle w:val="60"/>
                    <w:spacing w:before="24" w:after="24"/>
                  </w:pPr>
                  <w:r>
                    <w:t>8</w:t>
                  </w:r>
                  <w:r>
                    <w:rPr>
                      <w:rFonts w:hint="eastAsia"/>
                    </w:rPr>
                    <w:t>0</w:t>
                  </w:r>
                </w:p>
              </w:tc>
              <w:tc>
                <w:tcPr>
                  <w:tcW w:w="622" w:type="pct"/>
                  <w:tcBorders>
                    <w:top w:val="single" w:color="auto" w:sz="4" w:space="0"/>
                    <w:bottom w:val="single" w:color="auto" w:sz="4" w:space="0"/>
                  </w:tcBorders>
                  <w:noWrap/>
                  <w:vAlign w:val="center"/>
                </w:tcPr>
                <w:p>
                  <w:pPr>
                    <w:pStyle w:val="60"/>
                    <w:spacing w:before="24" w:after="24"/>
                  </w:pPr>
                  <w:r>
                    <w:rPr>
                      <w:rFonts w:hint="eastAsia"/>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5" w:type="pct"/>
                  <w:tcBorders>
                    <w:top w:val="single" w:color="auto" w:sz="4" w:space="0"/>
                  </w:tcBorders>
                  <w:vAlign w:val="center"/>
                </w:tcPr>
                <w:p>
                  <w:pPr>
                    <w:pStyle w:val="60"/>
                    <w:spacing w:before="24" w:after="24"/>
                  </w:pPr>
                  <w:r>
                    <w:rPr>
                      <w:rFonts w:hint="eastAsia"/>
                    </w:rPr>
                    <w:t>4</w:t>
                  </w:r>
                </w:p>
              </w:tc>
              <w:tc>
                <w:tcPr>
                  <w:tcW w:w="1156" w:type="pct"/>
                  <w:tcBorders>
                    <w:top w:val="single" w:color="auto" w:sz="4" w:space="0"/>
                  </w:tcBorders>
                  <w:noWrap/>
                  <w:vAlign w:val="center"/>
                </w:tcPr>
                <w:p>
                  <w:pPr>
                    <w:pStyle w:val="60"/>
                    <w:spacing w:before="24" w:after="24"/>
                  </w:pPr>
                  <w:r>
                    <w:rPr>
                      <w:rFonts w:hint="eastAsia"/>
                    </w:rPr>
                    <w:t>水泵</w:t>
                  </w:r>
                </w:p>
              </w:tc>
              <w:tc>
                <w:tcPr>
                  <w:tcW w:w="391" w:type="pct"/>
                  <w:tcBorders>
                    <w:top w:val="single" w:color="auto" w:sz="4" w:space="0"/>
                  </w:tcBorders>
                  <w:noWrap/>
                  <w:vAlign w:val="center"/>
                </w:tcPr>
                <w:p>
                  <w:pPr>
                    <w:pStyle w:val="60"/>
                    <w:spacing w:before="24" w:after="24"/>
                  </w:pPr>
                  <w:r>
                    <w:rPr>
                      <w:rFonts w:hint="eastAsia"/>
                    </w:rPr>
                    <w:t>2</w:t>
                  </w:r>
                </w:p>
              </w:tc>
              <w:tc>
                <w:tcPr>
                  <w:tcW w:w="622" w:type="pct"/>
                  <w:tcBorders>
                    <w:top w:val="single" w:color="auto" w:sz="4" w:space="0"/>
                  </w:tcBorders>
                  <w:noWrap/>
                  <w:vAlign w:val="center"/>
                </w:tcPr>
                <w:p>
                  <w:pPr>
                    <w:pStyle w:val="60"/>
                    <w:spacing w:before="24" w:after="24"/>
                  </w:pPr>
                  <w:r>
                    <w:rPr>
                      <w:rFonts w:hint="eastAsia"/>
                    </w:rPr>
                    <w:t>25</w:t>
                  </w:r>
                </w:p>
              </w:tc>
              <w:tc>
                <w:tcPr>
                  <w:tcW w:w="539" w:type="pct"/>
                  <w:tcBorders>
                    <w:top w:val="single" w:color="auto" w:sz="4" w:space="0"/>
                  </w:tcBorders>
                  <w:noWrap/>
                  <w:vAlign w:val="center"/>
                </w:tcPr>
                <w:p>
                  <w:pPr>
                    <w:pStyle w:val="60"/>
                    <w:spacing w:before="24" w:after="24"/>
                  </w:pPr>
                  <w:r>
                    <w:rPr>
                      <w:rFonts w:hint="eastAsia"/>
                    </w:rPr>
                    <w:t>-54</w:t>
                  </w:r>
                </w:p>
              </w:tc>
              <w:tc>
                <w:tcPr>
                  <w:tcW w:w="200" w:type="pct"/>
                  <w:tcBorders>
                    <w:top w:val="single" w:color="auto" w:sz="4" w:space="0"/>
                  </w:tcBorders>
                  <w:noWrap/>
                  <w:vAlign w:val="center"/>
                </w:tcPr>
                <w:p>
                  <w:pPr>
                    <w:pStyle w:val="60"/>
                    <w:spacing w:before="24" w:after="24"/>
                  </w:pPr>
                  <w:r>
                    <w:rPr>
                      <w:rFonts w:hint="eastAsia"/>
                    </w:rPr>
                    <w:t>1</w:t>
                  </w:r>
                </w:p>
              </w:tc>
              <w:tc>
                <w:tcPr>
                  <w:tcW w:w="499" w:type="pct"/>
                  <w:vAlign w:val="center"/>
                </w:tcPr>
                <w:p>
                  <w:pPr>
                    <w:pStyle w:val="60"/>
                    <w:spacing w:before="24" w:after="24"/>
                  </w:pPr>
                  <w:r>
                    <w:t>减振垫</w:t>
                  </w:r>
                </w:p>
              </w:tc>
              <w:tc>
                <w:tcPr>
                  <w:tcW w:w="572" w:type="pct"/>
                  <w:tcBorders>
                    <w:top w:val="single" w:color="auto" w:sz="4" w:space="0"/>
                  </w:tcBorders>
                  <w:vAlign w:val="center"/>
                </w:tcPr>
                <w:p>
                  <w:pPr>
                    <w:pStyle w:val="60"/>
                    <w:spacing w:before="24" w:after="24"/>
                  </w:pPr>
                  <w:r>
                    <w:rPr>
                      <w:rFonts w:hint="eastAsia"/>
                    </w:rPr>
                    <w:t>75</w:t>
                  </w:r>
                </w:p>
              </w:tc>
              <w:tc>
                <w:tcPr>
                  <w:tcW w:w="622" w:type="pct"/>
                  <w:tcBorders>
                    <w:top w:val="single" w:color="auto" w:sz="4" w:space="0"/>
                  </w:tcBorders>
                  <w:noWrap/>
                  <w:vAlign w:val="center"/>
                </w:tcPr>
                <w:p>
                  <w:pPr>
                    <w:pStyle w:val="60"/>
                    <w:spacing w:before="24" w:after="24"/>
                  </w:pPr>
                  <w:r>
                    <w:rPr>
                      <w:rFonts w:hint="eastAsia"/>
                    </w:rPr>
                    <w:t>连续</w:t>
                  </w:r>
                </w:p>
              </w:tc>
            </w:tr>
          </w:tbl>
          <w:p>
            <w:pPr>
              <w:pStyle w:val="109"/>
              <w:snapToGrid/>
              <w:ind w:firstLine="0"/>
              <w:jc w:val="center"/>
              <w:rPr>
                <w:rFonts w:cs="宋体"/>
                <w:szCs w:val="21"/>
              </w:rPr>
            </w:pPr>
          </w:p>
          <w:p>
            <w:pPr>
              <w:adjustRightInd w:val="0"/>
              <w:snapToGrid w:val="0"/>
              <w:spacing w:line="360" w:lineRule="auto"/>
              <w:ind w:firstLine="482" w:firstLineChars="200"/>
              <w:rPr>
                <w:b/>
                <w:bCs/>
                <w:sz w:val="24"/>
              </w:rPr>
            </w:pPr>
            <w:r>
              <w:rPr>
                <w:rFonts w:hint="eastAsia"/>
                <w:b/>
                <w:bCs/>
                <w:sz w:val="24"/>
              </w:rPr>
              <w:t>（2）</w:t>
            </w:r>
            <w:r>
              <w:rPr>
                <w:b/>
                <w:bCs/>
                <w:sz w:val="24"/>
              </w:rPr>
              <w:t>预测模式</w:t>
            </w:r>
          </w:p>
          <w:p>
            <w:pPr>
              <w:spacing w:line="360" w:lineRule="auto"/>
              <w:ind w:firstLine="480" w:firstLineChars="200"/>
              <w:rPr>
                <w:sz w:val="24"/>
              </w:rPr>
            </w:pPr>
            <w:r>
              <w:rPr>
                <w:sz w:val="24"/>
              </w:rPr>
              <w:t>按照《环境影响评价技术导则</w:t>
            </w:r>
            <w:r>
              <w:rPr>
                <w:rFonts w:hint="eastAsia"/>
                <w:sz w:val="24"/>
              </w:rPr>
              <w:t xml:space="preserve"> </w:t>
            </w:r>
            <w:r>
              <w:rPr>
                <w:sz w:val="24"/>
              </w:rPr>
              <w:t>声环境》</w:t>
            </w:r>
            <w:r>
              <w:rPr>
                <w:rFonts w:hint="eastAsia"/>
                <w:sz w:val="24"/>
              </w:rPr>
              <w:t>（</w:t>
            </w:r>
            <w:r>
              <w:rPr>
                <w:sz w:val="24"/>
              </w:rPr>
              <w:t>HJ2.4-2</w:t>
            </w:r>
            <w:r>
              <w:rPr>
                <w:rFonts w:hint="eastAsia"/>
                <w:sz w:val="24"/>
              </w:rPr>
              <w:t>022）</w:t>
            </w:r>
            <w:r>
              <w:rPr>
                <w:sz w:val="24"/>
              </w:rPr>
              <w:t>中推荐的模式预测</w:t>
            </w:r>
            <w:r>
              <w:rPr>
                <w:rFonts w:hint="eastAsia"/>
                <w:sz w:val="24"/>
              </w:rPr>
              <w:t>厂界环境噪声。预测方法为室外声源采用户外声传播衰减模式，室内声源等效为室外声源后采用户外声传播衰减模式，且只考虑几何发散衰减。</w:t>
            </w:r>
          </w:p>
          <w:p>
            <w:pPr>
              <w:spacing w:line="360" w:lineRule="auto"/>
              <w:ind w:firstLine="480" w:firstLineChars="200"/>
              <w:rPr>
                <w:sz w:val="24"/>
              </w:rPr>
            </w:pPr>
            <w:r>
              <w:rPr>
                <w:rFonts w:hint="eastAsia"/>
                <w:sz w:val="24"/>
              </w:rPr>
              <w:t>根据《环境影响评价技术导则声环境》（HJ 2.4-2021）的要求，采用如下模式：</w:t>
            </w:r>
          </w:p>
          <w:p>
            <w:pPr>
              <w:spacing w:line="360" w:lineRule="auto"/>
              <w:ind w:firstLine="480" w:firstLineChars="200"/>
              <w:rPr>
                <w:sz w:val="24"/>
              </w:rPr>
            </w:pPr>
            <w:r>
              <w:rPr>
                <w:rFonts w:hint="eastAsia"/>
                <w:sz w:val="24"/>
              </w:rPr>
              <w:t>（1）点声源的几何发散衰减：</w:t>
            </w:r>
          </w:p>
          <w:p>
            <w:pPr>
              <w:spacing w:line="360" w:lineRule="auto"/>
              <w:ind w:firstLine="480" w:firstLineChars="200"/>
              <w:rPr>
                <w:sz w:val="24"/>
              </w:rPr>
            </w:pPr>
            <w:r>
              <w:rPr>
                <w:rFonts w:hint="eastAsia"/>
                <w:sz w:val="24"/>
              </w:rPr>
              <w:t>声源的几何发散衰减的噪声声压级影响值（dB(A)）为：</w:t>
            </w:r>
          </w:p>
          <w:p>
            <w:pPr>
              <w:spacing w:line="360" w:lineRule="auto"/>
              <w:ind w:firstLine="480" w:firstLineChars="200"/>
              <w:rPr>
                <w:sz w:val="24"/>
              </w:rPr>
            </w:pPr>
            <w:r>
              <w:rPr>
                <w:rFonts w:hint="eastAsia"/>
                <w:sz w:val="24"/>
              </w:rPr>
              <w:object>
                <v:shape id="_x0000_i1025" o:spt="75" type="#_x0000_t75" style="height:37.5pt;width:109.5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p>
          <w:p>
            <w:pPr>
              <w:spacing w:line="360" w:lineRule="auto"/>
              <w:ind w:firstLine="480" w:firstLineChars="200"/>
              <w:rPr>
                <w:sz w:val="24"/>
              </w:rPr>
            </w:pPr>
            <w:r>
              <w:rPr>
                <w:rFonts w:hint="eastAsia"/>
                <w:sz w:val="24"/>
              </w:rPr>
              <w:t>式中：LP(r)为预测点的声压级（dB(A)）；</w:t>
            </w:r>
          </w:p>
          <w:p>
            <w:pPr>
              <w:spacing w:line="360" w:lineRule="auto"/>
              <w:ind w:firstLine="480" w:firstLineChars="200"/>
              <w:rPr>
                <w:sz w:val="24"/>
              </w:rPr>
            </w:pPr>
            <w:r>
              <w:rPr>
                <w:rFonts w:hint="eastAsia"/>
                <w:sz w:val="24"/>
              </w:rPr>
              <w:t>LP0为点声源在r0(m)距离处测定的声压级（dB(A)）；</w:t>
            </w:r>
          </w:p>
          <w:p>
            <w:pPr>
              <w:spacing w:line="360" w:lineRule="auto"/>
              <w:ind w:firstLine="480" w:firstLineChars="200"/>
              <w:rPr>
                <w:sz w:val="24"/>
              </w:rPr>
            </w:pPr>
            <w:r>
              <w:rPr>
                <w:rFonts w:hint="eastAsia"/>
                <w:sz w:val="24"/>
              </w:rPr>
              <w:t>r为点声源距预测点的距离(m)；</w:t>
            </w:r>
          </w:p>
          <w:p>
            <w:pPr>
              <w:spacing w:line="360" w:lineRule="auto"/>
              <w:ind w:firstLine="480" w:firstLineChars="200"/>
              <w:rPr>
                <w:sz w:val="24"/>
              </w:rPr>
            </w:pPr>
            <w:r>
              <w:rPr>
                <w:rFonts w:hint="eastAsia"/>
                <w:sz w:val="24"/>
              </w:rPr>
              <w:t>（2）对预测点多源声影响及背景噪声的叠加：</w:t>
            </w:r>
          </w:p>
          <w:p>
            <w:pPr>
              <w:spacing w:line="360" w:lineRule="auto"/>
              <w:ind w:firstLine="480" w:firstLineChars="200"/>
              <w:rPr>
                <w:sz w:val="24"/>
              </w:rPr>
            </w:pPr>
            <w:r>
              <w:rPr>
                <w:rFonts w:hint="eastAsia"/>
                <w:sz w:val="24"/>
              </w:rPr>
              <w:object>
                <v:shape id="_x0000_i1026" o:spt="75" type="#_x0000_t75" style="height:42pt;width:154.55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p>
          <w:p>
            <w:pPr>
              <w:spacing w:line="360" w:lineRule="auto"/>
              <w:ind w:firstLine="480" w:firstLineChars="200"/>
              <w:rPr>
                <w:sz w:val="24"/>
              </w:rPr>
            </w:pPr>
            <w:r>
              <w:rPr>
                <w:rFonts w:hint="eastAsia"/>
                <w:sz w:val="24"/>
              </w:rPr>
              <w:t>式中：N为声源个数；</w:t>
            </w:r>
          </w:p>
          <w:p>
            <w:pPr>
              <w:spacing w:line="360" w:lineRule="auto"/>
              <w:ind w:firstLine="480" w:firstLineChars="200"/>
              <w:rPr>
                <w:sz w:val="24"/>
              </w:rPr>
            </w:pPr>
            <w:r>
              <w:rPr>
                <w:rFonts w:hint="eastAsia"/>
                <w:sz w:val="24"/>
              </w:rPr>
              <w:t>L0为预测点的噪声背景值（dB(A)）；</w:t>
            </w:r>
          </w:p>
          <w:p>
            <w:pPr>
              <w:spacing w:line="360" w:lineRule="auto"/>
              <w:ind w:firstLine="480" w:firstLineChars="200"/>
              <w:rPr>
                <w:sz w:val="24"/>
              </w:rPr>
            </w:pPr>
            <w:r>
              <w:rPr>
                <w:rFonts w:hint="eastAsia"/>
                <w:sz w:val="24"/>
              </w:rPr>
              <w:t>LP(r)为预测点的噪声声压级（dB(A)）预测值。</w:t>
            </w:r>
          </w:p>
          <w:p>
            <w:pPr>
              <w:spacing w:line="360" w:lineRule="auto"/>
              <w:ind w:firstLine="480" w:firstLineChars="200"/>
              <w:rPr>
                <w:sz w:val="24"/>
              </w:rPr>
            </w:pPr>
            <w:r>
              <w:rPr>
                <w:rFonts w:hint="eastAsia"/>
                <w:sz w:val="24"/>
              </w:rPr>
              <w:t>（3）室内声源等效室外声源声功率级计算方法：</w:t>
            </w:r>
          </w:p>
          <w:p>
            <w:pPr>
              <w:spacing w:line="360" w:lineRule="auto"/>
              <w:ind w:firstLine="480" w:firstLineChars="200"/>
              <w:rPr>
                <w:sz w:val="24"/>
              </w:rPr>
            </w:pPr>
            <m:oMathPara>
              <m:oMath>
                <m:sSub>
                  <m:sSubPr>
                    <m:ctrlPr>
                      <w:rPr>
                        <w:rFonts w:hint="eastAsia" w:ascii="Cambria Math" w:hAnsi="Cambria Math"/>
                        <w:sz w:val="24"/>
                      </w:rPr>
                    </m:ctrlPr>
                  </m:sSubPr>
                  <m:e>
                    <m:r>
                      <m:rPr>
                        <m:sty m:val="p"/>
                      </m:rPr>
                      <w:rPr>
                        <w:rFonts w:hint="eastAsia" w:ascii="Cambria Math" w:hAnsi="Cambria Math"/>
                        <w:sz w:val="24"/>
                      </w:rPr>
                      <m:t>L</m:t>
                    </m:r>
                    <m:ctrlPr>
                      <w:rPr>
                        <w:rFonts w:hint="eastAsia" w:ascii="Cambria Math" w:hAnsi="Cambria Math"/>
                        <w:sz w:val="24"/>
                      </w:rPr>
                    </m:ctrlPr>
                  </m:e>
                  <m:sub>
                    <m:r>
                      <m:rPr>
                        <m:sty m:val="p"/>
                      </m:rPr>
                      <w:rPr>
                        <w:rFonts w:hint="eastAsia" w:ascii="Cambria Math" w:hAnsi="Cambria Math"/>
                        <w:sz w:val="24"/>
                      </w:rPr>
                      <m:t>p2</m:t>
                    </m:r>
                    <m:ctrlPr>
                      <w:rPr>
                        <w:rFonts w:hint="eastAsia" w:ascii="Cambria Math" w:hAnsi="Cambria Math"/>
                        <w:sz w:val="24"/>
                      </w:rPr>
                    </m:ctrlPr>
                  </m:sub>
                </m:sSub>
                <m:r>
                  <m:rPr>
                    <m:sty m:val="p"/>
                  </m:rPr>
                  <w:rPr>
                    <w:rFonts w:hint="eastAsia" w:ascii="Cambria Math" w:hAnsi="Cambria Math"/>
                    <w:sz w:val="24"/>
                  </w:rPr>
                  <m:t>=</m:t>
                </m:r>
                <m:sSub>
                  <m:sSubPr>
                    <m:ctrlPr>
                      <w:rPr>
                        <w:rFonts w:hint="eastAsia" w:ascii="Cambria Math" w:hAnsi="Cambria Math"/>
                        <w:sz w:val="24"/>
                      </w:rPr>
                    </m:ctrlPr>
                  </m:sSubPr>
                  <m:e>
                    <m:r>
                      <m:rPr>
                        <m:sty m:val="p"/>
                      </m:rPr>
                      <w:rPr>
                        <w:rFonts w:hint="eastAsia" w:ascii="Cambria Math" w:hAnsi="Cambria Math"/>
                        <w:sz w:val="24"/>
                      </w:rPr>
                      <m:t>L</m:t>
                    </m:r>
                    <m:ctrlPr>
                      <w:rPr>
                        <w:rFonts w:hint="eastAsia" w:ascii="Cambria Math" w:hAnsi="Cambria Math"/>
                        <w:sz w:val="24"/>
                      </w:rPr>
                    </m:ctrlPr>
                  </m:e>
                  <m:sub>
                    <m:r>
                      <m:rPr>
                        <m:sty m:val="p"/>
                      </m:rPr>
                      <w:rPr>
                        <w:rFonts w:hint="eastAsia" w:ascii="Cambria Math" w:hAnsi="Cambria Math"/>
                        <w:sz w:val="24"/>
                      </w:rPr>
                      <m:t>p1</m:t>
                    </m:r>
                    <m:ctrlPr>
                      <w:rPr>
                        <w:rFonts w:hint="eastAsia" w:ascii="Cambria Math" w:hAnsi="Cambria Math"/>
                        <w:sz w:val="24"/>
                      </w:rPr>
                    </m:ctrlPr>
                  </m:sub>
                </m:sSub>
                <m:r>
                  <m:rPr>
                    <m:sty m:val="p"/>
                  </m:rPr>
                  <w:rPr>
                    <w:rFonts w:hint="eastAsia" w:ascii="Cambria Math" w:hAnsi="Cambria Math"/>
                    <w:sz w:val="24"/>
                  </w:rPr>
                  <m:t>−（TL+6）</m:t>
                </m:r>
              </m:oMath>
            </m:oMathPara>
          </w:p>
          <w:p>
            <w:pPr>
              <w:spacing w:line="360" w:lineRule="auto"/>
              <w:ind w:firstLine="480" w:firstLineChars="200"/>
              <w:rPr>
                <w:sz w:val="24"/>
              </w:rPr>
            </w:pPr>
            <w:r>
              <w:rPr>
                <w:rFonts w:hint="eastAsia"/>
                <w:sz w:val="24"/>
              </w:rPr>
              <w:t>式中：Lp1为靠近处（或窗户）室内某倍频带的A声级，（dB(A)）；</w:t>
            </w:r>
          </w:p>
          <w:p>
            <w:pPr>
              <w:spacing w:line="360" w:lineRule="auto"/>
              <w:ind w:firstLine="480" w:firstLineChars="200"/>
              <w:rPr>
                <w:sz w:val="24"/>
              </w:rPr>
            </w:pPr>
            <w:r>
              <w:rPr>
                <w:rFonts w:hint="eastAsia"/>
                <w:sz w:val="24"/>
              </w:rPr>
              <w:t>Lp2为靠近处（或窗户）室外某倍频带的A声级，（dB(A)）；</w:t>
            </w:r>
          </w:p>
          <w:p>
            <w:pPr>
              <w:spacing w:line="360" w:lineRule="auto"/>
              <w:ind w:firstLine="480" w:firstLineChars="200"/>
              <w:rPr>
                <w:sz w:val="24"/>
              </w:rPr>
            </w:pPr>
            <w:r>
              <w:rPr>
                <w:rFonts w:hint="eastAsia"/>
                <w:sz w:val="24"/>
              </w:rPr>
              <w:t>TL为隔墙（或窗户）A声级的隔声量，（dB(A)）。</w:t>
            </w:r>
          </w:p>
          <w:p>
            <w:pPr>
              <w:widowControl/>
              <w:spacing w:line="360" w:lineRule="auto"/>
              <w:ind w:firstLine="482"/>
              <w:textAlignment w:val="baseline"/>
              <w:rPr>
                <w:b/>
                <w:bCs/>
                <w:sz w:val="24"/>
              </w:rPr>
            </w:pPr>
            <w:r>
              <w:rPr>
                <w:rFonts w:hint="eastAsia"/>
                <w:b/>
                <w:bCs/>
                <w:sz w:val="24"/>
              </w:rPr>
              <w:t>（3）</w:t>
            </w:r>
            <w:r>
              <w:rPr>
                <w:b/>
                <w:bCs/>
                <w:sz w:val="24"/>
              </w:rPr>
              <w:t>预测结果及评价</w:t>
            </w:r>
          </w:p>
          <w:p>
            <w:pPr>
              <w:widowControl/>
              <w:spacing w:line="360" w:lineRule="auto"/>
              <w:ind w:firstLine="482"/>
              <w:textAlignment w:val="baseline"/>
              <w:rPr>
                <w:sz w:val="24"/>
              </w:rPr>
            </w:pPr>
            <w:r>
              <w:rPr>
                <w:rFonts w:hint="eastAsia"/>
                <w:sz w:val="24"/>
              </w:rPr>
              <w:t>根据</w:t>
            </w:r>
            <w:r>
              <w:rPr>
                <w:sz w:val="24"/>
              </w:rPr>
              <w:t>项目的机械设备声级、所在位置，利用噪声预测模式和方法，对厂界噪声进行预测计算，预测结果见表</w:t>
            </w:r>
            <w:r>
              <w:rPr>
                <w:rFonts w:hint="eastAsia"/>
                <w:sz w:val="24"/>
              </w:rPr>
              <w:t>4</w:t>
            </w:r>
            <w:r>
              <w:rPr>
                <w:sz w:val="24"/>
              </w:rPr>
              <w:t>-</w:t>
            </w:r>
            <w:r>
              <w:rPr>
                <w:rFonts w:hint="eastAsia"/>
                <w:sz w:val="24"/>
              </w:rPr>
              <w:t>5</w:t>
            </w:r>
            <w:r>
              <w:rPr>
                <w:sz w:val="24"/>
              </w:rPr>
              <w:t>。</w:t>
            </w:r>
          </w:p>
          <w:p>
            <w:pPr>
              <w:adjustRightInd w:val="0"/>
              <w:snapToGrid w:val="0"/>
              <w:jc w:val="center"/>
              <w:rPr>
                <w:rFonts w:ascii="宋体" w:hAnsi="宋体" w:cs="宋体"/>
                <w:b/>
                <w:szCs w:val="21"/>
              </w:rPr>
            </w:pPr>
            <w:r>
              <w:rPr>
                <w:rFonts w:hint="eastAsia" w:ascii="宋体" w:hAnsi="宋体" w:cs="宋体"/>
                <w:b/>
                <w:szCs w:val="21"/>
              </w:rPr>
              <w:t>表4-5 厂界噪声影响预测结果表 单位：dB(A)</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049"/>
              <w:gridCol w:w="945"/>
              <w:gridCol w:w="1366"/>
              <w:gridCol w:w="1080"/>
              <w:gridCol w:w="1440"/>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74" w:type="pct"/>
                  <w:vMerge w:val="restart"/>
                  <w:vAlign w:val="center"/>
                </w:tcPr>
                <w:p>
                  <w:pPr>
                    <w:jc w:val="center"/>
                    <w:rPr>
                      <w:lang w:val="en-GB"/>
                    </w:rPr>
                  </w:pPr>
                  <w:r>
                    <w:rPr>
                      <w:lang w:val="en-GB"/>
                    </w:rPr>
                    <w:t>预测点位</w:t>
                  </w:r>
                </w:p>
              </w:tc>
              <w:tc>
                <w:tcPr>
                  <w:tcW w:w="646" w:type="pct"/>
                  <w:vMerge w:val="restart"/>
                  <w:vAlign w:val="center"/>
                </w:tcPr>
                <w:p>
                  <w:pPr>
                    <w:pStyle w:val="60"/>
                    <w:spacing w:before="24" w:after="24"/>
                  </w:pPr>
                  <w:r>
                    <w:t>X 坐标(m)</w:t>
                  </w:r>
                </w:p>
              </w:tc>
              <w:tc>
                <w:tcPr>
                  <w:tcW w:w="582" w:type="pct"/>
                  <w:vMerge w:val="restart"/>
                  <w:vAlign w:val="center"/>
                </w:tcPr>
                <w:p>
                  <w:pPr>
                    <w:pStyle w:val="60"/>
                    <w:spacing w:before="24" w:after="24"/>
                  </w:pPr>
                  <w:r>
                    <w:t>Y 坐标(m)</w:t>
                  </w:r>
                </w:p>
              </w:tc>
              <w:tc>
                <w:tcPr>
                  <w:tcW w:w="841" w:type="pct"/>
                  <w:vMerge w:val="restart"/>
                  <w:vAlign w:val="center"/>
                </w:tcPr>
                <w:p>
                  <w:pPr>
                    <w:jc w:val="center"/>
                  </w:pPr>
                  <w:r>
                    <w:rPr>
                      <w:rFonts w:hint="eastAsia"/>
                    </w:rPr>
                    <w:t>预测值</w:t>
                  </w:r>
                </w:p>
              </w:tc>
              <w:tc>
                <w:tcPr>
                  <w:tcW w:w="665" w:type="pct"/>
                  <w:vMerge w:val="restart"/>
                  <w:vAlign w:val="center"/>
                </w:tcPr>
                <w:p>
                  <w:pPr>
                    <w:jc w:val="center"/>
                  </w:pPr>
                  <w:r>
                    <w:t>标准值</w:t>
                  </w:r>
                </w:p>
              </w:tc>
              <w:tc>
                <w:tcPr>
                  <w:tcW w:w="1489" w:type="pct"/>
                  <w:gridSpan w:val="2"/>
                  <w:vAlign w:val="center"/>
                </w:tcPr>
                <w:p>
                  <w:pPr>
                    <w:jc w:val="center"/>
                  </w:pPr>
                  <w: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74" w:type="pct"/>
                  <w:vMerge w:val="continue"/>
                  <w:vAlign w:val="center"/>
                </w:tcPr>
                <w:p>
                  <w:pPr>
                    <w:jc w:val="center"/>
                    <w:rPr>
                      <w:lang w:val="en-GB"/>
                    </w:rPr>
                  </w:pPr>
                </w:p>
              </w:tc>
              <w:tc>
                <w:tcPr>
                  <w:tcW w:w="646" w:type="pct"/>
                  <w:vMerge w:val="continue"/>
                  <w:vAlign w:val="center"/>
                </w:tcPr>
                <w:p>
                  <w:pPr>
                    <w:pStyle w:val="60"/>
                    <w:spacing w:before="24" w:after="24"/>
                  </w:pPr>
                </w:p>
              </w:tc>
              <w:tc>
                <w:tcPr>
                  <w:tcW w:w="582" w:type="pct"/>
                  <w:vMerge w:val="continue"/>
                  <w:vAlign w:val="center"/>
                </w:tcPr>
                <w:p>
                  <w:pPr>
                    <w:pStyle w:val="60"/>
                    <w:spacing w:before="24" w:after="24"/>
                  </w:pPr>
                </w:p>
              </w:tc>
              <w:tc>
                <w:tcPr>
                  <w:tcW w:w="841" w:type="pct"/>
                  <w:vMerge w:val="continue"/>
                  <w:vAlign w:val="center"/>
                </w:tcPr>
                <w:p>
                  <w:pPr>
                    <w:jc w:val="center"/>
                  </w:pPr>
                </w:p>
              </w:tc>
              <w:tc>
                <w:tcPr>
                  <w:tcW w:w="665" w:type="pct"/>
                  <w:vMerge w:val="continue"/>
                  <w:vAlign w:val="center"/>
                </w:tcPr>
                <w:p>
                  <w:pPr>
                    <w:jc w:val="center"/>
                  </w:pPr>
                </w:p>
              </w:tc>
              <w:tc>
                <w:tcPr>
                  <w:tcW w:w="887" w:type="pct"/>
                  <w:vAlign w:val="center"/>
                </w:tcPr>
                <w:p>
                  <w:pPr>
                    <w:jc w:val="center"/>
                  </w:pPr>
                  <w:r>
                    <w:rPr>
                      <w:rFonts w:hint="eastAsia"/>
                    </w:rPr>
                    <w:t>昼间</w:t>
                  </w:r>
                </w:p>
              </w:tc>
              <w:tc>
                <w:tcPr>
                  <w:tcW w:w="602" w:type="pct"/>
                  <w:vAlign w:val="center"/>
                </w:tcPr>
                <w:p>
                  <w:pPr>
                    <w:jc w:val="center"/>
                  </w:pPr>
                  <w:r>
                    <w:rPr>
                      <w:rFonts w:hint="eastAsia"/>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4" w:type="pct"/>
                  <w:vAlign w:val="center"/>
                </w:tcPr>
                <w:p>
                  <w:pPr>
                    <w:jc w:val="center"/>
                  </w:pPr>
                  <w:r>
                    <w:rPr>
                      <w:lang w:val="en-GB"/>
                    </w:rPr>
                    <w:t>东厂界</w:t>
                  </w:r>
                </w:p>
              </w:tc>
              <w:tc>
                <w:tcPr>
                  <w:tcW w:w="646" w:type="pct"/>
                  <w:vAlign w:val="center"/>
                </w:tcPr>
                <w:p>
                  <w:pPr>
                    <w:jc w:val="center"/>
                  </w:pPr>
                  <w:r>
                    <w:rPr>
                      <w:rFonts w:hint="eastAsia"/>
                    </w:rPr>
                    <w:t>112</w:t>
                  </w:r>
                </w:p>
              </w:tc>
              <w:tc>
                <w:tcPr>
                  <w:tcW w:w="582" w:type="pct"/>
                  <w:vAlign w:val="center"/>
                </w:tcPr>
                <w:p>
                  <w:pPr>
                    <w:jc w:val="center"/>
                  </w:pPr>
                  <w:r>
                    <w:rPr>
                      <w:rFonts w:hint="eastAsia"/>
                    </w:rPr>
                    <w:t>-7</w:t>
                  </w:r>
                </w:p>
              </w:tc>
              <w:tc>
                <w:tcPr>
                  <w:tcW w:w="841" w:type="pct"/>
                  <w:vAlign w:val="center"/>
                </w:tcPr>
                <w:p>
                  <w:pPr>
                    <w:jc w:val="center"/>
                  </w:pPr>
                  <w:r>
                    <w:t>5</w:t>
                  </w:r>
                  <w:r>
                    <w:rPr>
                      <w:rFonts w:hint="eastAsia"/>
                    </w:rPr>
                    <w:t>3</w:t>
                  </w:r>
                </w:p>
              </w:tc>
              <w:tc>
                <w:tcPr>
                  <w:tcW w:w="665" w:type="pct"/>
                  <w:vMerge w:val="restart"/>
                  <w:vAlign w:val="center"/>
                </w:tcPr>
                <w:p>
                  <w:pPr>
                    <w:jc w:val="center"/>
                  </w:pPr>
                  <w:r>
                    <w:rPr>
                      <w:rFonts w:hint="eastAsia"/>
                    </w:rPr>
                    <w:t>65/55</w:t>
                  </w:r>
                </w:p>
              </w:tc>
              <w:tc>
                <w:tcPr>
                  <w:tcW w:w="887" w:type="pct"/>
                  <w:vAlign w:val="center"/>
                </w:tcPr>
                <w:p>
                  <w:pPr>
                    <w:jc w:val="center"/>
                  </w:pPr>
                  <w:r>
                    <w:t>达标</w:t>
                  </w:r>
                </w:p>
              </w:tc>
              <w:tc>
                <w:tcPr>
                  <w:tcW w:w="602" w:type="pct"/>
                  <w:vAlign w:val="center"/>
                </w:tcPr>
                <w:p>
                  <w:pPr>
                    <w:jc w:val="center"/>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74" w:type="pct"/>
                  <w:vAlign w:val="center"/>
                </w:tcPr>
                <w:p>
                  <w:pPr>
                    <w:jc w:val="center"/>
                    <w:rPr>
                      <w:lang w:val="en-GB"/>
                    </w:rPr>
                  </w:pPr>
                  <w:r>
                    <w:t>南</w:t>
                  </w:r>
                  <w:r>
                    <w:rPr>
                      <w:lang w:val="en-GB"/>
                    </w:rPr>
                    <w:t>厂界</w:t>
                  </w:r>
                </w:p>
              </w:tc>
              <w:tc>
                <w:tcPr>
                  <w:tcW w:w="646" w:type="pct"/>
                  <w:vAlign w:val="center"/>
                </w:tcPr>
                <w:p>
                  <w:pPr>
                    <w:jc w:val="center"/>
                  </w:pPr>
                  <w:r>
                    <w:rPr>
                      <w:rFonts w:hint="eastAsia"/>
                    </w:rPr>
                    <w:t>15</w:t>
                  </w:r>
                </w:p>
              </w:tc>
              <w:tc>
                <w:tcPr>
                  <w:tcW w:w="582" w:type="pct"/>
                  <w:vAlign w:val="center"/>
                </w:tcPr>
                <w:p>
                  <w:pPr>
                    <w:jc w:val="center"/>
                  </w:pPr>
                  <w:r>
                    <w:rPr>
                      <w:rFonts w:hint="eastAsia"/>
                    </w:rPr>
                    <w:t>-140</w:t>
                  </w:r>
                </w:p>
              </w:tc>
              <w:tc>
                <w:tcPr>
                  <w:tcW w:w="841" w:type="pct"/>
                  <w:vAlign w:val="center"/>
                </w:tcPr>
                <w:p>
                  <w:pPr>
                    <w:jc w:val="center"/>
                  </w:pPr>
                  <w:r>
                    <w:t>4</w:t>
                  </w:r>
                  <w:r>
                    <w:rPr>
                      <w:rFonts w:hint="eastAsia"/>
                    </w:rPr>
                    <w:t>4</w:t>
                  </w:r>
                </w:p>
              </w:tc>
              <w:tc>
                <w:tcPr>
                  <w:tcW w:w="665" w:type="pct"/>
                  <w:vMerge w:val="continue"/>
                  <w:vAlign w:val="center"/>
                </w:tcPr>
                <w:p>
                  <w:pPr>
                    <w:jc w:val="center"/>
                  </w:pPr>
                </w:p>
              </w:tc>
              <w:tc>
                <w:tcPr>
                  <w:tcW w:w="887" w:type="pct"/>
                  <w:vAlign w:val="center"/>
                </w:tcPr>
                <w:p>
                  <w:pPr>
                    <w:jc w:val="center"/>
                  </w:pPr>
                  <w:r>
                    <w:t>达标</w:t>
                  </w:r>
                </w:p>
              </w:tc>
              <w:tc>
                <w:tcPr>
                  <w:tcW w:w="602" w:type="pct"/>
                  <w:vAlign w:val="center"/>
                </w:tcPr>
                <w:p>
                  <w:pPr>
                    <w:jc w:val="center"/>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74" w:type="pct"/>
                  <w:vAlign w:val="center"/>
                </w:tcPr>
                <w:p>
                  <w:pPr>
                    <w:jc w:val="center"/>
                    <w:rPr>
                      <w:lang w:val="en-GB"/>
                    </w:rPr>
                  </w:pPr>
                  <w:r>
                    <w:t>西</w:t>
                  </w:r>
                  <w:r>
                    <w:rPr>
                      <w:lang w:val="en-GB"/>
                    </w:rPr>
                    <w:t>厂界</w:t>
                  </w:r>
                </w:p>
              </w:tc>
              <w:tc>
                <w:tcPr>
                  <w:tcW w:w="646" w:type="pct"/>
                  <w:vAlign w:val="center"/>
                </w:tcPr>
                <w:p>
                  <w:pPr>
                    <w:jc w:val="center"/>
                  </w:pPr>
                  <w:r>
                    <w:rPr>
                      <w:rFonts w:hint="eastAsia"/>
                    </w:rPr>
                    <w:t>-104</w:t>
                  </w:r>
                </w:p>
              </w:tc>
              <w:tc>
                <w:tcPr>
                  <w:tcW w:w="582" w:type="pct"/>
                  <w:vAlign w:val="center"/>
                </w:tcPr>
                <w:p>
                  <w:pPr>
                    <w:jc w:val="center"/>
                  </w:pPr>
                  <w:r>
                    <w:rPr>
                      <w:rFonts w:hint="eastAsia"/>
                    </w:rPr>
                    <w:t>-19</w:t>
                  </w:r>
                </w:p>
              </w:tc>
              <w:tc>
                <w:tcPr>
                  <w:tcW w:w="841" w:type="pct"/>
                  <w:vAlign w:val="center"/>
                </w:tcPr>
                <w:p>
                  <w:pPr>
                    <w:jc w:val="center"/>
                  </w:pPr>
                  <w:r>
                    <w:t>5</w:t>
                  </w:r>
                  <w:r>
                    <w:rPr>
                      <w:rFonts w:hint="eastAsia"/>
                    </w:rPr>
                    <w:t>0</w:t>
                  </w:r>
                </w:p>
              </w:tc>
              <w:tc>
                <w:tcPr>
                  <w:tcW w:w="665" w:type="pct"/>
                  <w:vMerge w:val="continue"/>
                  <w:vAlign w:val="center"/>
                </w:tcPr>
                <w:p>
                  <w:pPr>
                    <w:jc w:val="center"/>
                  </w:pPr>
                </w:p>
              </w:tc>
              <w:tc>
                <w:tcPr>
                  <w:tcW w:w="887" w:type="pct"/>
                  <w:vAlign w:val="center"/>
                </w:tcPr>
                <w:p>
                  <w:pPr>
                    <w:jc w:val="center"/>
                  </w:pPr>
                  <w:r>
                    <w:t>达标</w:t>
                  </w:r>
                </w:p>
              </w:tc>
              <w:tc>
                <w:tcPr>
                  <w:tcW w:w="602" w:type="pct"/>
                  <w:vAlign w:val="center"/>
                </w:tcPr>
                <w:p>
                  <w:pPr>
                    <w:jc w:val="center"/>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4" w:type="pct"/>
                  <w:vAlign w:val="center"/>
                </w:tcPr>
                <w:p>
                  <w:pPr>
                    <w:jc w:val="center"/>
                    <w:rPr>
                      <w:lang w:val="en-GB"/>
                    </w:rPr>
                  </w:pPr>
                  <w:r>
                    <w:rPr>
                      <w:lang w:val="en-GB"/>
                    </w:rPr>
                    <w:t>北厂界</w:t>
                  </w:r>
                </w:p>
              </w:tc>
              <w:tc>
                <w:tcPr>
                  <w:tcW w:w="646" w:type="pct"/>
                  <w:vAlign w:val="center"/>
                </w:tcPr>
                <w:p>
                  <w:pPr>
                    <w:jc w:val="center"/>
                  </w:pPr>
                  <w:r>
                    <w:rPr>
                      <w:rFonts w:hint="eastAsia"/>
                    </w:rPr>
                    <w:t>-18</w:t>
                  </w:r>
                </w:p>
              </w:tc>
              <w:tc>
                <w:tcPr>
                  <w:tcW w:w="582" w:type="pct"/>
                  <w:vAlign w:val="center"/>
                </w:tcPr>
                <w:p>
                  <w:pPr>
                    <w:jc w:val="center"/>
                  </w:pPr>
                  <w:r>
                    <w:rPr>
                      <w:rFonts w:hint="eastAsia"/>
                    </w:rPr>
                    <w:t>154</w:t>
                  </w:r>
                </w:p>
              </w:tc>
              <w:tc>
                <w:tcPr>
                  <w:tcW w:w="841" w:type="pct"/>
                  <w:vAlign w:val="center"/>
                </w:tcPr>
                <w:p>
                  <w:pPr>
                    <w:jc w:val="center"/>
                  </w:pPr>
                  <w:r>
                    <w:t>42</w:t>
                  </w:r>
                </w:p>
              </w:tc>
              <w:tc>
                <w:tcPr>
                  <w:tcW w:w="665" w:type="pct"/>
                  <w:vMerge w:val="continue"/>
                  <w:vAlign w:val="center"/>
                </w:tcPr>
                <w:p>
                  <w:pPr>
                    <w:jc w:val="center"/>
                  </w:pPr>
                </w:p>
              </w:tc>
              <w:tc>
                <w:tcPr>
                  <w:tcW w:w="887" w:type="pct"/>
                  <w:vAlign w:val="center"/>
                </w:tcPr>
                <w:p>
                  <w:pPr>
                    <w:jc w:val="center"/>
                  </w:pPr>
                  <w:r>
                    <w:t>达标</w:t>
                  </w:r>
                </w:p>
              </w:tc>
              <w:tc>
                <w:tcPr>
                  <w:tcW w:w="602" w:type="pct"/>
                  <w:vAlign w:val="center"/>
                </w:tcPr>
                <w:p>
                  <w:pPr>
                    <w:jc w:val="center"/>
                  </w:pPr>
                  <w:r>
                    <w:t>达标</w:t>
                  </w:r>
                </w:p>
              </w:tc>
            </w:tr>
          </w:tbl>
          <w:p>
            <w:pPr>
              <w:widowControl/>
              <w:spacing w:line="360" w:lineRule="auto"/>
              <w:ind w:firstLine="482"/>
              <w:textAlignment w:val="baseline"/>
              <w:rPr>
                <w:sz w:val="24"/>
              </w:rPr>
            </w:pPr>
            <w:r>
              <w:rPr>
                <w:sz w:val="24"/>
              </w:rPr>
              <w:t>由于声源设备大都安装在车间厂房内，</w:t>
            </w:r>
            <w:r>
              <w:rPr>
                <w:rFonts w:hint="eastAsia"/>
                <w:sz w:val="24"/>
              </w:rPr>
              <w:t>通过选用低噪声设备，</w:t>
            </w:r>
            <w:r>
              <w:rPr>
                <w:sz w:val="24"/>
              </w:rPr>
              <w:t>采取基础减振、隔声等措施，经预测，项目厂界噪声</w:t>
            </w:r>
            <w:r>
              <w:rPr>
                <w:rFonts w:hint="eastAsia"/>
                <w:sz w:val="24"/>
              </w:rPr>
              <w:t>贡献</w:t>
            </w:r>
            <w:r>
              <w:rPr>
                <w:sz w:val="24"/>
              </w:rPr>
              <w:t>值</w:t>
            </w:r>
            <w:r>
              <w:rPr>
                <w:rFonts w:hint="eastAsia"/>
                <w:sz w:val="24"/>
              </w:rPr>
              <w:t>可以满足</w:t>
            </w:r>
            <w:r>
              <w:rPr>
                <w:sz w:val="24"/>
              </w:rPr>
              <w:t>《工业企业厂界环境噪声排放标准》（GB12348-2008）</w:t>
            </w:r>
            <w:r>
              <w:rPr>
                <w:rFonts w:hint="eastAsia"/>
                <w:sz w:val="24"/>
              </w:rPr>
              <w:t>3</w:t>
            </w:r>
            <w:r>
              <w:rPr>
                <w:sz w:val="24"/>
              </w:rPr>
              <w:t>类</w:t>
            </w:r>
            <w:r>
              <w:rPr>
                <w:rFonts w:hint="eastAsia"/>
                <w:sz w:val="24"/>
              </w:rPr>
              <w:t>昼间</w:t>
            </w:r>
            <w:r>
              <w:rPr>
                <w:sz w:val="24"/>
              </w:rPr>
              <w:t>标准</w:t>
            </w:r>
            <w:r>
              <w:rPr>
                <w:rFonts w:hint="eastAsia"/>
                <w:sz w:val="24"/>
              </w:rPr>
              <w:t>值，且项目周围50m范围内无声环境敏感点</w:t>
            </w:r>
            <w:r>
              <w:rPr>
                <w:sz w:val="24"/>
              </w:rPr>
              <w:t>，</w:t>
            </w:r>
            <w:r>
              <w:rPr>
                <w:rFonts w:hint="eastAsia"/>
                <w:sz w:val="24"/>
              </w:rPr>
              <w:t>因此，项目运营期噪声</w:t>
            </w:r>
            <w:r>
              <w:rPr>
                <w:sz w:val="24"/>
              </w:rPr>
              <w:t>对环境影响较小。</w:t>
            </w:r>
          </w:p>
          <w:p>
            <w:pPr>
              <w:widowControl/>
              <w:spacing w:line="360" w:lineRule="auto"/>
              <w:ind w:firstLine="482"/>
              <w:textAlignment w:val="baseline"/>
              <w:rPr>
                <w:b/>
                <w:bCs/>
                <w:sz w:val="24"/>
              </w:rPr>
            </w:pPr>
            <w:r>
              <w:rPr>
                <w:rFonts w:hint="eastAsia"/>
                <w:b/>
                <w:bCs/>
                <w:sz w:val="24"/>
              </w:rPr>
              <w:t>（4）</w:t>
            </w:r>
            <w:r>
              <w:rPr>
                <w:b/>
                <w:bCs/>
                <w:sz w:val="24"/>
              </w:rPr>
              <w:t>监测计划</w:t>
            </w:r>
          </w:p>
          <w:p>
            <w:pPr>
              <w:adjustRightInd w:val="0"/>
              <w:snapToGrid w:val="0"/>
              <w:spacing w:line="360" w:lineRule="auto"/>
              <w:ind w:firstLine="480" w:firstLineChars="200"/>
              <w:rPr>
                <w:sz w:val="24"/>
              </w:rPr>
            </w:pPr>
            <w:r>
              <w:rPr>
                <w:sz w:val="24"/>
              </w:rPr>
              <w:t>根据《排污单位自行监测技术指南总则》（HJ819-2017），</w:t>
            </w:r>
            <w:r>
              <w:rPr>
                <w:rFonts w:hint="eastAsia"/>
                <w:sz w:val="24"/>
              </w:rPr>
              <w:t>项目噪声</w:t>
            </w:r>
            <w:r>
              <w:rPr>
                <w:sz w:val="24"/>
              </w:rPr>
              <w:t>监测计划如下表</w:t>
            </w:r>
            <w:r>
              <w:rPr>
                <w:rFonts w:hint="eastAsia"/>
                <w:sz w:val="24"/>
              </w:rPr>
              <w:t>4</w:t>
            </w:r>
            <w:r>
              <w:rPr>
                <w:sz w:val="24"/>
              </w:rPr>
              <w:t>-</w:t>
            </w:r>
            <w:r>
              <w:rPr>
                <w:rFonts w:hint="eastAsia"/>
                <w:sz w:val="24"/>
              </w:rPr>
              <w:t>6</w:t>
            </w:r>
            <w:r>
              <w:rPr>
                <w:sz w:val="24"/>
              </w:rPr>
              <w:t>：</w:t>
            </w:r>
          </w:p>
          <w:p>
            <w:pPr>
              <w:widowControl/>
              <w:ind w:firstLine="422" w:firstLineChars="200"/>
              <w:jc w:val="center"/>
              <w:rPr>
                <w:b/>
                <w:bCs/>
                <w:szCs w:val="21"/>
              </w:rPr>
            </w:pPr>
            <w:r>
              <w:rPr>
                <w:b/>
                <w:bCs/>
                <w:szCs w:val="21"/>
              </w:rPr>
              <w:t>表</w:t>
            </w:r>
            <w:r>
              <w:rPr>
                <w:rFonts w:hint="eastAsia"/>
                <w:b/>
                <w:bCs/>
                <w:szCs w:val="21"/>
              </w:rPr>
              <w:t>4</w:t>
            </w:r>
            <w:r>
              <w:rPr>
                <w:b/>
                <w:bCs/>
                <w:szCs w:val="21"/>
              </w:rPr>
              <w:t>-</w:t>
            </w:r>
            <w:r>
              <w:rPr>
                <w:rFonts w:hint="eastAsia"/>
                <w:b/>
                <w:bCs/>
                <w:szCs w:val="21"/>
              </w:rPr>
              <w:t xml:space="preserve">6  </w:t>
            </w:r>
            <w:r>
              <w:rPr>
                <w:b/>
                <w:bCs/>
                <w:szCs w:val="21"/>
              </w:rPr>
              <w:t>运营期</w:t>
            </w:r>
            <w:r>
              <w:rPr>
                <w:rFonts w:hint="eastAsia"/>
                <w:b/>
                <w:bCs/>
                <w:szCs w:val="21"/>
              </w:rPr>
              <w:t>噪声</w:t>
            </w:r>
            <w:r>
              <w:rPr>
                <w:b/>
                <w:bCs/>
                <w:szCs w:val="21"/>
              </w:rPr>
              <w:t>监测及管理计划一览表</w:t>
            </w:r>
          </w:p>
          <w:tbl>
            <w:tblPr>
              <w:tblStyle w:val="31"/>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049"/>
              <w:gridCol w:w="1096"/>
              <w:gridCol w:w="1330"/>
              <w:gridCol w:w="835"/>
              <w:gridCol w:w="818"/>
              <w:gridCol w:w="2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46" w:type="pct"/>
                  <w:vAlign w:val="center"/>
                </w:tcPr>
                <w:p>
                  <w:pPr>
                    <w:jc w:val="center"/>
                    <w:rPr>
                      <w:b/>
                      <w:bCs/>
                    </w:rPr>
                  </w:pPr>
                  <w:r>
                    <w:rPr>
                      <w:b/>
                      <w:bCs/>
                    </w:rPr>
                    <w:t>污染源</w:t>
                  </w:r>
                </w:p>
                <w:p>
                  <w:pPr>
                    <w:jc w:val="center"/>
                    <w:rPr>
                      <w:b/>
                      <w:bCs/>
                    </w:rPr>
                  </w:pPr>
                  <w:r>
                    <w:rPr>
                      <w:b/>
                      <w:bCs/>
                    </w:rPr>
                    <w:t>名称</w:t>
                  </w:r>
                </w:p>
              </w:tc>
              <w:tc>
                <w:tcPr>
                  <w:tcW w:w="674" w:type="pct"/>
                  <w:vAlign w:val="center"/>
                </w:tcPr>
                <w:p>
                  <w:pPr>
                    <w:jc w:val="center"/>
                    <w:rPr>
                      <w:b/>
                      <w:bCs/>
                    </w:rPr>
                  </w:pPr>
                  <w:r>
                    <w:rPr>
                      <w:b/>
                      <w:bCs/>
                    </w:rPr>
                    <w:t>监测项目</w:t>
                  </w:r>
                </w:p>
              </w:tc>
              <w:tc>
                <w:tcPr>
                  <w:tcW w:w="818" w:type="pct"/>
                  <w:vAlign w:val="center"/>
                </w:tcPr>
                <w:p>
                  <w:pPr>
                    <w:jc w:val="center"/>
                    <w:rPr>
                      <w:b/>
                      <w:bCs/>
                    </w:rPr>
                  </w:pPr>
                  <w:r>
                    <w:rPr>
                      <w:b/>
                      <w:bCs/>
                    </w:rPr>
                    <w:t>监测点位置</w:t>
                  </w:r>
                </w:p>
              </w:tc>
              <w:tc>
                <w:tcPr>
                  <w:tcW w:w="514" w:type="pct"/>
                  <w:vAlign w:val="center"/>
                </w:tcPr>
                <w:p>
                  <w:pPr>
                    <w:jc w:val="center"/>
                    <w:rPr>
                      <w:b/>
                      <w:bCs/>
                    </w:rPr>
                  </w:pPr>
                  <w:r>
                    <w:rPr>
                      <w:b/>
                      <w:bCs/>
                    </w:rPr>
                    <w:t>监测点数</w:t>
                  </w:r>
                </w:p>
              </w:tc>
              <w:tc>
                <w:tcPr>
                  <w:tcW w:w="503" w:type="pct"/>
                  <w:vAlign w:val="center"/>
                </w:tcPr>
                <w:p>
                  <w:pPr>
                    <w:jc w:val="center"/>
                    <w:rPr>
                      <w:b/>
                      <w:bCs/>
                    </w:rPr>
                  </w:pPr>
                  <w:r>
                    <w:rPr>
                      <w:b/>
                      <w:bCs/>
                    </w:rPr>
                    <w:t>监测频率</w:t>
                  </w:r>
                </w:p>
              </w:tc>
              <w:tc>
                <w:tcPr>
                  <w:tcW w:w="1841" w:type="pct"/>
                  <w:vAlign w:val="center"/>
                </w:tcPr>
                <w:p>
                  <w:pPr>
                    <w:jc w:val="center"/>
                    <w:rPr>
                      <w:b/>
                      <w:bCs/>
                    </w:rPr>
                  </w:pPr>
                  <w:r>
                    <w:rPr>
                      <w:b/>
                      <w:bCs/>
                    </w:rPr>
                    <w:t>控制指标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46" w:type="pct"/>
                  <w:vAlign w:val="center"/>
                </w:tcPr>
                <w:p>
                  <w:pPr>
                    <w:jc w:val="center"/>
                    <w:rPr>
                      <w:b/>
                      <w:bCs/>
                    </w:rPr>
                  </w:pPr>
                  <w:r>
                    <w:rPr>
                      <w:b/>
                      <w:bCs/>
                    </w:rPr>
                    <w:t>厂界噪声</w:t>
                  </w:r>
                </w:p>
              </w:tc>
              <w:tc>
                <w:tcPr>
                  <w:tcW w:w="674" w:type="pct"/>
                  <w:vAlign w:val="center"/>
                </w:tcPr>
                <w:p>
                  <w:pPr>
                    <w:jc w:val="center"/>
                  </w:pPr>
                  <w:r>
                    <w:t>Leq(A)</w:t>
                  </w:r>
                </w:p>
              </w:tc>
              <w:tc>
                <w:tcPr>
                  <w:tcW w:w="818" w:type="pct"/>
                  <w:vAlign w:val="center"/>
                </w:tcPr>
                <w:p>
                  <w:r>
                    <w:t>厂界四周外墙1m处</w:t>
                  </w:r>
                </w:p>
              </w:tc>
              <w:tc>
                <w:tcPr>
                  <w:tcW w:w="514" w:type="pct"/>
                  <w:vAlign w:val="center"/>
                </w:tcPr>
                <w:p>
                  <w:pPr>
                    <w:jc w:val="center"/>
                  </w:pPr>
                  <w:r>
                    <w:t>厂界4个点</w:t>
                  </w:r>
                </w:p>
              </w:tc>
              <w:tc>
                <w:tcPr>
                  <w:tcW w:w="503" w:type="pct"/>
                  <w:vAlign w:val="center"/>
                </w:tcPr>
                <w:p>
                  <w:pPr>
                    <w:jc w:val="center"/>
                  </w:pPr>
                  <w:r>
                    <w:rPr>
                      <w:rFonts w:hint="eastAsia"/>
                    </w:rPr>
                    <w:t>1次/季度</w:t>
                  </w:r>
                </w:p>
              </w:tc>
              <w:tc>
                <w:tcPr>
                  <w:tcW w:w="1841" w:type="pct"/>
                  <w:vAlign w:val="center"/>
                </w:tcPr>
                <w:p>
                  <w:pPr>
                    <w:jc w:val="center"/>
                  </w:pPr>
                  <w:r>
                    <w:t>《工业企业厂界环境噪声排放标准》（GB12348-2008）中</w:t>
                  </w:r>
                  <w:r>
                    <w:rPr>
                      <w:rFonts w:hint="eastAsia"/>
                    </w:rPr>
                    <w:t>3</w:t>
                  </w:r>
                  <w:r>
                    <w:t>类标准</w:t>
                  </w:r>
                </w:p>
              </w:tc>
            </w:tr>
          </w:tbl>
          <w:p>
            <w:pPr>
              <w:widowControl/>
              <w:spacing w:line="360" w:lineRule="auto"/>
              <w:ind w:firstLine="482" w:firstLineChars="200"/>
              <w:textAlignment w:val="baseline"/>
              <w:rPr>
                <w:b/>
                <w:bCs/>
                <w:sz w:val="24"/>
              </w:rPr>
            </w:pPr>
            <w:r>
              <w:rPr>
                <w:rFonts w:hint="eastAsia"/>
                <w:b/>
                <w:bCs/>
                <w:sz w:val="24"/>
              </w:rPr>
              <w:t>4</w:t>
            </w:r>
            <w:r>
              <w:rPr>
                <w:b/>
                <w:bCs/>
                <w:sz w:val="24"/>
              </w:rPr>
              <w:t>、固体废物影响分析及措施</w:t>
            </w:r>
          </w:p>
          <w:p>
            <w:pPr>
              <w:adjustRightInd w:val="0"/>
              <w:spacing w:line="336" w:lineRule="auto"/>
              <w:ind w:firstLine="480" w:firstLineChars="200"/>
              <w:rPr>
                <w:sz w:val="24"/>
              </w:rPr>
            </w:pPr>
            <w:r>
              <w:rPr>
                <w:sz w:val="24"/>
              </w:rPr>
              <w:t>项目运营期主要工业固体废物有除尘</w:t>
            </w:r>
            <w:r>
              <w:rPr>
                <w:rFonts w:hint="eastAsia"/>
                <w:sz w:val="24"/>
              </w:rPr>
              <w:t>灰</w:t>
            </w:r>
            <w:r>
              <w:rPr>
                <w:sz w:val="24"/>
              </w:rPr>
              <w:t>、</w:t>
            </w:r>
            <w:r>
              <w:rPr>
                <w:rFonts w:hint="eastAsia"/>
                <w:sz w:val="24"/>
              </w:rPr>
              <w:t>废丝及不合格成品、生</w:t>
            </w:r>
            <w:r>
              <w:rPr>
                <w:sz w:val="24"/>
              </w:rPr>
              <w:t>活垃圾、</w:t>
            </w:r>
            <w:r>
              <w:rPr>
                <w:rFonts w:hint="eastAsia"/>
                <w:sz w:val="24"/>
              </w:rPr>
              <w:t>废包装材料、</w:t>
            </w:r>
            <w:r>
              <w:rPr>
                <w:sz w:val="24"/>
              </w:rPr>
              <w:t>废润滑油</w:t>
            </w:r>
            <w:r>
              <w:rPr>
                <w:rFonts w:hint="eastAsia"/>
                <w:sz w:val="24"/>
              </w:rPr>
              <w:t>和废活性炭</w:t>
            </w:r>
            <w:r>
              <w:rPr>
                <w:sz w:val="24"/>
              </w:rPr>
              <w:t>等。</w:t>
            </w:r>
          </w:p>
          <w:p>
            <w:pPr>
              <w:adjustRightInd w:val="0"/>
              <w:spacing w:line="336" w:lineRule="auto"/>
              <w:ind w:firstLine="480" w:firstLineChars="200"/>
              <w:rPr>
                <w:sz w:val="24"/>
              </w:rPr>
            </w:pPr>
            <w:bookmarkStart w:id="44" w:name="_Hlk107820748"/>
            <w:r>
              <w:rPr>
                <w:sz w:val="24"/>
              </w:rPr>
              <w:fldChar w:fldCharType="begin"/>
            </w:r>
            <w:r>
              <w:rPr>
                <w:sz w:val="24"/>
              </w:rPr>
              <w:instrText xml:space="preserve"> = 1 \* GB3 </w:instrText>
            </w:r>
            <w:r>
              <w:rPr>
                <w:sz w:val="24"/>
              </w:rPr>
              <w:fldChar w:fldCharType="separate"/>
            </w:r>
            <w:r>
              <w:rPr>
                <w:sz w:val="24"/>
              </w:rPr>
              <w:t>①</w:t>
            </w:r>
            <w:r>
              <w:rPr>
                <w:sz w:val="24"/>
              </w:rPr>
              <w:fldChar w:fldCharType="end"/>
            </w:r>
            <w:r>
              <w:rPr>
                <w:sz w:val="24"/>
              </w:rPr>
              <w:t>除尘灰</w:t>
            </w:r>
          </w:p>
          <w:p>
            <w:pPr>
              <w:adjustRightInd w:val="0"/>
              <w:spacing w:line="336" w:lineRule="auto"/>
              <w:ind w:firstLine="480" w:firstLineChars="200"/>
              <w:rPr>
                <w:sz w:val="24"/>
              </w:rPr>
            </w:pPr>
            <w:r>
              <w:rPr>
                <w:sz w:val="24"/>
              </w:rPr>
              <w:t>根据工程分析，项目</w:t>
            </w:r>
            <w:r>
              <w:rPr>
                <w:rFonts w:hint="eastAsia"/>
                <w:sz w:val="24"/>
              </w:rPr>
              <w:t>除尘灰收集量为</w:t>
            </w:r>
            <w:r>
              <w:rPr>
                <w:sz w:val="24"/>
              </w:rPr>
              <w:t>6.24</w:t>
            </w:r>
            <w:r>
              <w:rPr>
                <w:rFonts w:hint="eastAsia"/>
                <w:sz w:val="24"/>
              </w:rPr>
              <w:t>t/a，</w:t>
            </w:r>
            <w:r>
              <w:rPr>
                <w:sz w:val="24"/>
              </w:rPr>
              <w:t>收集后回用于生产。</w:t>
            </w:r>
          </w:p>
          <w:p>
            <w:pPr>
              <w:adjustRightInd w:val="0"/>
              <w:snapToGrid w:val="0"/>
              <w:spacing w:line="360" w:lineRule="auto"/>
              <w:ind w:left="480"/>
              <w:jc w:val="left"/>
              <w:rPr>
                <w:sz w:val="24"/>
              </w:rPr>
            </w:pPr>
            <w:r>
              <w:rPr>
                <w:rFonts w:hint="eastAsia"/>
                <w:sz w:val="24"/>
              </w:rPr>
              <w:t>②废丝及不合格成品</w:t>
            </w:r>
          </w:p>
          <w:p>
            <w:pPr>
              <w:adjustRightInd w:val="0"/>
              <w:spacing w:line="336" w:lineRule="auto"/>
              <w:ind w:firstLine="480" w:firstLineChars="200"/>
              <w:rPr>
                <w:sz w:val="24"/>
              </w:rPr>
            </w:pPr>
            <w:r>
              <w:rPr>
                <w:sz w:val="24"/>
              </w:rPr>
              <w:t>项目在</w:t>
            </w:r>
            <w:r>
              <w:rPr>
                <w:rFonts w:hint="eastAsia"/>
                <w:sz w:val="24"/>
              </w:rPr>
              <w:t>生产</w:t>
            </w:r>
            <w:r>
              <w:rPr>
                <w:sz w:val="24"/>
              </w:rPr>
              <w:t>过程中产生的废丝及不合格</w:t>
            </w:r>
            <w:r>
              <w:rPr>
                <w:rFonts w:hint="eastAsia"/>
                <w:sz w:val="24"/>
              </w:rPr>
              <w:t>成品</w:t>
            </w:r>
            <w:r>
              <w:rPr>
                <w:sz w:val="24"/>
              </w:rPr>
              <w:t>按</w:t>
            </w:r>
            <w:r>
              <w:rPr>
                <w:rFonts w:hint="eastAsia"/>
                <w:sz w:val="24"/>
              </w:rPr>
              <w:t>产量</w:t>
            </w:r>
            <w:r>
              <w:rPr>
                <w:sz w:val="24"/>
              </w:rPr>
              <w:t>的</w:t>
            </w:r>
            <w:r>
              <w:rPr>
                <w:rFonts w:hint="eastAsia"/>
                <w:sz w:val="24"/>
              </w:rPr>
              <w:t>0.0</w:t>
            </w:r>
            <w:r>
              <w:rPr>
                <w:sz w:val="24"/>
              </w:rPr>
              <w:t>2%计，不合格</w:t>
            </w:r>
            <w:r>
              <w:rPr>
                <w:rFonts w:hint="eastAsia"/>
                <w:sz w:val="24"/>
              </w:rPr>
              <w:t>成品产生量为</w:t>
            </w:r>
            <w:r>
              <w:rPr>
                <w:sz w:val="24"/>
              </w:rPr>
              <w:t>3t/a</w:t>
            </w:r>
            <w:r>
              <w:rPr>
                <w:rFonts w:hint="eastAsia"/>
                <w:sz w:val="24"/>
              </w:rPr>
              <w:t>，全部回用于生产</w:t>
            </w:r>
            <w:r>
              <w:rPr>
                <w:sz w:val="24"/>
              </w:rPr>
              <w:t>。</w:t>
            </w:r>
          </w:p>
          <w:p>
            <w:pPr>
              <w:adjustRightInd w:val="0"/>
              <w:snapToGrid w:val="0"/>
              <w:spacing w:line="360" w:lineRule="auto"/>
              <w:ind w:left="480"/>
              <w:jc w:val="left"/>
              <w:rPr>
                <w:sz w:val="24"/>
              </w:rPr>
            </w:pPr>
            <w:r>
              <w:rPr>
                <w:rFonts w:hint="eastAsia"/>
                <w:sz w:val="24"/>
              </w:rPr>
              <w:t>③生活垃圾</w:t>
            </w:r>
          </w:p>
          <w:p>
            <w:pPr>
              <w:snapToGrid w:val="0"/>
              <w:spacing w:line="360" w:lineRule="auto"/>
              <w:ind w:firstLine="480" w:firstLineChars="200"/>
              <w:rPr>
                <w:sz w:val="24"/>
              </w:rPr>
            </w:pPr>
            <w:r>
              <w:rPr>
                <w:sz w:val="24"/>
              </w:rPr>
              <w:t>项目劳动定员</w:t>
            </w:r>
            <w:r>
              <w:rPr>
                <w:rFonts w:hint="eastAsia"/>
                <w:sz w:val="24"/>
              </w:rPr>
              <w:t>20</w:t>
            </w:r>
            <w:r>
              <w:rPr>
                <w:sz w:val="24"/>
              </w:rPr>
              <w:t>0人，按每人每天产生生活垃圾0.5kg计，</w:t>
            </w:r>
            <w:r>
              <w:rPr>
                <w:rFonts w:hint="eastAsia"/>
                <w:sz w:val="24"/>
              </w:rPr>
              <w:t>年工作</w:t>
            </w:r>
            <w:r>
              <w:rPr>
                <w:sz w:val="24"/>
              </w:rPr>
              <w:t>33</w:t>
            </w:r>
            <w:r>
              <w:rPr>
                <w:rFonts w:hint="eastAsia"/>
                <w:sz w:val="24"/>
              </w:rPr>
              <w:t>0d，</w:t>
            </w:r>
            <w:r>
              <w:rPr>
                <w:sz w:val="24"/>
              </w:rPr>
              <w:t>则生活垃圾</w:t>
            </w:r>
            <w:r>
              <w:rPr>
                <w:rFonts w:hint="eastAsia"/>
                <w:sz w:val="24"/>
              </w:rPr>
              <w:t>产生量</w:t>
            </w:r>
            <w:r>
              <w:rPr>
                <w:sz w:val="24"/>
              </w:rPr>
              <w:t>为33</w:t>
            </w:r>
            <w:r>
              <w:rPr>
                <w:rFonts w:hint="eastAsia"/>
                <w:sz w:val="24"/>
              </w:rPr>
              <w:t>t/a，生活垃圾分类收集后定期由环卫部门清运处置。</w:t>
            </w:r>
          </w:p>
          <w:p>
            <w:pPr>
              <w:adjustRightInd w:val="0"/>
              <w:spacing w:line="360" w:lineRule="auto"/>
              <w:ind w:left="480"/>
              <w:rPr>
                <w:sz w:val="24"/>
              </w:rPr>
            </w:pPr>
            <w:r>
              <w:rPr>
                <w:rFonts w:hint="eastAsia"/>
                <w:sz w:val="24"/>
              </w:rPr>
              <w:t>④废包装材料</w:t>
            </w:r>
          </w:p>
          <w:p>
            <w:pPr>
              <w:adjustRightInd w:val="0"/>
              <w:spacing w:line="360" w:lineRule="auto"/>
              <w:ind w:firstLine="480" w:firstLineChars="200"/>
              <w:rPr>
                <w:sz w:val="24"/>
              </w:rPr>
            </w:pPr>
            <w:r>
              <w:rPr>
                <w:rFonts w:hint="eastAsia"/>
                <w:sz w:val="24"/>
              </w:rPr>
              <w:t>项目环氧树脂、浸润剂等包装桶产生量为3</w:t>
            </w:r>
            <w:r>
              <w:rPr>
                <w:sz w:val="24"/>
              </w:rPr>
              <w:t>.2t/a，废成品包装纸箱产生量约</w:t>
            </w:r>
            <w:r>
              <w:rPr>
                <w:rFonts w:hint="eastAsia"/>
                <w:sz w:val="24"/>
              </w:rPr>
              <w:t>1</w:t>
            </w:r>
            <w:r>
              <w:rPr>
                <w:sz w:val="24"/>
              </w:rPr>
              <w:t>.68t/a，废包装桶由厂家回收利用，废成品包装纸箱由废品回收站回收利用。</w:t>
            </w:r>
          </w:p>
          <w:p>
            <w:pPr>
              <w:adjustRightInd w:val="0"/>
              <w:spacing w:line="360" w:lineRule="auto"/>
              <w:ind w:left="480"/>
              <w:rPr>
                <w:sz w:val="24"/>
              </w:rPr>
            </w:pPr>
            <w:r>
              <w:rPr>
                <w:rFonts w:hint="eastAsia"/>
                <w:sz w:val="24"/>
              </w:rPr>
              <w:t>⑤</w:t>
            </w:r>
            <w:r>
              <w:rPr>
                <w:sz w:val="24"/>
              </w:rPr>
              <w:t>废润滑油</w:t>
            </w:r>
          </w:p>
          <w:p>
            <w:pPr>
              <w:adjustRightInd w:val="0"/>
              <w:spacing w:line="336" w:lineRule="auto"/>
              <w:ind w:firstLine="480" w:firstLineChars="200"/>
              <w:rPr>
                <w:sz w:val="24"/>
              </w:rPr>
            </w:pPr>
            <w:r>
              <w:rPr>
                <w:sz w:val="24"/>
              </w:rPr>
              <w:t>项目</w:t>
            </w:r>
            <w:r>
              <w:rPr>
                <w:rFonts w:hint="eastAsia"/>
                <w:sz w:val="24"/>
              </w:rPr>
              <w:t>移动车辆在杨桥畔镇维修保养，</w:t>
            </w:r>
            <w:r>
              <w:rPr>
                <w:sz w:val="24"/>
              </w:rPr>
              <w:t>设备机械保养维护过程中产生少量废润滑油，属于危险废物，废物代码900-249-08，产生量约为0.4</w:t>
            </w:r>
            <w:r>
              <w:rPr>
                <w:rFonts w:hint="eastAsia"/>
                <w:sz w:val="24"/>
              </w:rPr>
              <w:t>5</w:t>
            </w:r>
            <w:r>
              <w:rPr>
                <w:sz w:val="24"/>
              </w:rPr>
              <w:t>t/a，使用专用容器盛装，存放于危废暂存</w:t>
            </w:r>
            <w:r>
              <w:rPr>
                <w:rFonts w:hint="eastAsia"/>
                <w:sz w:val="24"/>
              </w:rPr>
              <w:t>间内</w:t>
            </w:r>
            <w:r>
              <w:rPr>
                <w:sz w:val="24"/>
              </w:rPr>
              <w:t>，定期交由有资质单位处置。</w:t>
            </w:r>
          </w:p>
          <w:bookmarkEnd w:id="44"/>
          <w:p>
            <w:pPr>
              <w:adjustRightInd w:val="0"/>
              <w:spacing w:line="336" w:lineRule="auto"/>
              <w:ind w:firstLine="480" w:firstLineChars="200"/>
              <w:rPr>
                <w:sz w:val="24"/>
              </w:rPr>
            </w:pPr>
            <w:r>
              <w:rPr>
                <w:rFonts w:hint="eastAsia"/>
                <w:sz w:val="24"/>
              </w:rPr>
              <w:t>⑥废活性炭</w:t>
            </w:r>
          </w:p>
          <w:p>
            <w:pPr>
              <w:adjustRightInd w:val="0"/>
              <w:spacing w:line="336" w:lineRule="auto"/>
              <w:ind w:firstLine="480" w:firstLineChars="200"/>
              <w:rPr>
                <w:sz w:val="24"/>
              </w:rPr>
            </w:pPr>
            <w:r>
              <w:rPr>
                <w:rFonts w:hint="eastAsia"/>
                <w:kern w:val="0"/>
                <w:sz w:val="24"/>
                <w:u w:color="000000"/>
              </w:rPr>
              <w:t>项目非甲烷总烃产生量约为0.2675t/a，管道收集效率95%，两级活性炭吸附效率约7</w:t>
            </w:r>
            <w:r>
              <w:rPr>
                <w:kern w:val="0"/>
                <w:sz w:val="24"/>
                <w:u w:color="000000"/>
              </w:rPr>
              <w:t>5</w:t>
            </w:r>
            <w:r>
              <w:rPr>
                <w:rFonts w:hint="eastAsia"/>
                <w:kern w:val="0"/>
                <w:sz w:val="24"/>
                <w:u w:color="000000"/>
              </w:rPr>
              <w:t>%。经计算，活性炭吸附非甲烷总烃的量约为0.1901t/a，根据《简明通风设计手册》（中国建筑工业出版社），活性炭的有效吸附量为240g/kg，则本项目活性炭消耗量为0.792t/a，每年更换一次，则废活性炭产生量约为0.792t/a。根据《国家危险废物名录》（2021 年），废活性炭属于危险废物，危险废物编号为HW49（其他废物），废物代码为900-039-49（VOCs 治理过程产生的废活性炭），更换后暂存于危废暂存间，委托有资质单位处理。</w:t>
            </w:r>
          </w:p>
          <w:p>
            <w:pPr>
              <w:adjustRightInd w:val="0"/>
              <w:spacing w:line="336" w:lineRule="auto"/>
              <w:ind w:firstLine="480" w:firstLineChars="200"/>
              <w:rPr>
                <w:sz w:val="24"/>
              </w:rPr>
            </w:pPr>
            <w:r>
              <w:rPr>
                <w:rFonts w:hint="eastAsia"/>
                <w:sz w:val="24"/>
              </w:rPr>
              <w:t>（1）危险废物贮存要求：</w:t>
            </w:r>
          </w:p>
          <w:p>
            <w:pPr>
              <w:adjustRightInd w:val="0"/>
              <w:spacing w:line="336" w:lineRule="auto"/>
              <w:ind w:firstLine="480" w:firstLineChars="200"/>
              <w:rPr>
                <w:sz w:val="24"/>
              </w:rPr>
            </w:pPr>
            <w:r>
              <w:rPr>
                <w:rFonts w:hint="eastAsia"/>
                <w:sz w:val="24"/>
              </w:rPr>
              <w:t>①应当使用符合标准的容器盛装危险废物。</w:t>
            </w:r>
          </w:p>
          <w:p>
            <w:pPr>
              <w:adjustRightInd w:val="0"/>
              <w:spacing w:line="336" w:lineRule="auto"/>
              <w:ind w:firstLine="480" w:firstLineChars="200"/>
              <w:rPr>
                <w:sz w:val="24"/>
              </w:rPr>
            </w:pPr>
            <w:r>
              <w:rPr>
                <w:rFonts w:hint="eastAsia"/>
                <w:sz w:val="24"/>
              </w:rPr>
              <w:t>②装载危险废物的容器及材质要满足相应的强度要求。</w:t>
            </w:r>
          </w:p>
          <w:p>
            <w:pPr>
              <w:adjustRightInd w:val="0"/>
              <w:spacing w:line="336" w:lineRule="auto"/>
              <w:ind w:firstLine="480" w:firstLineChars="200"/>
              <w:rPr>
                <w:sz w:val="24"/>
              </w:rPr>
            </w:pPr>
            <w:r>
              <w:rPr>
                <w:rFonts w:hint="eastAsia"/>
                <w:sz w:val="24"/>
              </w:rPr>
              <w:t>③装载危险废物的容器必须完好无损。</w:t>
            </w:r>
          </w:p>
          <w:p>
            <w:pPr>
              <w:adjustRightInd w:val="0"/>
              <w:spacing w:line="336" w:lineRule="auto"/>
              <w:ind w:firstLine="480" w:firstLineChars="200"/>
              <w:rPr>
                <w:sz w:val="24"/>
              </w:rPr>
            </w:pPr>
            <w:r>
              <w:rPr>
                <w:rFonts w:hint="eastAsia"/>
                <w:sz w:val="24"/>
              </w:rPr>
              <w:t>④盛装危险废物的容器材质和衬里要与危险废物相容（不相互反应）；</w:t>
            </w:r>
          </w:p>
          <w:p>
            <w:pPr>
              <w:adjustRightInd w:val="0"/>
              <w:spacing w:line="336" w:lineRule="auto"/>
              <w:ind w:firstLine="480" w:firstLineChars="200"/>
              <w:rPr>
                <w:sz w:val="24"/>
              </w:rPr>
            </w:pPr>
            <w:r>
              <w:rPr>
                <w:rFonts w:hint="eastAsia"/>
                <w:sz w:val="24"/>
              </w:rPr>
              <w:t>⑤液体危险废物可注入开孔直径不超过70毫米并有放气孔的桶中。</w:t>
            </w:r>
          </w:p>
          <w:p>
            <w:pPr>
              <w:adjustRightInd w:val="0"/>
              <w:spacing w:line="336" w:lineRule="auto"/>
              <w:ind w:firstLine="480" w:firstLineChars="200"/>
              <w:rPr>
                <w:sz w:val="24"/>
              </w:rPr>
            </w:pPr>
            <w:r>
              <w:rPr>
                <w:rFonts w:hint="eastAsia"/>
                <w:sz w:val="24"/>
              </w:rPr>
              <w:t>（2）危险废物转移要求：</w:t>
            </w:r>
          </w:p>
          <w:p>
            <w:pPr>
              <w:adjustRightInd w:val="0"/>
              <w:spacing w:line="336" w:lineRule="auto"/>
              <w:ind w:firstLine="480" w:firstLineChars="200"/>
              <w:rPr>
                <w:sz w:val="24"/>
              </w:rPr>
            </w:pPr>
            <w:r>
              <w:rPr>
                <w:rFonts w:hint="eastAsia"/>
                <w:sz w:val="24"/>
              </w:rPr>
              <w:t>①建设单位在转移危险废物前，须按照国家有关规定报批危险废物转移计划；经批准后，应当向移出地环境保护行政主管部门申请领取联单。在危险废物转移前三日内报告移出地环境保护行政主管部门，并同时将预期到达时间报告接受地环境保护行政主管部门。</w:t>
            </w:r>
          </w:p>
          <w:p>
            <w:pPr>
              <w:adjustRightInd w:val="0"/>
              <w:spacing w:line="336" w:lineRule="auto"/>
              <w:ind w:firstLine="480" w:firstLineChars="200"/>
              <w:rPr>
                <w:sz w:val="24"/>
              </w:rPr>
            </w:pPr>
            <w:r>
              <w:rPr>
                <w:rFonts w:hint="eastAsia"/>
                <w:sz w:val="24"/>
              </w:rPr>
              <w:t>②建设单位每转移一次同类危险废物，应当填写一份联单。每次有多类危险废物的，应当按每一类危险废物填写一份联单。</w:t>
            </w:r>
          </w:p>
          <w:p>
            <w:pPr>
              <w:adjustRightInd w:val="0"/>
              <w:spacing w:line="336" w:lineRule="auto"/>
              <w:ind w:firstLine="480" w:firstLineChars="200"/>
              <w:rPr>
                <w:sz w:val="24"/>
              </w:rPr>
            </w:pPr>
            <w:r>
              <w:rPr>
                <w:rFonts w:hint="eastAsia"/>
                <w:sz w:val="24"/>
              </w:rPr>
              <w:t>③建设单位应当如实填写联单中产生单位栏目，并加盖公章，经交付危险废物运输单位核实验收签字后，将联单第一联副联自留存档，将联单第二联交移出地环境保护行政主管部门，联单第一联正联及其余各联交付运输单位随危险废物转移运行。</w:t>
            </w:r>
          </w:p>
          <w:p>
            <w:pPr>
              <w:adjustRightInd w:val="0"/>
              <w:spacing w:line="336" w:lineRule="auto"/>
              <w:ind w:firstLine="480" w:firstLineChars="200"/>
              <w:rPr>
                <w:sz w:val="24"/>
              </w:rPr>
            </w:pPr>
            <w:r>
              <w:rPr>
                <w:rFonts w:hint="eastAsia"/>
                <w:sz w:val="24"/>
              </w:rPr>
              <w:t>（3）危险废物日常管理要求：</w:t>
            </w:r>
          </w:p>
          <w:p>
            <w:pPr>
              <w:adjustRightInd w:val="0"/>
              <w:spacing w:line="336" w:lineRule="auto"/>
              <w:ind w:firstLine="480" w:firstLineChars="200"/>
              <w:rPr>
                <w:sz w:val="24"/>
              </w:rPr>
            </w:pPr>
            <w:r>
              <w:rPr>
                <w:rFonts w:hint="eastAsia"/>
                <w:sz w:val="24"/>
              </w:rPr>
              <w:t>①由专人负责危废的日常收集和管理，对任何进出临时贮存所的危废都要记录在案，做好危险废物排放量及处置记录。</w:t>
            </w:r>
          </w:p>
          <w:p>
            <w:pPr>
              <w:adjustRightInd w:val="0"/>
              <w:spacing w:line="336" w:lineRule="auto"/>
              <w:ind w:firstLine="480" w:firstLineChars="200"/>
              <w:rPr>
                <w:sz w:val="24"/>
              </w:rPr>
            </w:pPr>
            <w:r>
              <w:rPr>
                <w:rFonts w:hint="eastAsia"/>
                <w:sz w:val="24"/>
              </w:rPr>
              <w:t>②危险废物运输应由持有危险废物经营许可证的单位按照其许可证的经营范围组织实施，承担危险废物运输的单位应获得交通运输部门颁发的危险货物运输资质。</w:t>
            </w:r>
          </w:p>
          <w:p>
            <w:pPr>
              <w:widowControl/>
              <w:spacing w:line="360" w:lineRule="auto"/>
              <w:ind w:firstLine="482"/>
              <w:textAlignment w:val="baseline"/>
              <w:rPr>
                <w:sz w:val="24"/>
              </w:rPr>
            </w:pPr>
            <w:r>
              <w:rPr>
                <w:rFonts w:hint="eastAsia"/>
                <w:sz w:val="24"/>
              </w:rPr>
              <w:t>③危险废物处置或利用单位必须具备相应的能力和资质，不允许将危险废物出售给没有加工或使用能力的单位和个人，废物处理之前需要对其生产技术、设备、加工处理能力进行考察，保证不会产生二次污染，废物处理之后还要进行跟踪，以便及时得到反馈信息并处理遗留问题。</w:t>
            </w:r>
          </w:p>
          <w:p>
            <w:pPr>
              <w:tabs>
                <w:tab w:val="left" w:pos="4404"/>
              </w:tabs>
              <w:jc w:val="center"/>
              <w:rPr>
                <w:b/>
                <w:bCs/>
              </w:rPr>
            </w:pPr>
            <w:r>
              <w:rPr>
                <w:rFonts w:hint="eastAsia"/>
                <w:b/>
                <w:bCs/>
              </w:rPr>
              <w:t>表4</w:t>
            </w:r>
            <w:r>
              <w:rPr>
                <w:b/>
                <w:bCs/>
              </w:rPr>
              <w:t>-</w:t>
            </w:r>
            <w:r>
              <w:rPr>
                <w:rFonts w:hint="eastAsia"/>
                <w:b/>
                <w:bCs/>
              </w:rPr>
              <w:t>7</w:t>
            </w:r>
            <w:r>
              <w:rPr>
                <w:b/>
                <w:bCs/>
              </w:rPr>
              <w:t xml:space="preserve"> </w:t>
            </w:r>
            <w:r>
              <w:rPr>
                <w:rFonts w:hint="eastAsia"/>
                <w:b/>
                <w:bCs/>
              </w:rPr>
              <w:t>项目危险废物处置情况一览表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776"/>
              <w:gridCol w:w="1196"/>
              <w:gridCol w:w="899"/>
              <w:gridCol w:w="636"/>
              <w:gridCol w:w="508"/>
              <w:gridCol w:w="561"/>
              <w:gridCol w:w="1045"/>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pPr>
                  <w:r>
                    <w:rPr>
                      <w:rFonts w:hint="eastAsia"/>
                    </w:rPr>
                    <w:t>名称</w:t>
                  </w:r>
                </w:p>
              </w:tc>
              <w:tc>
                <w:tcPr>
                  <w:tcW w:w="475" w:type="pct"/>
                  <w:vAlign w:val="center"/>
                </w:tcPr>
                <w:p>
                  <w:pPr>
                    <w:jc w:val="center"/>
                  </w:pPr>
                  <w:r>
                    <w:rPr>
                      <w:rFonts w:hint="eastAsia"/>
                    </w:rPr>
                    <w:t>危废类别</w:t>
                  </w:r>
                </w:p>
              </w:tc>
              <w:tc>
                <w:tcPr>
                  <w:tcW w:w="704" w:type="pct"/>
                  <w:vAlign w:val="center"/>
                </w:tcPr>
                <w:p>
                  <w:pPr>
                    <w:jc w:val="center"/>
                  </w:pPr>
                  <w:r>
                    <w:rPr>
                      <w:rFonts w:hint="eastAsia"/>
                    </w:rPr>
                    <w:t>危废代码</w:t>
                  </w:r>
                </w:p>
              </w:tc>
              <w:tc>
                <w:tcPr>
                  <w:tcW w:w="551" w:type="pct"/>
                  <w:vAlign w:val="center"/>
                </w:tcPr>
                <w:p>
                  <w:pPr>
                    <w:jc w:val="center"/>
                  </w:pPr>
                  <w:r>
                    <w:rPr>
                      <w:rFonts w:hint="eastAsia"/>
                    </w:rPr>
                    <w:t>产生量</w:t>
                  </w:r>
                </w:p>
              </w:tc>
              <w:tc>
                <w:tcPr>
                  <w:tcW w:w="423" w:type="pct"/>
                  <w:vAlign w:val="center"/>
                </w:tcPr>
                <w:p>
                  <w:pPr>
                    <w:jc w:val="center"/>
                  </w:pPr>
                  <w:r>
                    <w:rPr>
                      <w:rFonts w:hint="eastAsia"/>
                    </w:rPr>
                    <w:t>产生装置</w:t>
                  </w:r>
                </w:p>
              </w:tc>
              <w:tc>
                <w:tcPr>
                  <w:tcW w:w="344" w:type="pct"/>
                  <w:vAlign w:val="center"/>
                </w:tcPr>
                <w:p>
                  <w:pPr>
                    <w:jc w:val="center"/>
                  </w:pPr>
                  <w:r>
                    <w:rPr>
                      <w:rFonts w:hint="eastAsia"/>
                    </w:rPr>
                    <w:t>形态</w:t>
                  </w:r>
                </w:p>
              </w:tc>
              <w:tc>
                <w:tcPr>
                  <w:tcW w:w="377" w:type="pct"/>
                  <w:vAlign w:val="center"/>
                </w:tcPr>
                <w:p>
                  <w:pPr>
                    <w:jc w:val="center"/>
                  </w:pPr>
                  <w:r>
                    <w:rPr>
                      <w:rFonts w:hint="eastAsia"/>
                    </w:rPr>
                    <w:t>危险特性</w:t>
                  </w:r>
                </w:p>
              </w:tc>
              <w:tc>
                <w:tcPr>
                  <w:tcW w:w="675" w:type="pct"/>
                  <w:vAlign w:val="center"/>
                </w:tcPr>
                <w:p>
                  <w:pPr>
                    <w:jc w:val="center"/>
                  </w:pPr>
                  <w:r>
                    <w:rPr>
                      <w:rFonts w:hint="eastAsia"/>
                    </w:rPr>
                    <w:t>污染防治措施</w:t>
                  </w:r>
                </w:p>
              </w:tc>
              <w:tc>
                <w:tcPr>
                  <w:tcW w:w="1079" w:type="pct"/>
                  <w:vAlign w:val="center"/>
                </w:tcPr>
                <w:p>
                  <w:pPr>
                    <w:jc w:val="center"/>
                  </w:pPr>
                  <w:r>
                    <w:rPr>
                      <w:rFonts w:hint="eastAsia"/>
                    </w:rPr>
                    <w:t>环境管理要求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pPr>
                  <w:r>
                    <w:rPr>
                      <w:rFonts w:hint="eastAsia"/>
                    </w:rPr>
                    <w:t>废润滑油</w:t>
                  </w:r>
                </w:p>
              </w:tc>
              <w:tc>
                <w:tcPr>
                  <w:tcW w:w="457" w:type="pct"/>
                  <w:vAlign w:val="center"/>
                </w:tcPr>
                <w:p>
                  <w:pPr>
                    <w:jc w:val="center"/>
                  </w:pPr>
                  <w:r>
                    <w:t>HW08</w:t>
                  </w:r>
                </w:p>
              </w:tc>
              <w:tc>
                <w:tcPr>
                  <w:tcW w:w="704" w:type="pct"/>
                  <w:vAlign w:val="center"/>
                </w:tcPr>
                <w:p>
                  <w:pPr>
                    <w:jc w:val="center"/>
                  </w:pPr>
                  <w:r>
                    <w:t>900-</w:t>
                  </w:r>
                  <w:r>
                    <w:rPr>
                      <w:rFonts w:hint="eastAsia"/>
                    </w:rPr>
                    <w:t>214</w:t>
                  </w:r>
                  <w:r>
                    <w:t>-08</w:t>
                  </w:r>
                </w:p>
              </w:tc>
              <w:tc>
                <w:tcPr>
                  <w:tcW w:w="504" w:type="pct"/>
                  <w:vAlign w:val="center"/>
                </w:tcPr>
                <w:p>
                  <w:pPr>
                    <w:jc w:val="center"/>
                  </w:pPr>
                  <w:r>
                    <w:t>0.4</w:t>
                  </w:r>
                  <w:r>
                    <w:rPr>
                      <w:rFonts w:hint="eastAsia"/>
                    </w:rPr>
                    <w:t>5</w:t>
                  </w:r>
                  <w:r>
                    <w:t>t/a</w:t>
                  </w:r>
                </w:p>
              </w:tc>
              <w:tc>
                <w:tcPr>
                  <w:tcW w:w="423" w:type="pct"/>
                  <w:vAlign w:val="center"/>
                </w:tcPr>
                <w:p>
                  <w:pPr>
                    <w:jc w:val="center"/>
                  </w:pPr>
                  <w:r>
                    <w:rPr>
                      <w:rFonts w:hint="eastAsia"/>
                    </w:rPr>
                    <w:t>设备维修</w:t>
                  </w:r>
                </w:p>
              </w:tc>
              <w:tc>
                <w:tcPr>
                  <w:tcW w:w="344" w:type="pct"/>
                  <w:vAlign w:val="center"/>
                </w:tcPr>
                <w:p>
                  <w:pPr>
                    <w:jc w:val="center"/>
                  </w:pPr>
                  <w:r>
                    <w:rPr>
                      <w:rFonts w:hint="eastAsia"/>
                    </w:rPr>
                    <w:t>液态</w:t>
                  </w:r>
                </w:p>
              </w:tc>
              <w:tc>
                <w:tcPr>
                  <w:tcW w:w="377" w:type="pct"/>
                  <w:vAlign w:val="center"/>
                </w:tcPr>
                <w:p>
                  <w:pPr>
                    <w:jc w:val="center"/>
                  </w:pPr>
                  <w:r>
                    <w:rPr>
                      <w:rFonts w:hint="eastAsia"/>
                    </w:rPr>
                    <w:t>T</w:t>
                  </w:r>
                </w:p>
              </w:tc>
              <w:tc>
                <w:tcPr>
                  <w:tcW w:w="675" w:type="pct"/>
                  <w:vMerge w:val="restart"/>
                  <w:vAlign w:val="center"/>
                </w:tcPr>
                <w:p>
                  <w:r>
                    <w:rPr>
                      <w:rFonts w:hint="eastAsia"/>
                    </w:rPr>
                    <w:t>暂存危废暂存间，委托有资质的单位处理</w:t>
                  </w:r>
                </w:p>
              </w:tc>
              <w:tc>
                <w:tcPr>
                  <w:tcW w:w="1143" w:type="pct"/>
                  <w:vMerge w:val="restart"/>
                  <w:vAlign w:val="center"/>
                </w:tcPr>
                <w:p>
                  <w:r>
                    <w:rPr>
                      <w:rFonts w:hint="eastAsia"/>
                    </w:rPr>
                    <w:t>《危险废物贮存污染控制标准》（GB18597-2023）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rPr>
                      <w:szCs w:val="21"/>
                    </w:rPr>
                  </w:pPr>
                  <w:r>
                    <w:rPr>
                      <w:rFonts w:hint="eastAsia"/>
                      <w:szCs w:val="21"/>
                    </w:rPr>
                    <w:t>废活性炭</w:t>
                  </w:r>
                </w:p>
              </w:tc>
              <w:tc>
                <w:tcPr>
                  <w:tcW w:w="475" w:type="pct"/>
                  <w:vAlign w:val="center"/>
                </w:tcPr>
                <w:p>
                  <w:pPr>
                    <w:jc w:val="center"/>
                  </w:pPr>
                  <w:r>
                    <w:t>HW49</w:t>
                  </w:r>
                </w:p>
              </w:tc>
              <w:tc>
                <w:tcPr>
                  <w:tcW w:w="704" w:type="pct"/>
                  <w:vAlign w:val="center"/>
                </w:tcPr>
                <w:p>
                  <w:pPr>
                    <w:jc w:val="center"/>
                  </w:pPr>
                  <w:r>
                    <w:rPr>
                      <w:rFonts w:hint="eastAsia"/>
                      <w:kern w:val="0"/>
                      <w:u w:color="000000"/>
                    </w:rPr>
                    <w:t>900-039-49</w:t>
                  </w:r>
                </w:p>
              </w:tc>
              <w:tc>
                <w:tcPr>
                  <w:tcW w:w="551" w:type="pct"/>
                  <w:vAlign w:val="center"/>
                </w:tcPr>
                <w:p>
                  <w:pPr>
                    <w:jc w:val="center"/>
                  </w:pPr>
                  <w:r>
                    <w:rPr>
                      <w:rFonts w:hint="eastAsia"/>
                    </w:rPr>
                    <w:t>0.792</w:t>
                  </w:r>
                  <w:r>
                    <w:t>t/a</w:t>
                  </w:r>
                </w:p>
              </w:tc>
              <w:tc>
                <w:tcPr>
                  <w:tcW w:w="423" w:type="pct"/>
                  <w:vAlign w:val="center"/>
                </w:tcPr>
                <w:p>
                  <w:pPr>
                    <w:jc w:val="center"/>
                  </w:pPr>
                  <w:r>
                    <w:rPr>
                      <w:rFonts w:hint="eastAsia"/>
                    </w:rPr>
                    <w:t>有机废气处理</w:t>
                  </w:r>
                </w:p>
              </w:tc>
              <w:tc>
                <w:tcPr>
                  <w:tcW w:w="344" w:type="pct"/>
                  <w:vAlign w:val="center"/>
                </w:tcPr>
                <w:p>
                  <w:pPr>
                    <w:jc w:val="center"/>
                  </w:pPr>
                  <w:r>
                    <w:rPr>
                      <w:rFonts w:hint="eastAsia"/>
                    </w:rPr>
                    <w:t>固态</w:t>
                  </w:r>
                </w:p>
              </w:tc>
              <w:tc>
                <w:tcPr>
                  <w:tcW w:w="377" w:type="pct"/>
                  <w:vAlign w:val="center"/>
                </w:tcPr>
                <w:p>
                  <w:pPr>
                    <w:jc w:val="center"/>
                  </w:pPr>
                  <w:r>
                    <w:rPr>
                      <w:rFonts w:hint="eastAsia"/>
                    </w:rPr>
                    <w:t>T</w:t>
                  </w:r>
                </w:p>
              </w:tc>
              <w:tc>
                <w:tcPr>
                  <w:tcW w:w="675" w:type="pct"/>
                  <w:vMerge w:val="continue"/>
                  <w:vAlign w:val="center"/>
                </w:tcPr>
                <w:p/>
              </w:tc>
              <w:tc>
                <w:tcPr>
                  <w:tcW w:w="1079" w:type="pct"/>
                  <w:vMerge w:val="continue"/>
                  <w:vAlign w:val="center"/>
                </w:tcPr>
                <w:p/>
              </w:tc>
            </w:tr>
          </w:tbl>
          <w:p>
            <w:pPr>
              <w:pStyle w:val="29"/>
              <w:widowControl w:val="0"/>
              <w:snapToGrid/>
              <w:spacing w:before="0" w:after="0" w:line="240" w:lineRule="auto"/>
              <w:ind w:right="0" w:firstLine="0" w:firstLineChars="0"/>
              <w:jc w:val="center"/>
              <w:rPr>
                <w:b/>
                <w:bCs/>
                <w:sz w:val="21"/>
                <w:szCs w:val="32"/>
              </w:rPr>
            </w:pPr>
            <w:r>
              <w:rPr>
                <w:b/>
                <w:bCs/>
                <w:sz w:val="21"/>
                <w:szCs w:val="32"/>
              </w:rPr>
              <w:t>表4-</w:t>
            </w:r>
            <w:r>
              <w:rPr>
                <w:rFonts w:hint="eastAsia"/>
                <w:b/>
                <w:bCs/>
                <w:sz w:val="21"/>
                <w:szCs w:val="32"/>
              </w:rPr>
              <w:t xml:space="preserve">8  </w:t>
            </w:r>
            <w:r>
              <w:rPr>
                <w:b/>
                <w:bCs/>
                <w:sz w:val="21"/>
                <w:szCs w:val="32"/>
              </w:rPr>
              <w:t>固体废物处置情况一览表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955"/>
              <w:gridCol w:w="1094"/>
              <w:gridCol w:w="1252"/>
              <w:gridCol w:w="1851"/>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4" w:type="pct"/>
                  <w:vAlign w:val="center"/>
                </w:tcPr>
                <w:p>
                  <w:pPr>
                    <w:jc w:val="center"/>
                  </w:pPr>
                  <w:r>
                    <w:t>类别</w:t>
                  </w:r>
                </w:p>
              </w:tc>
              <w:tc>
                <w:tcPr>
                  <w:tcW w:w="588" w:type="pct"/>
                  <w:vAlign w:val="center"/>
                </w:tcPr>
                <w:p>
                  <w:pPr>
                    <w:jc w:val="center"/>
                  </w:pPr>
                  <w:r>
                    <w:t>名称</w:t>
                  </w:r>
                </w:p>
              </w:tc>
              <w:tc>
                <w:tcPr>
                  <w:tcW w:w="674" w:type="pct"/>
                  <w:vAlign w:val="center"/>
                </w:tcPr>
                <w:p>
                  <w:pPr>
                    <w:jc w:val="center"/>
                  </w:pPr>
                  <w:r>
                    <w:rPr>
                      <w:rFonts w:hint="eastAsia"/>
                    </w:rPr>
                    <w:t>产生环节</w:t>
                  </w:r>
                </w:p>
              </w:tc>
              <w:tc>
                <w:tcPr>
                  <w:tcW w:w="771" w:type="pct"/>
                  <w:vAlign w:val="center"/>
                </w:tcPr>
                <w:p>
                  <w:pPr>
                    <w:jc w:val="center"/>
                  </w:pPr>
                  <w:r>
                    <w:t>产生量（t/a）</w:t>
                  </w:r>
                </w:p>
              </w:tc>
              <w:tc>
                <w:tcPr>
                  <w:tcW w:w="1140" w:type="pct"/>
                  <w:vAlign w:val="center"/>
                </w:tcPr>
                <w:p>
                  <w:pPr>
                    <w:jc w:val="center"/>
                  </w:pPr>
                  <w:r>
                    <w:rPr>
                      <w:rFonts w:hint="eastAsia"/>
                    </w:rPr>
                    <w:t>利用处置方式及去向</w:t>
                  </w:r>
                </w:p>
              </w:tc>
              <w:tc>
                <w:tcPr>
                  <w:tcW w:w="1354" w:type="pct"/>
                  <w:vAlign w:val="center"/>
                </w:tcPr>
                <w:p>
                  <w:pPr>
                    <w:jc w:val="center"/>
                  </w:pPr>
                  <w:r>
                    <w:rPr>
                      <w:rFonts w:hint="eastAsia"/>
                    </w:rPr>
                    <w:t>环境管理要求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4" w:type="pct"/>
                  <w:vAlign w:val="center"/>
                </w:tcPr>
                <w:p>
                  <w:pPr>
                    <w:jc w:val="center"/>
                  </w:pPr>
                  <w:r>
                    <w:rPr>
                      <w:rFonts w:hint="eastAsia"/>
                    </w:rPr>
                    <w:t>生活垃圾</w:t>
                  </w:r>
                </w:p>
              </w:tc>
              <w:tc>
                <w:tcPr>
                  <w:tcW w:w="588" w:type="pct"/>
                  <w:vAlign w:val="center"/>
                </w:tcPr>
                <w:p>
                  <w:pPr>
                    <w:jc w:val="center"/>
                    <w:rPr>
                      <w:szCs w:val="21"/>
                    </w:rPr>
                  </w:pPr>
                  <w:r>
                    <w:rPr>
                      <w:szCs w:val="21"/>
                    </w:rPr>
                    <w:t>生活垃圾</w:t>
                  </w:r>
                </w:p>
              </w:tc>
              <w:tc>
                <w:tcPr>
                  <w:tcW w:w="674" w:type="pct"/>
                  <w:vAlign w:val="center"/>
                </w:tcPr>
                <w:p>
                  <w:pPr>
                    <w:jc w:val="center"/>
                    <w:rPr>
                      <w:szCs w:val="21"/>
                    </w:rPr>
                  </w:pPr>
                  <w:r>
                    <w:rPr>
                      <w:szCs w:val="21"/>
                    </w:rPr>
                    <w:t>职工生活</w:t>
                  </w:r>
                </w:p>
              </w:tc>
              <w:tc>
                <w:tcPr>
                  <w:tcW w:w="771" w:type="pct"/>
                  <w:vAlign w:val="center"/>
                </w:tcPr>
                <w:p>
                  <w:pPr>
                    <w:jc w:val="center"/>
                    <w:rPr>
                      <w:szCs w:val="21"/>
                    </w:rPr>
                  </w:pPr>
                  <w:r>
                    <w:rPr>
                      <w:szCs w:val="21"/>
                    </w:rPr>
                    <w:t>33</w:t>
                  </w:r>
                </w:p>
              </w:tc>
              <w:tc>
                <w:tcPr>
                  <w:tcW w:w="1140" w:type="pct"/>
                  <w:vAlign w:val="center"/>
                </w:tcPr>
                <w:p>
                  <w:pPr>
                    <w:jc w:val="center"/>
                    <w:rPr>
                      <w:szCs w:val="21"/>
                    </w:rPr>
                  </w:pPr>
                  <w:r>
                    <w:rPr>
                      <w:rFonts w:hint="eastAsia"/>
                      <w:szCs w:val="21"/>
                    </w:rPr>
                    <w:t>由</w:t>
                  </w:r>
                  <w:r>
                    <w:rPr>
                      <w:szCs w:val="21"/>
                    </w:rPr>
                    <w:t>环卫部门清运处置</w:t>
                  </w:r>
                </w:p>
              </w:tc>
              <w:tc>
                <w:tcPr>
                  <w:tcW w:w="1354" w:type="pct"/>
                  <w:vAlign w:val="center"/>
                </w:tcPr>
                <w:p>
                  <w:pPr>
                    <w:jc w:val="center"/>
                    <w:rPr>
                      <w:lang w:val="zh-CN"/>
                    </w:rPr>
                  </w:pPr>
                  <w:r>
                    <w:rPr>
                      <w:szCs w:val="21"/>
                    </w:rPr>
                    <w:t>《生活垃圾填埋场污染控制标准</w:t>
                  </w:r>
                  <w:r>
                    <w:rPr>
                      <w:rFonts w:hint="eastAsia"/>
                      <w:szCs w:val="21"/>
                    </w:rPr>
                    <w:t>（</w:t>
                  </w:r>
                  <w:r>
                    <w:rPr>
                      <w:szCs w:val="21"/>
                    </w:rPr>
                    <w:t>GB16889-2008</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74" w:type="pct"/>
                  <w:vMerge w:val="restart"/>
                  <w:vAlign w:val="center"/>
                </w:tcPr>
                <w:p>
                  <w:pPr>
                    <w:jc w:val="center"/>
                  </w:pPr>
                  <w:r>
                    <w:rPr>
                      <w:rFonts w:hint="eastAsia"/>
                    </w:rPr>
                    <w:t>一般固废</w:t>
                  </w:r>
                </w:p>
              </w:tc>
              <w:tc>
                <w:tcPr>
                  <w:tcW w:w="588" w:type="pct"/>
                  <w:vAlign w:val="center"/>
                </w:tcPr>
                <w:p>
                  <w:pPr>
                    <w:jc w:val="center"/>
                    <w:rPr>
                      <w:szCs w:val="21"/>
                    </w:rPr>
                  </w:pPr>
                  <w:r>
                    <w:rPr>
                      <w:rFonts w:hint="eastAsia"/>
                      <w:szCs w:val="21"/>
                    </w:rPr>
                    <w:t>除尘灰</w:t>
                  </w:r>
                </w:p>
              </w:tc>
              <w:tc>
                <w:tcPr>
                  <w:tcW w:w="674" w:type="pct"/>
                  <w:vMerge w:val="restart"/>
                  <w:vAlign w:val="center"/>
                </w:tcPr>
                <w:p>
                  <w:pPr>
                    <w:jc w:val="center"/>
                    <w:rPr>
                      <w:szCs w:val="21"/>
                    </w:rPr>
                  </w:pPr>
                  <w:r>
                    <w:rPr>
                      <w:rFonts w:hint="eastAsia"/>
                      <w:szCs w:val="21"/>
                    </w:rPr>
                    <w:t>生产过程</w:t>
                  </w:r>
                </w:p>
              </w:tc>
              <w:tc>
                <w:tcPr>
                  <w:tcW w:w="771" w:type="pct"/>
                  <w:vAlign w:val="center"/>
                </w:tcPr>
                <w:p>
                  <w:pPr>
                    <w:jc w:val="center"/>
                    <w:rPr>
                      <w:szCs w:val="21"/>
                    </w:rPr>
                  </w:pPr>
                  <w:r>
                    <w:rPr>
                      <w:szCs w:val="21"/>
                    </w:rPr>
                    <w:t>6.24</w:t>
                  </w:r>
                </w:p>
              </w:tc>
              <w:tc>
                <w:tcPr>
                  <w:tcW w:w="1140" w:type="pct"/>
                  <w:vAlign w:val="center"/>
                </w:tcPr>
                <w:p>
                  <w:pPr>
                    <w:jc w:val="center"/>
                    <w:rPr>
                      <w:szCs w:val="21"/>
                    </w:rPr>
                  </w:pPr>
                  <w:r>
                    <w:rPr>
                      <w:rFonts w:hint="eastAsia"/>
                      <w:szCs w:val="21"/>
                    </w:rPr>
                    <w:t>回用生产</w:t>
                  </w:r>
                </w:p>
              </w:tc>
              <w:tc>
                <w:tcPr>
                  <w:tcW w:w="1354" w:type="pct"/>
                  <w:vMerge w:val="restart"/>
                  <w:vAlign w:val="center"/>
                </w:tcPr>
                <w:p>
                  <w:pPr>
                    <w:jc w:val="center"/>
                  </w:pPr>
                  <w:r>
                    <w:rPr>
                      <w:szCs w:val="21"/>
                    </w:rPr>
                    <w:t>《一般工业固体废物贮存</w:t>
                  </w:r>
                  <w:r>
                    <w:rPr>
                      <w:rFonts w:hint="eastAsia"/>
                      <w:szCs w:val="21"/>
                    </w:rPr>
                    <w:t>和填埋污染控制标准</w:t>
                  </w:r>
                  <w:r>
                    <w:rPr>
                      <w:szCs w:val="21"/>
                    </w:rPr>
                    <w:t>》</w:t>
                  </w:r>
                  <w:r>
                    <w:rPr>
                      <w:rFonts w:hint="eastAsia"/>
                      <w:szCs w:val="21"/>
                    </w:rPr>
                    <w:t>（</w:t>
                  </w:r>
                  <w:r>
                    <w:rPr>
                      <w:szCs w:val="21"/>
                    </w:rPr>
                    <w:t>GB18599-20</w:t>
                  </w: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74" w:type="pct"/>
                  <w:vMerge w:val="continue"/>
                  <w:vAlign w:val="center"/>
                </w:tcPr>
                <w:p>
                  <w:pPr>
                    <w:jc w:val="center"/>
                  </w:pPr>
                </w:p>
              </w:tc>
              <w:tc>
                <w:tcPr>
                  <w:tcW w:w="588" w:type="pct"/>
                  <w:vAlign w:val="center"/>
                </w:tcPr>
                <w:p>
                  <w:pPr>
                    <w:jc w:val="center"/>
                    <w:rPr>
                      <w:szCs w:val="21"/>
                    </w:rPr>
                  </w:pPr>
                  <w:r>
                    <w:rPr>
                      <w:rFonts w:hint="eastAsia"/>
                      <w:szCs w:val="21"/>
                    </w:rPr>
                    <w:t>废丝及不合格成品</w:t>
                  </w:r>
                </w:p>
              </w:tc>
              <w:tc>
                <w:tcPr>
                  <w:tcW w:w="674" w:type="pct"/>
                  <w:vMerge w:val="continue"/>
                  <w:vAlign w:val="center"/>
                </w:tcPr>
                <w:p>
                  <w:pPr>
                    <w:jc w:val="center"/>
                    <w:rPr>
                      <w:szCs w:val="21"/>
                    </w:rPr>
                  </w:pPr>
                </w:p>
              </w:tc>
              <w:tc>
                <w:tcPr>
                  <w:tcW w:w="771" w:type="pct"/>
                  <w:vAlign w:val="center"/>
                </w:tcPr>
                <w:p>
                  <w:pPr>
                    <w:jc w:val="center"/>
                    <w:rPr>
                      <w:szCs w:val="21"/>
                    </w:rPr>
                  </w:pPr>
                  <w:r>
                    <w:rPr>
                      <w:rFonts w:hint="eastAsia"/>
                      <w:szCs w:val="21"/>
                    </w:rPr>
                    <w:t>3</w:t>
                  </w:r>
                </w:p>
              </w:tc>
              <w:tc>
                <w:tcPr>
                  <w:tcW w:w="1140" w:type="pct"/>
                  <w:vAlign w:val="center"/>
                </w:tcPr>
                <w:p>
                  <w:pPr>
                    <w:jc w:val="center"/>
                    <w:rPr>
                      <w:szCs w:val="21"/>
                    </w:rPr>
                  </w:pPr>
                  <w:r>
                    <w:rPr>
                      <w:rFonts w:hint="eastAsia"/>
                      <w:szCs w:val="21"/>
                    </w:rPr>
                    <w:t>回用生产</w:t>
                  </w:r>
                </w:p>
              </w:tc>
              <w:tc>
                <w:tcPr>
                  <w:tcW w:w="1354"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74" w:type="pct"/>
                  <w:vMerge w:val="continue"/>
                  <w:vAlign w:val="center"/>
                </w:tcPr>
                <w:p>
                  <w:pPr>
                    <w:jc w:val="center"/>
                  </w:pPr>
                </w:p>
              </w:tc>
              <w:tc>
                <w:tcPr>
                  <w:tcW w:w="588" w:type="pct"/>
                  <w:vAlign w:val="center"/>
                </w:tcPr>
                <w:p>
                  <w:pPr>
                    <w:jc w:val="center"/>
                    <w:rPr>
                      <w:szCs w:val="21"/>
                    </w:rPr>
                  </w:pPr>
                  <w:r>
                    <w:rPr>
                      <w:rFonts w:hint="eastAsia"/>
                      <w:szCs w:val="21"/>
                    </w:rPr>
                    <w:t>废包装桶</w:t>
                  </w:r>
                </w:p>
              </w:tc>
              <w:tc>
                <w:tcPr>
                  <w:tcW w:w="674" w:type="pct"/>
                  <w:vMerge w:val="continue"/>
                  <w:vAlign w:val="center"/>
                </w:tcPr>
                <w:p>
                  <w:pPr>
                    <w:jc w:val="center"/>
                    <w:rPr>
                      <w:szCs w:val="21"/>
                    </w:rPr>
                  </w:pPr>
                </w:p>
              </w:tc>
              <w:tc>
                <w:tcPr>
                  <w:tcW w:w="771" w:type="pct"/>
                  <w:vAlign w:val="center"/>
                </w:tcPr>
                <w:p>
                  <w:pPr>
                    <w:jc w:val="center"/>
                    <w:rPr>
                      <w:szCs w:val="21"/>
                    </w:rPr>
                  </w:pPr>
                  <w:r>
                    <w:rPr>
                      <w:rFonts w:hint="eastAsia"/>
                      <w:szCs w:val="21"/>
                    </w:rPr>
                    <w:t>3</w:t>
                  </w:r>
                  <w:r>
                    <w:rPr>
                      <w:szCs w:val="21"/>
                    </w:rPr>
                    <w:t>.2</w:t>
                  </w:r>
                </w:p>
              </w:tc>
              <w:tc>
                <w:tcPr>
                  <w:tcW w:w="1140" w:type="pct"/>
                  <w:vAlign w:val="center"/>
                </w:tcPr>
                <w:p>
                  <w:pPr>
                    <w:jc w:val="center"/>
                    <w:rPr>
                      <w:szCs w:val="21"/>
                    </w:rPr>
                  </w:pPr>
                  <w:r>
                    <w:rPr>
                      <w:szCs w:val="21"/>
                    </w:rPr>
                    <w:t>由厂家回收利用</w:t>
                  </w:r>
                </w:p>
              </w:tc>
              <w:tc>
                <w:tcPr>
                  <w:tcW w:w="1354"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74" w:type="pct"/>
                  <w:vMerge w:val="continue"/>
                  <w:vAlign w:val="center"/>
                </w:tcPr>
                <w:p>
                  <w:pPr>
                    <w:jc w:val="center"/>
                  </w:pPr>
                </w:p>
              </w:tc>
              <w:tc>
                <w:tcPr>
                  <w:tcW w:w="588" w:type="pct"/>
                  <w:vAlign w:val="center"/>
                </w:tcPr>
                <w:p>
                  <w:pPr>
                    <w:jc w:val="center"/>
                    <w:rPr>
                      <w:szCs w:val="21"/>
                    </w:rPr>
                  </w:pPr>
                  <w:r>
                    <w:rPr>
                      <w:szCs w:val="21"/>
                    </w:rPr>
                    <w:t>废包装纸箱</w:t>
                  </w:r>
                </w:p>
              </w:tc>
              <w:tc>
                <w:tcPr>
                  <w:tcW w:w="674" w:type="pct"/>
                  <w:vMerge w:val="continue"/>
                  <w:vAlign w:val="center"/>
                </w:tcPr>
                <w:p>
                  <w:pPr>
                    <w:jc w:val="center"/>
                    <w:rPr>
                      <w:szCs w:val="21"/>
                    </w:rPr>
                  </w:pPr>
                </w:p>
              </w:tc>
              <w:tc>
                <w:tcPr>
                  <w:tcW w:w="771" w:type="pct"/>
                  <w:vAlign w:val="center"/>
                </w:tcPr>
                <w:p>
                  <w:pPr>
                    <w:jc w:val="center"/>
                    <w:rPr>
                      <w:szCs w:val="21"/>
                    </w:rPr>
                  </w:pPr>
                  <w:r>
                    <w:rPr>
                      <w:rFonts w:hint="eastAsia"/>
                      <w:szCs w:val="21"/>
                    </w:rPr>
                    <w:t>1</w:t>
                  </w:r>
                  <w:r>
                    <w:rPr>
                      <w:szCs w:val="21"/>
                    </w:rPr>
                    <w:t>.68</w:t>
                  </w:r>
                </w:p>
              </w:tc>
              <w:tc>
                <w:tcPr>
                  <w:tcW w:w="1140" w:type="pct"/>
                  <w:vAlign w:val="center"/>
                </w:tcPr>
                <w:p>
                  <w:pPr>
                    <w:jc w:val="center"/>
                    <w:rPr>
                      <w:szCs w:val="21"/>
                    </w:rPr>
                  </w:pPr>
                  <w:r>
                    <w:rPr>
                      <w:szCs w:val="21"/>
                    </w:rPr>
                    <w:t>由废品回收站回收利用</w:t>
                  </w:r>
                </w:p>
              </w:tc>
              <w:tc>
                <w:tcPr>
                  <w:tcW w:w="1354" w:type="pct"/>
                  <w:vMerge w:val="continue"/>
                  <w:vAlign w:val="center"/>
                </w:tcPr>
                <w:p>
                  <w:pPr>
                    <w:jc w:val="center"/>
                    <w:rPr>
                      <w:szCs w:val="21"/>
                    </w:rPr>
                  </w:pPr>
                </w:p>
              </w:tc>
            </w:tr>
          </w:tbl>
          <w:p>
            <w:pPr>
              <w:tabs>
                <w:tab w:val="left" w:pos="4404"/>
              </w:tabs>
              <w:spacing w:line="360" w:lineRule="auto"/>
              <w:ind w:firstLine="482" w:firstLineChars="200"/>
              <w:jc w:val="left"/>
              <w:rPr>
                <w:b/>
                <w:bCs/>
                <w:sz w:val="24"/>
              </w:rPr>
            </w:pPr>
            <w:r>
              <w:rPr>
                <w:rFonts w:hint="eastAsia" w:hAnsi="宋体"/>
                <w:b/>
                <w:bCs/>
                <w:sz w:val="24"/>
              </w:rPr>
              <w:t>5</w:t>
            </w:r>
            <w:r>
              <w:rPr>
                <w:rFonts w:hAnsi="宋体"/>
                <w:b/>
                <w:bCs/>
                <w:sz w:val="24"/>
              </w:rPr>
              <w:t>、地下水</w:t>
            </w:r>
            <w:r>
              <w:rPr>
                <w:rFonts w:hint="eastAsia" w:hAnsi="宋体"/>
                <w:b/>
                <w:bCs/>
                <w:sz w:val="24"/>
              </w:rPr>
              <w:t>、土壤</w:t>
            </w:r>
            <w:r>
              <w:rPr>
                <w:b/>
                <w:bCs/>
                <w:sz w:val="24"/>
              </w:rPr>
              <w:t>影响分析及措施</w:t>
            </w:r>
          </w:p>
          <w:p>
            <w:pPr>
              <w:pStyle w:val="84"/>
              <w:ind w:firstLine="480"/>
              <w:rPr>
                <w:kern w:val="0"/>
                <w:sz w:val="24"/>
                <w:szCs w:val="20"/>
              </w:rPr>
            </w:pPr>
            <w:r>
              <w:rPr>
                <w:kern w:val="0"/>
                <w:sz w:val="24"/>
                <w:szCs w:val="20"/>
              </w:rPr>
              <w:t>为防止项目对地下水和土壤环境的影响，厂区采取分区防渗措施。</w:t>
            </w:r>
            <w:r>
              <w:rPr>
                <w:rFonts w:hint="eastAsia"/>
                <w:kern w:val="0"/>
                <w:sz w:val="24"/>
                <w:szCs w:val="20"/>
              </w:rPr>
              <w:t>重点防渗区主要为危废间、浸润剂和固化剂仓库，防渗层至少1米厚粘土层（渗透系数≤10</w:t>
            </w:r>
            <w:r>
              <w:rPr>
                <w:rFonts w:hint="eastAsia"/>
                <w:kern w:val="0"/>
                <w:sz w:val="24"/>
                <w:szCs w:val="20"/>
                <w:vertAlign w:val="superscript"/>
              </w:rPr>
              <w:t>-7</w:t>
            </w:r>
            <w:r>
              <w:rPr>
                <w:rFonts w:hint="eastAsia"/>
                <w:kern w:val="0"/>
                <w:sz w:val="24"/>
                <w:szCs w:val="20"/>
              </w:rPr>
              <w:t>cm/s），或2mm厚高密度聚乙烯，或至少2mm厚的其它人工材料，渗透系数≤10</w:t>
            </w:r>
            <w:r>
              <w:rPr>
                <w:rFonts w:hint="eastAsia"/>
                <w:kern w:val="0"/>
                <w:sz w:val="24"/>
                <w:szCs w:val="20"/>
                <w:vertAlign w:val="superscript"/>
              </w:rPr>
              <w:t>-10</w:t>
            </w:r>
            <w:r>
              <w:rPr>
                <w:rFonts w:hint="eastAsia"/>
                <w:kern w:val="0"/>
                <w:sz w:val="24"/>
                <w:szCs w:val="20"/>
              </w:rPr>
              <w:t>cm/s；一般防渗区指生产区中除了上述重点防渗区以外的其他建筑区，指裸露于地面的生产功能单元，污染地下水及土壤环境的物料污染物泄漏后，可及时发现和处理的区域或部位，主要为生产厂房和成品库等，本项目一般防渗区参照《一般工业固体废物贮存和填埋污染物控制标准》（GB18599-2020）</w:t>
            </w:r>
            <w:r>
              <w:rPr>
                <w:rFonts w:hint="eastAsia"/>
                <w:kern w:val="0"/>
                <w:sz w:val="24"/>
                <w:szCs w:val="20"/>
              </w:rPr>
              <w:fldChar w:fldCharType="begin"/>
            </w:r>
            <w:r>
              <w:rPr>
                <w:rFonts w:hint="eastAsia"/>
                <w:kern w:val="0"/>
                <w:sz w:val="24"/>
                <w:szCs w:val="20"/>
              </w:rPr>
              <w:instrText xml:space="preserve"> = 2 \* ROMAN \* MERGEFORMAT </w:instrText>
            </w:r>
            <w:r>
              <w:rPr>
                <w:rFonts w:hint="eastAsia"/>
                <w:kern w:val="0"/>
                <w:sz w:val="24"/>
                <w:szCs w:val="20"/>
              </w:rPr>
              <w:fldChar w:fldCharType="separate"/>
            </w:r>
            <w:r>
              <w:rPr>
                <w:rFonts w:hint="eastAsia"/>
                <w:kern w:val="0"/>
                <w:sz w:val="24"/>
                <w:szCs w:val="20"/>
              </w:rPr>
              <w:t>II</w:t>
            </w:r>
            <w:r>
              <w:rPr>
                <w:rFonts w:hint="eastAsia"/>
                <w:kern w:val="0"/>
                <w:sz w:val="24"/>
                <w:szCs w:val="20"/>
              </w:rPr>
              <w:fldChar w:fldCharType="end"/>
            </w:r>
            <w:r>
              <w:rPr>
                <w:rFonts w:hint="eastAsia"/>
                <w:kern w:val="0"/>
                <w:sz w:val="24"/>
                <w:szCs w:val="20"/>
              </w:rPr>
              <w:t>类场地进行地面防渗设计；除重点防渗、一般防渗外，如办公楼和厂区道路采用一般地面硬化。</w:t>
            </w:r>
          </w:p>
          <w:p>
            <w:pPr>
              <w:spacing w:line="360" w:lineRule="auto"/>
              <w:ind w:firstLine="422" w:firstLineChars="200"/>
              <w:jc w:val="left"/>
              <w:rPr>
                <w:kern w:val="0"/>
                <w:sz w:val="24"/>
                <w:szCs w:val="20"/>
              </w:rPr>
            </w:pPr>
            <w:r>
              <w:rPr>
                <w:rFonts w:hint="eastAsia"/>
                <w:b/>
                <w:bCs/>
                <w:kern w:val="0"/>
                <w:szCs w:val="21"/>
              </w:rPr>
              <w:t>6、</w:t>
            </w:r>
            <w:r>
              <w:rPr>
                <w:rFonts w:hint="eastAsia"/>
                <w:b/>
                <w:bCs/>
                <w:kern w:val="0"/>
                <w:sz w:val="24"/>
                <w:szCs w:val="20"/>
              </w:rPr>
              <w:t>生态环境</w:t>
            </w:r>
          </w:p>
          <w:p>
            <w:pPr>
              <w:pStyle w:val="84"/>
              <w:ind w:firstLine="480"/>
              <w:rPr>
                <w:kern w:val="0"/>
                <w:sz w:val="24"/>
                <w:szCs w:val="20"/>
              </w:rPr>
            </w:pPr>
            <w:r>
              <w:rPr>
                <w:rFonts w:hint="eastAsia"/>
                <w:kern w:val="0"/>
                <w:sz w:val="24"/>
                <w:szCs w:val="20"/>
              </w:rPr>
              <w:t>项目位于靖边县经济开发区，根据《中华人民共和国防沙治沙法》、《国务院关于进一步加强防沙治沙工作的决定》及《陕西省实施＜中华人民共和国防沙治沙法＞办法》，项目区属于林市南部及延安市北部具有明显沙化趋势的土地，建设单位按照防沙治沙规划，应因地制宜地采取人工造林种草、飞播造林种草、封沙育林育草和合理调配生态用水等措施，积极治理沙化土地，在厂区要合理营造防风固沙林网、林带；厂区周围的沙化土地，要落实单位治理责任制，限期由责任单位负责组织造林种草或者采取其他措施治理。</w:t>
            </w:r>
          </w:p>
          <w:p>
            <w:pPr>
              <w:pStyle w:val="84"/>
              <w:ind w:firstLine="480"/>
              <w:rPr>
                <w:kern w:val="0"/>
                <w:sz w:val="24"/>
                <w:szCs w:val="20"/>
              </w:rPr>
            </w:pPr>
            <w:r>
              <w:rPr>
                <w:rFonts w:hint="eastAsia"/>
                <w:kern w:val="0"/>
                <w:sz w:val="24"/>
                <w:szCs w:val="20"/>
              </w:rPr>
              <w:t>项目区域气候干燥，植被稀疏，植被类型以天然植被为主，覆盖度较低，野生动物较少，项目对生态环境的影响主要为场区的建设占用土地所造成的影响，项目建设过程将对厂区内生态环境产生一定影响，项目建成后，厂区采用水泥进行硬化，北侧设置绿化及景观，栽植旱柳等绿植。采用多样化种植和培养环境，采用灌乔木结合，花草类立体种植，确保厂区不会产生风沙扬尘事件发生，做好植被生产监测，确保成活率及生产条件，明确企业防沙固沙责任，建立风沙预警和防控机制，确保厂区内防沙固沙效果。</w:t>
            </w:r>
          </w:p>
          <w:p>
            <w:pPr>
              <w:spacing w:line="360" w:lineRule="auto"/>
              <w:ind w:firstLine="482" w:firstLineChars="200"/>
              <w:textAlignment w:val="baseline"/>
              <w:rPr>
                <w:b/>
                <w:bCs/>
                <w:sz w:val="24"/>
              </w:rPr>
            </w:pPr>
            <w:r>
              <w:rPr>
                <w:b/>
                <w:bCs/>
                <w:sz w:val="24"/>
              </w:rPr>
              <w:t>7、环境风险</w:t>
            </w:r>
          </w:p>
          <w:p>
            <w:pPr>
              <w:adjustRightInd w:val="0"/>
              <w:spacing w:line="336" w:lineRule="auto"/>
              <w:ind w:firstLine="480" w:firstLineChars="200"/>
              <w:rPr>
                <w:sz w:val="24"/>
              </w:rPr>
            </w:pPr>
            <w:r>
              <w:rPr>
                <w:sz w:val="24"/>
              </w:rPr>
              <w:t>本项目不涉及《建设项目环境风险评价技术导则》（HJ169-2018）附录B中所列风险物质，风险水平较低。</w:t>
            </w:r>
          </w:p>
          <w:p>
            <w:pPr>
              <w:spacing w:line="360" w:lineRule="auto"/>
              <w:ind w:firstLine="482" w:firstLineChars="200"/>
              <w:rPr>
                <w:b/>
                <w:bCs/>
                <w:snapToGrid w:val="0"/>
                <w:kern w:val="0"/>
                <w:sz w:val="24"/>
              </w:rPr>
            </w:pPr>
            <w:r>
              <w:rPr>
                <w:b/>
                <w:bCs/>
                <w:sz w:val="24"/>
              </w:rPr>
              <w:t>8、</w:t>
            </w:r>
            <w:r>
              <w:rPr>
                <w:b/>
                <w:bCs/>
                <w:snapToGrid w:val="0"/>
                <w:kern w:val="0"/>
                <w:sz w:val="24"/>
              </w:rPr>
              <w:t>辐射</w:t>
            </w:r>
            <w:r>
              <w:rPr>
                <w:rFonts w:hint="eastAsia"/>
                <w:b/>
                <w:bCs/>
                <w:snapToGrid w:val="0"/>
                <w:kern w:val="0"/>
                <w:sz w:val="24"/>
              </w:rPr>
              <w:t>环境影响</w:t>
            </w:r>
          </w:p>
          <w:p>
            <w:pPr>
              <w:pStyle w:val="30"/>
              <w:spacing w:after="0" w:line="360" w:lineRule="auto"/>
              <w:ind w:left="0" w:leftChars="0" w:firstLine="480"/>
              <w:rPr>
                <w:kern w:val="2"/>
              </w:rPr>
            </w:pPr>
            <w:r>
              <w:rPr>
                <w:rFonts w:hint="eastAsia"/>
                <w:kern w:val="2"/>
              </w:rPr>
              <w:t>项目不涉及电磁辐射影响。</w:t>
            </w:r>
          </w:p>
          <w:p>
            <w:pPr>
              <w:pStyle w:val="30"/>
              <w:spacing w:after="0" w:line="360" w:lineRule="auto"/>
              <w:ind w:left="0" w:leftChars="0" w:firstLine="482"/>
              <w:rPr>
                <w:rFonts w:ascii="宋体" w:hAnsi="宋体" w:cs="宋体"/>
              </w:rPr>
            </w:pPr>
            <w:r>
              <w:rPr>
                <w:rFonts w:ascii="宋体" w:hAnsi="宋体" w:cs="宋体"/>
                <w:b/>
                <w:bCs/>
              </w:rPr>
              <w:t>9</w:t>
            </w:r>
            <w:r>
              <w:rPr>
                <w:rFonts w:hint="eastAsia" w:ascii="宋体" w:hAnsi="宋体" w:cs="宋体"/>
                <w:b/>
                <w:bCs/>
              </w:rPr>
              <w:t>、</w:t>
            </w:r>
            <w:r>
              <w:rPr>
                <w:rFonts w:ascii="宋体" w:hAnsi="宋体" w:cs="宋体"/>
                <w:b/>
                <w:bCs/>
              </w:rPr>
              <w:t>机械环境管理要求</w:t>
            </w:r>
            <w:r>
              <w:rPr>
                <w:rFonts w:ascii="宋体" w:hAnsi="宋体" w:cs="宋体"/>
              </w:rPr>
              <w:t xml:space="preserve"> </w:t>
            </w:r>
          </w:p>
          <w:p>
            <w:pPr>
              <w:pStyle w:val="30"/>
              <w:spacing w:after="0" w:line="360" w:lineRule="auto"/>
              <w:ind w:left="0" w:leftChars="0" w:firstLine="480"/>
              <w:rPr>
                <w:rFonts w:ascii="宋体" w:hAnsi="宋体" w:cs="宋体"/>
              </w:rPr>
            </w:pPr>
            <w:r>
              <w:rPr>
                <w:rFonts w:hint="eastAsia" w:ascii="宋体" w:hAnsi="宋体" w:cs="宋体"/>
              </w:rPr>
              <w:t>（1）</w:t>
            </w:r>
            <w:r>
              <w:rPr>
                <w:rFonts w:ascii="宋体" w:hAnsi="宋体" w:cs="宋体"/>
              </w:rPr>
              <w:t>加强在用非道路移动机械的排放检测和维修。</w:t>
            </w:r>
          </w:p>
          <w:p>
            <w:pPr>
              <w:pStyle w:val="30"/>
              <w:spacing w:after="0" w:line="360" w:lineRule="auto"/>
              <w:ind w:left="0" w:leftChars="0" w:firstLine="480"/>
              <w:rPr>
                <w:rFonts w:ascii="宋体" w:hAnsi="宋体" w:cs="宋体"/>
              </w:rPr>
            </w:pPr>
            <w:r>
              <w:rPr>
                <w:rFonts w:ascii="宋体" w:hAnsi="宋体" w:cs="宋体"/>
              </w:rPr>
              <w:t xml:space="preserve">加强非道路移动机械的维修、保养，使其保持良好的技术状态。加强对非道路移动机械排放检测能力的建设；经检测排放不达标的非道路移动机械，应强制进行维修、保养，保证非道路移动机械及其污染控制装置处于正常技术状态。非道路移动机械维修 企业应配备必要的排放检测及诊断设备，确保维修后的非道路移动机械排放稳定达标，同时妥善保存维修记录。 </w:t>
            </w:r>
          </w:p>
          <w:p>
            <w:pPr>
              <w:pStyle w:val="30"/>
              <w:spacing w:after="0" w:line="360" w:lineRule="auto"/>
              <w:ind w:firstLine="0" w:firstLineChars="0"/>
              <w:rPr>
                <w:rFonts w:ascii="宋体" w:hAnsi="宋体" w:cs="宋体"/>
              </w:rPr>
            </w:pPr>
            <w:r>
              <w:rPr>
                <w:rFonts w:hint="eastAsia" w:ascii="宋体" w:hAnsi="宋体" w:cs="宋体"/>
              </w:rPr>
              <w:t>（2）</w:t>
            </w:r>
            <w:r>
              <w:rPr>
                <w:rFonts w:ascii="宋体" w:hAnsi="宋体" w:cs="宋体"/>
              </w:rPr>
              <w:t>建立在用非道路移动机械登记制度。</w:t>
            </w:r>
          </w:p>
          <w:p>
            <w:pPr>
              <w:pStyle w:val="30"/>
              <w:spacing w:after="0" w:line="360" w:lineRule="auto"/>
              <w:ind w:left="0" w:leftChars="0" w:firstLine="480"/>
              <w:rPr>
                <w:rFonts w:ascii="宋体" w:hAnsi="宋体" w:cs="宋体"/>
              </w:rPr>
            </w:pPr>
            <w:r>
              <w:rPr>
                <w:rFonts w:ascii="宋体" w:hAnsi="宋体" w:cs="宋体"/>
              </w:rPr>
              <w:t xml:space="preserve">鼓励有条件的地方，对需要重点监控的在用非道路移动机械进行登记，并对其排放状况进行监督检查。 </w:t>
            </w:r>
          </w:p>
          <w:p>
            <w:pPr>
              <w:pStyle w:val="30"/>
              <w:spacing w:after="0" w:line="360" w:lineRule="auto"/>
              <w:ind w:firstLine="0" w:firstLineChars="0"/>
              <w:rPr>
                <w:rFonts w:ascii="宋体" w:hAnsi="宋体" w:cs="宋体"/>
              </w:rPr>
            </w:pPr>
            <w:r>
              <w:rPr>
                <w:rFonts w:hint="eastAsia" w:ascii="宋体" w:hAnsi="宋体" w:cs="宋体"/>
              </w:rPr>
              <w:t>（3）</w:t>
            </w:r>
            <w:r>
              <w:rPr>
                <w:rFonts w:ascii="宋体" w:hAnsi="宋体" w:cs="宋体"/>
              </w:rPr>
              <w:t>加强对再制造发动机的排放管理。</w:t>
            </w:r>
          </w:p>
          <w:p>
            <w:pPr>
              <w:pStyle w:val="30"/>
              <w:spacing w:after="0" w:line="360" w:lineRule="auto"/>
              <w:ind w:left="0" w:leftChars="0" w:firstLine="480"/>
              <w:rPr>
                <w:b/>
                <w:bCs/>
              </w:rPr>
            </w:pPr>
            <w:r>
              <w:rPr>
                <w:rFonts w:ascii="宋体" w:hAnsi="宋体" w:cs="宋体"/>
              </w:rPr>
              <w:t>对装用再制造发动机的非道路移动机械，再制造发动机的排放性能指标应不低于原机定型时的排放要求，且只 能作为配件进入发动机配件市场，用于替换同等排放水平的发动机。</w:t>
            </w:r>
          </w:p>
          <w:p>
            <w:pPr>
              <w:pStyle w:val="30"/>
              <w:spacing w:after="0" w:line="360" w:lineRule="auto"/>
              <w:ind w:left="0" w:leftChars="0" w:firstLine="480"/>
              <w:rPr>
                <w:rFonts w:ascii="宋体" w:hAnsi="宋体" w:cs="宋体"/>
              </w:rPr>
            </w:pPr>
            <w:r>
              <w:rPr>
                <w:rFonts w:hint="eastAsia" w:ascii="宋体" w:hAnsi="宋体" w:cs="宋体"/>
              </w:rPr>
              <w:t>（4）</w:t>
            </w:r>
            <w:r>
              <w:rPr>
                <w:rFonts w:ascii="宋体" w:hAnsi="宋体" w:cs="宋体"/>
              </w:rPr>
              <w:t>加强非道路移动机械的噪声控制。</w:t>
            </w:r>
          </w:p>
          <w:p>
            <w:pPr>
              <w:pStyle w:val="30"/>
              <w:spacing w:after="0" w:line="360" w:lineRule="auto"/>
              <w:ind w:left="0" w:leftChars="0" w:firstLine="480"/>
              <w:rPr>
                <w:b/>
                <w:bCs/>
              </w:rPr>
            </w:pPr>
            <w:r>
              <w:rPr>
                <w:rFonts w:ascii="宋体" w:hAnsi="宋体" w:cs="宋体"/>
              </w:rPr>
              <w:t>禁止任何单位或个人擅自拆除弃用非道路移动机械的消声、隔声和吸声装置，加强对噪声控制装置的维护保养。</w:t>
            </w:r>
          </w:p>
          <w:p>
            <w:pPr>
              <w:pStyle w:val="30"/>
              <w:spacing w:after="0" w:line="360" w:lineRule="auto"/>
              <w:ind w:left="0" w:leftChars="0" w:firstLine="482"/>
              <w:rPr>
                <w:rFonts w:ascii="宋体" w:hAnsi="宋体" w:cs="宋体"/>
                <w:b/>
                <w:bCs/>
              </w:rPr>
            </w:pPr>
            <w:r>
              <w:rPr>
                <w:rFonts w:ascii="宋体" w:hAnsi="宋体" w:cs="宋体"/>
                <w:b/>
                <w:bCs/>
              </w:rPr>
              <w:t>10</w:t>
            </w:r>
            <w:r>
              <w:rPr>
                <w:rFonts w:hint="eastAsia" w:ascii="宋体" w:hAnsi="宋体" w:cs="宋体"/>
                <w:b/>
                <w:bCs/>
              </w:rPr>
              <w:t>、环保投资</w:t>
            </w:r>
          </w:p>
          <w:p>
            <w:pPr>
              <w:pStyle w:val="30"/>
              <w:spacing w:after="0" w:line="360" w:lineRule="auto"/>
              <w:ind w:left="0" w:leftChars="0" w:firstLine="480"/>
            </w:pPr>
            <w:r>
              <w:t>项目总投资680</w:t>
            </w:r>
            <w:r>
              <w:rPr>
                <w:rFonts w:hint="eastAsia"/>
              </w:rPr>
              <w:t>00</w:t>
            </w:r>
            <w:r>
              <w:t>万元，其中环保投资</w:t>
            </w:r>
            <w:r>
              <w:rPr>
                <w:rFonts w:hint="eastAsia"/>
              </w:rPr>
              <w:t>214.6</w:t>
            </w:r>
            <w:r>
              <w:t>万元，占总投资的</w:t>
            </w:r>
            <w:r>
              <w:rPr>
                <w:rFonts w:hint="eastAsia"/>
              </w:rPr>
              <w:t>0.32</w:t>
            </w:r>
            <w:r>
              <w:t>%，项目环保投资见表</w:t>
            </w:r>
            <w:r>
              <w:rPr>
                <w:rFonts w:hint="eastAsia"/>
              </w:rPr>
              <w:t>4-9</w:t>
            </w:r>
            <w:r>
              <w:t>。</w:t>
            </w:r>
          </w:p>
          <w:p>
            <w:pPr>
              <w:jc w:val="center"/>
              <w:rPr>
                <w:b/>
                <w:bCs/>
              </w:rPr>
            </w:pPr>
            <w:r>
              <w:rPr>
                <w:b/>
                <w:bCs/>
              </w:rPr>
              <w:t>表</w:t>
            </w:r>
            <w:r>
              <w:rPr>
                <w:rFonts w:hint="eastAsia"/>
                <w:b/>
                <w:bCs/>
              </w:rPr>
              <w:t>4-9</w:t>
            </w:r>
            <w:r>
              <w:rPr>
                <w:b/>
                <w:bCs/>
              </w:rPr>
              <w:t xml:space="preserve">  环保投资一览表</w:t>
            </w:r>
          </w:p>
          <w:tbl>
            <w:tblPr>
              <w:tblStyle w:val="3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660"/>
              <w:gridCol w:w="4106"/>
              <w:gridCol w:w="817"/>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282" w:type="pct"/>
                  <w:vAlign w:val="center"/>
                </w:tcPr>
                <w:p>
                  <w:pPr>
                    <w:jc w:val="center"/>
                  </w:pPr>
                  <w:r>
                    <w:t>类别</w:t>
                  </w:r>
                </w:p>
              </w:tc>
              <w:tc>
                <w:tcPr>
                  <w:tcW w:w="1022" w:type="pct"/>
                  <w:vAlign w:val="center"/>
                </w:tcPr>
                <w:p>
                  <w:pPr>
                    <w:jc w:val="center"/>
                  </w:pPr>
                  <w:r>
                    <w:t>污染源</w:t>
                  </w:r>
                </w:p>
              </w:tc>
              <w:tc>
                <w:tcPr>
                  <w:tcW w:w="2529" w:type="pct"/>
                  <w:vAlign w:val="center"/>
                </w:tcPr>
                <w:p>
                  <w:pPr>
                    <w:jc w:val="center"/>
                  </w:pPr>
                  <w:r>
                    <w:t>防治措施</w:t>
                  </w:r>
                </w:p>
              </w:tc>
              <w:tc>
                <w:tcPr>
                  <w:tcW w:w="502" w:type="pct"/>
                  <w:vAlign w:val="center"/>
                </w:tcPr>
                <w:p>
                  <w:pPr>
                    <w:jc w:val="center"/>
                  </w:pPr>
                  <w:r>
                    <w:t>数量</w:t>
                  </w:r>
                </w:p>
              </w:tc>
              <w:tc>
                <w:tcPr>
                  <w:tcW w:w="662" w:type="pct"/>
                  <w:vAlign w:val="center"/>
                </w:tcPr>
                <w:p>
                  <w:pPr>
                    <w:jc w:val="center"/>
                  </w:pPr>
                  <w:r>
                    <w:t>环保投资（万元）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282" w:type="pct"/>
                  <w:vMerge w:val="restart"/>
                  <w:vAlign w:val="center"/>
                </w:tcPr>
                <w:p>
                  <w:pPr>
                    <w:jc w:val="center"/>
                  </w:pPr>
                  <w:r>
                    <w:t>废气</w:t>
                  </w:r>
                </w:p>
              </w:tc>
              <w:tc>
                <w:tcPr>
                  <w:tcW w:w="1022" w:type="pct"/>
                  <w:vAlign w:val="center"/>
                </w:tcPr>
                <w:p>
                  <w:pPr>
                    <w:pStyle w:val="102"/>
                    <w:spacing w:line="240" w:lineRule="atLeast"/>
                  </w:pPr>
                  <w:r>
                    <w:rPr>
                      <w:rFonts w:hint="eastAsia"/>
                    </w:rPr>
                    <w:t>熔炼烟尘</w:t>
                  </w:r>
                </w:p>
              </w:tc>
              <w:tc>
                <w:tcPr>
                  <w:tcW w:w="2529" w:type="pct"/>
                  <w:vAlign w:val="center"/>
                </w:tcPr>
                <w:p>
                  <w:pPr>
                    <w:jc w:val="center"/>
                  </w:pPr>
                  <w:r>
                    <w:rPr>
                      <w:rFonts w:hint="eastAsia"/>
                    </w:rPr>
                    <w:t>集气罩+</w:t>
                  </w:r>
                  <w:r>
                    <w:t>脉冲式布袋除尘器处理+15m排气筒进行排放</w:t>
                  </w:r>
                  <w:r>
                    <w:rPr>
                      <w:rFonts w:hint="eastAsia"/>
                    </w:rPr>
                    <w:t>，</w:t>
                  </w:r>
                  <w:r>
                    <w:t>除尘效率99%</w:t>
                  </w:r>
                </w:p>
              </w:tc>
              <w:tc>
                <w:tcPr>
                  <w:tcW w:w="502" w:type="pct"/>
                  <w:vAlign w:val="center"/>
                </w:tcPr>
                <w:p>
                  <w:pPr>
                    <w:jc w:val="center"/>
                  </w:pPr>
                  <w:r>
                    <w:t>1</w:t>
                  </w:r>
                  <w:r>
                    <w:rPr>
                      <w:rFonts w:hint="eastAsia"/>
                    </w:rPr>
                    <w:t>套</w:t>
                  </w:r>
                </w:p>
              </w:tc>
              <w:tc>
                <w:tcPr>
                  <w:tcW w:w="662" w:type="pct"/>
                  <w:vAlign w:val="center"/>
                </w:tcPr>
                <w:p>
                  <w:pPr>
                    <w:jc w:val="center"/>
                  </w:pPr>
                  <w:r>
                    <w:rPr>
                      <w:rFonts w:hint="eastAsia"/>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282" w:type="pct"/>
                  <w:vMerge w:val="continue"/>
                  <w:vAlign w:val="center"/>
                </w:tcPr>
                <w:p>
                  <w:pPr>
                    <w:jc w:val="center"/>
                  </w:pPr>
                </w:p>
              </w:tc>
              <w:tc>
                <w:tcPr>
                  <w:tcW w:w="1022" w:type="pct"/>
                  <w:vAlign w:val="center"/>
                </w:tcPr>
                <w:p>
                  <w:pPr>
                    <w:pStyle w:val="102"/>
                    <w:spacing w:line="240" w:lineRule="atLeast"/>
                  </w:pPr>
                  <w:r>
                    <w:rPr>
                      <w:rFonts w:hint="eastAsia"/>
                    </w:rPr>
                    <w:t>烘干有机废气</w:t>
                  </w:r>
                </w:p>
              </w:tc>
              <w:tc>
                <w:tcPr>
                  <w:tcW w:w="2529" w:type="pct"/>
                  <w:vAlign w:val="center"/>
                </w:tcPr>
                <w:p>
                  <w:pPr>
                    <w:adjustRightInd w:val="0"/>
                    <w:snapToGrid w:val="0"/>
                    <w:jc w:val="center"/>
                    <w:rPr>
                      <w:szCs w:val="21"/>
                    </w:rPr>
                  </w:pPr>
                  <w:r>
                    <w:rPr>
                      <w:rFonts w:hint="eastAsia"/>
                    </w:rPr>
                    <w:t>两级活性炭吸附+15m高排气筒，吸附效率7</w:t>
                  </w:r>
                  <w:r>
                    <w:t>5%</w:t>
                  </w:r>
                </w:p>
              </w:tc>
              <w:tc>
                <w:tcPr>
                  <w:tcW w:w="502" w:type="pct"/>
                  <w:vAlign w:val="center"/>
                </w:tcPr>
                <w:p>
                  <w:pPr>
                    <w:jc w:val="center"/>
                  </w:pPr>
                  <w:r>
                    <w:t>1</w:t>
                  </w:r>
                  <w:r>
                    <w:rPr>
                      <w:rFonts w:hint="eastAsia"/>
                    </w:rPr>
                    <w:t>套</w:t>
                  </w:r>
                </w:p>
              </w:tc>
              <w:tc>
                <w:tcPr>
                  <w:tcW w:w="662" w:type="pct"/>
                  <w:vAlign w:val="center"/>
                </w:tcPr>
                <w:p>
                  <w:pPr>
                    <w:jc w:val="center"/>
                  </w:pPr>
                  <w:r>
                    <w:rPr>
                      <w:rFonts w:hint="eastAsia"/>
                    </w:rPr>
                    <w:t>3</w:t>
                  </w:r>
                  <w: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282" w:type="pct"/>
                  <w:vMerge w:val="continue"/>
                  <w:vAlign w:val="center"/>
                </w:tcPr>
                <w:p>
                  <w:pPr>
                    <w:jc w:val="center"/>
                  </w:pPr>
                </w:p>
              </w:tc>
              <w:tc>
                <w:tcPr>
                  <w:tcW w:w="1022" w:type="pct"/>
                  <w:vAlign w:val="center"/>
                </w:tcPr>
                <w:p>
                  <w:pPr>
                    <w:pStyle w:val="102"/>
                    <w:spacing w:line="240" w:lineRule="atLeast"/>
                  </w:pPr>
                  <w:r>
                    <w:rPr>
                      <w:rFonts w:hint="eastAsia"/>
                    </w:rPr>
                    <w:t>固化有机废气</w:t>
                  </w:r>
                </w:p>
              </w:tc>
              <w:tc>
                <w:tcPr>
                  <w:tcW w:w="2529" w:type="pct"/>
                  <w:vAlign w:val="center"/>
                </w:tcPr>
                <w:p>
                  <w:pPr>
                    <w:adjustRightInd w:val="0"/>
                    <w:snapToGrid w:val="0"/>
                    <w:jc w:val="center"/>
                    <w:rPr>
                      <w:szCs w:val="21"/>
                    </w:rPr>
                  </w:pPr>
                  <w:r>
                    <w:rPr>
                      <w:rFonts w:hint="eastAsia"/>
                    </w:rPr>
                    <w:t>两级活性炭吸附+15m高排气筒，吸附效率7</w:t>
                  </w:r>
                  <w:r>
                    <w:t>5%</w:t>
                  </w:r>
                </w:p>
              </w:tc>
              <w:tc>
                <w:tcPr>
                  <w:tcW w:w="502" w:type="pct"/>
                  <w:vAlign w:val="center"/>
                </w:tcPr>
                <w:p>
                  <w:pPr>
                    <w:jc w:val="center"/>
                  </w:pPr>
                  <w:r>
                    <w:t>1</w:t>
                  </w:r>
                  <w:r>
                    <w:rPr>
                      <w:rFonts w:hint="eastAsia"/>
                    </w:rPr>
                    <w:t>套</w:t>
                  </w:r>
                </w:p>
              </w:tc>
              <w:tc>
                <w:tcPr>
                  <w:tcW w:w="662" w:type="pct"/>
                  <w:vAlign w:val="center"/>
                </w:tcPr>
                <w:p>
                  <w:pPr>
                    <w:jc w:val="center"/>
                  </w:pPr>
                  <w:r>
                    <w:rPr>
                      <w:rFonts w:hint="eastAsia"/>
                    </w:rPr>
                    <w:t>3</w:t>
                  </w:r>
                  <w: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 w:hRule="atLeast"/>
              </w:trPr>
              <w:tc>
                <w:tcPr>
                  <w:tcW w:w="282" w:type="pct"/>
                  <w:vMerge w:val="continue"/>
                  <w:vAlign w:val="center"/>
                </w:tcPr>
                <w:p>
                  <w:pPr>
                    <w:jc w:val="center"/>
                  </w:pPr>
                </w:p>
              </w:tc>
              <w:tc>
                <w:tcPr>
                  <w:tcW w:w="1022" w:type="pct"/>
                  <w:vAlign w:val="center"/>
                </w:tcPr>
                <w:p>
                  <w:pPr>
                    <w:jc w:val="center"/>
                  </w:pPr>
                  <w:r>
                    <w:rPr>
                      <w:rFonts w:hint="eastAsia"/>
                    </w:rPr>
                    <w:t>食堂油烟</w:t>
                  </w:r>
                </w:p>
              </w:tc>
              <w:tc>
                <w:tcPr>
                  <w:tcW w:w="2529" w:type="pct"/>
                  <w:vAlign w:val="center"/>
                </w:tcPr>
                <w:p>
                  <w:pPr>
                    <w:jc w:val="center"/>
                  </w:pPr>
                  <w:r>
                    <w:rPr>
                      <w:rFonts w:hint="eastAsia"/>
                      <w:szCs w:val="21"/>
                    </w:rPr>
                    <w:t>油烟净化器</w:t>
                  </w:r>
                  <w:r>
                    <w:rPr>
                      <w:rFonts w:hint="eastAsia"/>
                    </w:rPr>
                    <w:t>，净化效率</w:t>
                  </w:r>
                  <w:r>
                    <w:t>85%</w:t>
                  </w:r>
                </w:p>
              </w:tc>
              <w:tc>
                <w:tcPr>
                  <w:tcW w:w="502" w:type="pct"/>
                  <w:vAlign w:val="center"/>
                </w:tcPr>
                <w:p>
                  <w:pPr>
                    <w:jc w:val="center"/>
                  </w:pPr>
                  <w:r>
                    <w:rPr>
                      <w:rFonts w:hint="eastAsia"/>
                    </w:rPr>
                    <w:t>1套</w:t>
                  </w:r>
                </w:p>
              </w:tc>
              <w:tc>
                <w:tcPr>
                  <w:tcW w:w="662" w:type="pct"/>
                  <w:vAlign w:val="center"/>
                </w:tcPr>
                <w:p>
                  <w:pPr>
                    <w:jc w:val="center"/>
                  </w:pPr>
                  <w:r>
                    <w:t>3</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282" w:type="pct"/>
                  <w:vMerge w:val="continue"/>
                  <w:vAlign w:val="center"/>
                </w:tcPr>
                <w:p>
                  <w:pPr>
                    <w:jc w:val="center"/>
                  </w:pPr>
                </w:p>
              </w:tc>
              <w:tc>
                <w:tcPr>
                  <w:tcW w:w="1022" w:type="pct"/>
                  <w:vAlign w:val="center"/>
                </w:tcPr>
                <w:p>
                  <w:pPr>
                    <w:jc w:val="center"/>
                  </w:pPr>
                  <w:r>
                    <w:rPr>
                      <w:rFonts w:hint="eastAsia"/>
                    </w:rPr>
                    <w:t>道路扬尘</w:t>
                  </w:r>
                </w:p>
              </w:tc>
              <w:tc>
                <w:tcPr>
                  <w:tcW w:w="2529" w:type="pct"/>
                  <w:vAlign w:val="center"/>
                </w:tcPr>
                <w:p>
                  <w:pPr>
                    <w:pStyle w:val="26"/>
                    <w:widowControl w:val="0"/>
                    <w:adjustRightInd w:val="0"/>
                    <w:snapToGrid w:val="0"/>
                    <w:spacing w:before="0" w:beforeAutospacing="0" w:after="0" w:afterAutospacing="0"/>
                    <w:jc w:val="center"/>
                    <w:rPr>
                      <w:rFonts w:ascii="Times New Roman" w:hAnsi="Times New Roman"/>
                    </w:rPr>
                  </w:pPr>
                  <w:r>
                    <w:rPr>
                      <w:rFonts w:ascii="Times New Roman" w:hAnsi="Times New Roman"/>
                      <w:sz w:val="21"/>
                      <w:szCs w:val="21"/>
                    </w:rPr>
                    <w:t>路面硬化，洒水抑尘，限载限速</w:t>
                  </w:r>
                </w:p>
              </w:tc>
              <w:tc>
                <w:tcPr>
                  <w:tcW w:w="502" w:type="pct"/>
                  <w:vAlign w:val="center"/>
                </w:tcPr>
                <w:p>
                  <w:pPr>
                    <w:jc w:val="center"/>
                  </w:pPr>
                  <w:r>
                    <w:rPr>
                      <w:rFonts w:hint="eastAsia"/>
                    </w:rPr>
                    <w:t>1套</w:t>
                  </w:r>
                </w:p>
              </w:tc>
              <w:tc>
                <w:tcPr>
                  <w:tcW w:w="662" w:type="pct"/>
                  <w:vAlign w:val="center"/>
                </w:tcPr>
                <w:p>
                  <w:pPr>
                    <w:jc w:val="center"/>
                  </w:pPr>
                  <w:r>
                    <w:t>1</w:t>
                  </w: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9" w:hRule="atLeast"/>
              </w:trPr>
              <w:tc>
                <w:tcPr>
                  <w:tcW w:w="282" w:type="pct"/>
                  <w:vMerge w:val="restart"/>
                  <w:vAlign w:val="center"/>
                </w:tcPr>
                <w:p>
                  <w:pPr>
                    <w:jc w:val="center"/>
                  </w:pPr>
                  <w:r>
                    <w:rPr>
                      <w:rFonts w:hint="eastAsia"/>
                    </w:rPr>
                    <w:t>废水</w:t>
                  </w:r>
                </w:p>
              </w:tc>
              <w:tc>
                <w:tcPr>
                  <w:tcW w:w="1022" w:type="pct"/>
                  <w:vAlign w:val="center"/>
                </w:tcPr>
                <w:p>
                  <w:pPr>
                    <w:jc w:val="center"/>
                  </w:pPr>
                  <w:r>
                    <w:rPr>
                      <w:rFonts w:hint="eastAsia"/>
                    </w:rPr>
                    <w:t>生活污水</w:t>
                  </w:r>
                </w:p>
              </w:tc>
              <w:tc>
                <w:tcPr>
                  <w:tcW w:w="2529" w:type="pct"/>
                  <w:vAlign w:val="center"/>
                </w:tcPr>
                <w:p>
                  <w:pPr>
                    <w:jc w:val="center"/>
                  </w:pPr>
                  <w:r>
                    <w:t>20m</w:t>
                  </w:r>
                  <w:r>
                    <w:rPr>
                      <w:vertAlign w:val="superscript"/>
                    </w:rPr>
                    <w:t>3</w:t>
                  </w:r>
                  <w:r>
                    <w:rPr>
                      <w:rFonts w:hint="eastAsia"/>
                    </w:rPr>
                    <w:t>化粪池1座，排入园区污水管网</w:t>
                  </w:r>
                </w:p>
              </w:tc>
              <w:tc>
                <w:tcPr>
                  <w:tcW w:w="502" w:type="pct"/>
                  <w:vAlign w:val="center"/>
                </w:tcPr>
                <w:p>
                  <w:pPr>
                    <w:jc w:val="center"/>
                  </w:pPr>
                  <w:r>
                    <w:rPr>
                      <w:rFonts w:hint="eastAsia"/>
                    </w:rPr>
                    <w:t>1座</w:t>
                  </w:r>
                </w:p>
              </w:tc>
              <w:tc>
                <w:tcPr>
                  <w:tcW w:w="662" w:type="pct"/>
                  <w:vAlign w:val="center"/>
                </w:tcPr>
                <w:p>
                  <w:pPr>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282" w:type="pct"/>
                  <w:vMerge w:val="continue"/>
                  <w:vAlign w:val="center"/>
                </w:tcPr>
                <w:p>
                  <w:pPr>
                    <w:jc w:val="center"/>
                  </w:pPr>
                </w:p>
              </w:tc>
              <w:tc>
                <w:tcPr>
                  <w:tcW w:w="1022" w:type="pct"/>
                  <w:vAlign w:val="center"/>
                </w:tcPr>
                <w:p>
                  <w:pPr>
                    <w:jc w:val="center"/>
                  </w:pPr>
                  <w:r>
                    <w:rPr>
                      <w:rFonts w:hint="eastAsia"/>
                    </w:rPr>
                    <w:t>冷却水循环水池</w:t>
                  </w:r>
                </w:p>
              </w:tc>
              <w:tc>
                <w:tcPr>
                  <w:tcW w:w="2529" w:type="pct"/>
                  <w:vAlign w:val="center"/>
                </w:tcPr>
                <w:p>
                  <w:pPr>
                    <w:jc w:val="center"/>
                  </w:pPr>
                  <w:r>
                    <w:rPr>
                      <w:rFonts w:hint="eastAsia"/>
                    </w:rPr>
                    <w:t>1</w:t>
                  </w:r>
                  <w:r>
                    <w:t>00m</w:t>
                  </w:r>
                  <w:r>
                    <w:rPr>
                      <w:vertAlign w:val="superscript"/>
                    </w:rPr>
                    <w:t>3</w:t>
                  </w:r>
                  <w:r>
                    <w:rPr>
                      <w:rFonts w:hint="eastAsia"/>
                    </w:rPr>
                    <w:t>冷却水循环水池1座，回用于厂区洒水降尘</w:t>
                  </w:r>
                </w:p>
              </w:tc>
              <w:tc>
                <w:tcPr>
                  <w:tcW w:w="502" w:type="pct"/>
                  <w:vAlign w:val="center"/>
                </w:tcPr>
                <w:p>
                  <w:pPr>
                    <w:jc w:val="center"/>
                  </w:pPr>
                  <w:r>
                    <w:rPr>
                      <w:rFonts w:hint="eastAsia"/>
                    </w:rPr>
                    <w:t>1座</w:t>
                  </w:r>
                </w:p>
              </w:tc>
              <w:tc>
                <w:tcPr>
                  <w:tcW w:w="662" w:type="pct"/>
                  <w:vAlign w:val="center"/>
                </w:tcPr>
                <w:p>
                  <w:pPr>
                    <w:jc w:val="center"/>
                  </w:pPr>
                  <w:r>
                    <w:rPr>
                      <w:rFonts w:hint="eastAsia"/>
                    </w:rPr>
                    <w:t>8</w:t>
                  </w: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82" w:type="pct"/>
                  <w:vMerge w:val="restart"/>
                  <w:vAlign w:val="center"/>
                </w:tcPr>
                <w:p>
                  <w:pPr>
                    <w:jc w:val="center"/>
                  </w:pPr>
                  <w:r>
                    <w:t>噪声</w:t>
                  </w:r>
                </w:p>
              </w:tc>
              <w:tc>
                <w:tcPr>
                  <w:tcW w:w="1022" w:type="pct"/>
                  <w:vAlign w:val="center"/>
                </w:tcPr>
                <w:p>
                  <w:pPr>
                    <w:pStyle w:val="102"/>
                  </w:pPr>
                  <w:r>
                    <w:rPr>
                      <w:rFonts w:hint="eastAsia"/>
                    </w:rPr>
                    <w:t>生产及除尘设备</w:t>
                  </w:r>
                </w:p>
              </w:tc>
              <w:tc>
                <w:tcPr>
                  <w:tcW w:w="3031" w:type="pct"/>
                  <w:gridSpan w:val="2"/>
                  <w:vAlign w:val="center"/>
                </w:tcPr>
                <w:p>
                  <w:pPr>
                    <w:pStyle w:val="102"/>
                  </w:pPr>
                  <w:r>
                    <w:rPr>
                      <w:rFonts w:hint="eastAsia"/>
                    </w:rPr>
                    <w:t>选用低噪声设备、风机加装消声器、厂房隔声</w:t>
                  </w:r>
                </w:p>
              </w:tc>
              <w:tc>
                <w:tcPr>
                  <w:tcW w:w="662" w:type="pct"/>
                  <w:vAlign w:val="center"/>
                </w:tcPr>
                <w:p>
                  <w:pPr>
                    <w:pStyle w:val="102"/>
                  </w:pPr>
                  <w:r>
                    <w:rPr>
                      <w:rFonts w:hint="eastAsia"/>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82" w:type="pct"/>
                  <w:vMerge w:val="continue"/>
                  <w:vAlign w:val="center"/>
                </w:tcPr>
                <w:p>
                  <w:pPr>
                    <w:jc w:val="center"/>
                  </w:pPr>
                </w:p>
              </w:tc>
              <w:tc>
                <w:tcPr>
                  <w:tcW w:w="1022" w:type="pct"/>
                  <w:vAlign w:val="center"/>
                </w:tcPr>
                <w:p>
                  <w:pPr>
                    <w:pStyle w:val="102"/>
                  </w:pPr>
                  <w:r>
                    <w:t>运输车辆</w:t>
                  </w:r>
                </w:p>
              </w:tc>
              <w:tc>
                <w:tcPr>
                  <w:tcW w:w="3031" w:type="pct"/>
                  <w:gridSpan w:val="2"/>
                  <w:vAlign w:val="center"/>
                </w:tcPr>
                <w:p>
                  <w:pPr>
                    <w:pStyle w:val="102"/>
                  </w:pPr>
                  <w:r>
                    <w:t>设置减速带、限鸣标识</w:t>
                  </w:r>
                </w:p>
              </w:tc>
              <w:tc>
                <w:tcPr>
                  <w:tcW w:w="662" w:type="pct"/>
                  <w:vAlign w:val="center"/>
                </w:tcPr>
                <w:p>
                  <w:pPr>
                    <w:pStyle w:val="102"/>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82" w:type="pct"/>
                  <w:vMerge w:val="restart"/>
                  <w:vAlign w:val="center"/>
                </w:tcPr>
                <w:p>
                  <w:pPr>
                    <w:jc w:val="center"/>
                  </w:pPr>
                  <w:r>
                    <w:t>固废</w:t>
                  </w:r>
                </w:p>
              </w:tc>
              <w:tc>
                <w:tcPr>
                  <w:tcW w:w="1022" w:type="pct"/>
                  <w:vAlign w:val="center"/>
                </w:tcPr>
                <w:p>
                  <w:pPr>
                    <w:jc w:val="center"/>
                  </w:pPr>
                  <w:r>
                    <w:rPr>
                      <w:rFonts w:hint="eastAsia"/>
                    </w:rPr>
                    <w:t>不合格成品</w:t>
                  </w:r>
                </w:p>
              </w:tc>
              <w:tc>
                <w:tcPr>
                  <w:tcW w:w="3031" w:type="pct"/>
                  <w:gridSpan w:val="2"/>
                  <w:vAlign w:val="center"/>
                </w:tcPr>
                <w:p>
                  <w:pPr>
                    <w:jc w:val="center"/>
                  </w:pPr>
                  <w:r>
                    <w:rPr>
                      <w:rFonts w:hint="eastAsia"/>
                    </w:rPr>
                    <w:t>回用生产</w:t>
                  </w:r>
                </w:p>
              </w:tc>
              <w:tc>
                <w:tcPr>
                  <w:tcW w:w="662" w:type="pct"/>
                  <w:vAlign w:val="center"/>
                </w:tcPr>
                <w:p>
                  <w:pPr>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trPr>
              <w:tc>
                <w:tcPr>
                  <w:tcW w:w="282" w:type="pct"/>
                  <w:vMerge w:val="continue"/>
                  <w:vAlign w:val="center"/>
                </w:tcPr>
                <w:p>
                  <w:pPr>
                    <w:jc w:val="center"/>
                  </w:pPr>
                </w:p>
              </w:tc>
              <w:tc>
                <w:tcPr>
                  <w:tcW w:w="1022" w:type="pct"/>
                  <w:vAlign w:val="center"/>
                </w:tcPr>
                <w:p>
                  <w:pPr>
                    <w:jc w:val="center"/>
                  </w:pPr>
                  <w:r>
                    <w:t>生活垃圾</w:t>
                  </w:r>
                </w:p>
              </w:tc>
              <w:tc>
                <w:tcPr>
                  <w:tcW w:w="3031" w:type="pct"/>
                  <w:gridSpan w:val="2"/>
                  <w:vAlign w:val="center"/>
                </w:tcPr>
                <w:p>
                  <w:pPr>
                    <w:jc w:val="center"/>
                  </w:pPr>
                  <w:r>
                    <w:t>生活垃圾</w:t>
                  </w:r>
                  <w:r>
                    <w:rPr>
                      <w:rFonts w:hint="eastAsia"/>
                    </w:rPr>
                    <w:t>分类收集桶</w:t>
                  </w:r>
                </w:p>
              </w:tc>
              <w:tc>
                <w:tcPr>
                  <w:tcW w:w="662" w:type="pct"/>
                  <w:vAlign w:val="center"/>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1" w:hRule="atLeast"/>
              </w:trPr>
              <w:tc>
                <w:tcPr>
                  <w:tcW w:w="282" w:type="pct"/>
                  <w:vMerge w:val="continue"/>
                  <w:vAlign w:val="center"/>
                </w:tcPr>
                <w:p>
                  <w:pPr>
                    <w:jc w:val="center"/>
                  </w:pPr>
                </w:p>
              </w:tc>
              <w:tc>
                <w:tcPr>
                  <w:tcW w:w="1022" w:type="pct"/>
                  <w:vAlign w:val="center"/>
                </w:tcPr>
                <w:p>
                  <w:pPr>
                    <w:jc w:val="center"/>
                  </w:pPr>
                  <w:r>
                    <w:rPr>
                      <w:rFonts w:hint="eastAsia"/>
                    </w:rPr>
                    <w:t>除尘灰</w:t>
                  </w:r>
                </w:p>
              </w:tc>
              <w:tc>
                <w:tcPr>
                  <w:tcW w:w="3031" w:type="pct"/>
                  <w:gridSpan w:val="2"/>
                  <w:vAlign w:val="center"/>
                </w:tcPr>
                <w:p>
                  <w:pPr>
                    <w:jc w:val="center"/>
                  </w:pPr>
                  <w:r>
                    <w:rPr>
                      <w:rFonts w:hint="eastAsia"/>
                    </w:rPr>
                    <w:t>回用生产</w:t>
                  </w:r>
                </w:p>
              </w:tc>
              <w:tc>
                <w:tcPr>
                  <w:tcW w:w="662" w:type="pct"/>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trPr>
              <w:tc>
                <w:tcPr>
                  <w:tcW w:w="282" w:type="pct"/>
                  <w:vMerge w:val="continue"/>
                  <w:vAlign w:val="center"/>
                </w:tcPr>
                <w:p>
                  <w:pPr>
                    <w:jc w:val="center"/>
                  </w:pPr>
                </w:p>
              </w:tc>
              <w:tc>
                <w:tcPr>
                  <w:tcW w:w="1022" w:type="pct"/>
                  <w:vAlign w:val="center"/>
                </w:tcPr>
                <w:p>
                  <w:pPr>
                    <w:jc w:val="center"/>
                  </w:pPr>
                  <w:r>
                    <w:rPr>
                      <w:rFonts w:hint="eastAsia"/>
                    </w:rPr>
                    <w:t>废包装材料</w:t>
                  </w:r>
                </w:p>
              </w:tc>
              <w:tc>
                <w:tcPr>
                  <w:tcW w:w="3031" w:type="pct"/>
                  <w:gridSpan w:val="2"/>
                  <w:vAlign w:val="center"/>
                </w:tcPr>
                <w:p>
                  <w:pPr>
                    <w:jc w:val="center"/>
                  </w:pPr>
                  <w:r>
                    <w:rPr>
                      <w:rFonts w:hint="eastAsia"/>
                    </w:rPr>
                    <w:t>1座2</w:t>
                  </w:r>
                  <w:r>
                    <w:t>0m</w:t>
                  </w:r>
                  <w:r>
                    <w:rPr>
                      <w:vertAlign w:val="superscript"/>
                    </w:rPr>
                    <w:t>2</w:t>
                  </w:r>
                  <w:r>
                    <w:rPr>
                      <w:rFonts w:hint="eastAsia"/>
                    </w:rPr>
                    <w:t>一般固废暂存间</w:t>
                  </w:r>
                </w:p>
              </w:tc>
              <w:tc>
                <w:tcPr>
                  <w:tcW w:w="662" w:type="pct"/>
                  <w:vAlign w:val="center"/>
                </w:tcPr>
                <w:p>
                  <w:pPr>
                    <w:jc w:val="center"/>
                  </w:pPr>
                  <w: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82" w:type="pct"/>
                  <w:vMerge w:val="continue"/>
                  <w:vAlign w:val="center"/>
                </w:tcPr>
                <w:p>
                  <w:pPr>
                    <w:jc w:val="center"/>
                  </w:pPr>
                </w:p>
              </w:tc>
              <w:tc>
                <w:tcPr>
                  <w:tcW w:w="1022" w:type="pct"/>
                  <w:vAlign w:val="center"/>
                </w:tcPr>
                <w:p>
                  <w:pPr>
                    <w:jc w:val="center"/>
                  </w:pPr>
                  <w:r>
                    <w:t>废润滑油及废活性炭</w:t>
                  </w:r>
                </w:p>
              </w:tc>
              <w:tc>
                <w:tcPr>
                  <w:tcW w:w="3031" w:type="pct"/>
                  <w:gridSpan w:val="2"/>
                  <w:vAlign w:val="center"/>
                </w:tcPr>
                <w:p>
                  <w:pPr>
                    <w:jc w:val="center"/>
                  </w:pPr>
                  <w:r>
                    <w:rPr>
                      <w:rFonts w:hint="eastAsia"/>
                    </w:rPr>
                    <w:t>1座2</w:t>
                  </w:r>
                  <w:r>
                    <w:t>0m</w:t>
                  </w:r>
                  <w:r>
                    <w:rPr>
                      <w:vertAlign w:val="superscript"/>
                    </w:rPr>
                    <w:t>2</w:t>
                  </w:r>
                  <w:r>
                    <w:t>危废</w:t>
                  </w:r>
                  <w:r>
                    <w:rPr>
                      <w:rFonts w:hint="eastAsia"/>
                    </w:rPr>
                    <w:t>暂存间</w:t>
                  </w:r>
                  <w:r>
                    <w:t>，交给有资质单位处置</w:t>
                  </w:r>
                </w:p>
              </w:tc>
              <w:tc>
                <w:tcPr>
                  <w:tcW w:w="662" w:type="pct"/>
                  <w:vAlign w:val="center"/>
                </w:tcPr>
                <w:p>
                  <w:pPr>
                    <w:jc w:val="center"/>
                  </w:pPr>
                  <w:r>
                    <w:t>8</w:t>
                  </w:r>
                  <w:r>
                    <w:rPr>
                      <w:rFonts w:hint="eastAsia"/>
                    </w:rPr>
                    <w:t>.</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05" w:type="pct"/>
                  <w:gridSpan w:val="2"/>
                  <w:vAlign w:val="center"/>
                </w:tcPr>
                <w:p>
                  <w:pPr>
                    <w:jc w:val="center"/>
                  </w:pPr>
                  <w:r>
                    <w:rPr>
                      <w:rFonts w:hint="eastAsia"/>
                    </w:rPr>
                    <w:t>防渗</w:t>
                  </w:r>
                </w:p>
              </w:tc>
              <w:tc>
                <w:tcPr>
                  <w:tcW w:w="3031" w:type="pct"/>
                  <w:gridSpan w:val="2"/>
                  <w:vAlign w:val="center"/>
                </w:tcPr>
                <w:p>
                  <w:pPr>
                    <w:jc w:val="center"/>
                  </w:pPr>
                  <w:r>
                    <w:t>厂区建构筑物及道路基础按防渗要求进行防渗处理</w:t>
                  </w:r>
                </w:p>
              </w:tc>
              <w:tc>
                <w:tcPr>
                  <w:tcW w:w="662" w:type="pct"/>
                  <w:vAlign w:val="center"/>
                </w:tcPr>
                <w:p>
                  <w:pPr>
                    <w:jc w:val="center"/>
                  </w:pPr>
                  <w: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05" w:type="pct"/>
                  <w:gridSpan w:val="2"/>
                  <w:vAlign w:val="center"/>
                </w:tcPr>
                <w:p>
                  <w:pPr>
                    <w:jc w:val="center"/>
                  </w:pPr>
                  <w:r>
                    <w:rPr>
                      <w:rFonts w:hint="eastAsia"/>
                    </w:rPr>
                    <w:t>绿化</w:t>
                  </w:r>
                </w:p>
              </w:tc>
              <w:tc>
                <w:tcPr>
                  <w:tcW w:w="3031" w:type="pct"/>
                  <w:gridSpan w:val="2"/>
                  <w:vAlign w:val="center"/>
                </w:tcPr>
                <w:p>
                  <w:pPr>
                    <w:jc w:val="center"/>
                  </w:pPr>
                  <w:r>
                    <w:t>厂区空地及周边进行绿化</w:t>
                  </w:r>
                </w:p>
              </w:tc>
              <w:tc>
                <w:tcPr>
                  <w:tcW w:w="662" w:type="pct"/>
                  <w:vAlign w:val="center"/>
                </w:tcPr>
                <w:p>
                  <w:pPr>
                    <w:jc w:val="center"/>
                  </w:pPr>
                  <w:r>
                    <w:rPr>
                      <w:rFonts w:hint="eastAsia"/>
                    </w:rPr>
                    <w:t>2</w:t>
                  </w: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337" w:type="pct"/>
                  <w:gridSpan w:val="4"/>
                  <w:vAlign w:val="center"/>
                </w:tcPr>
                <w:p>
                  <w:pPr>
                    <w:jc w:val="center"/>
                  </w:pPr>
                  <w:r>
                    <w:t>合计</w:t>
                  </w:r>
                </w:p>
              </w:tc>
              <w:tc>
                <w:tcPr>
                  <w:tcW w:w="662" w:type="pct"/>
                  <w:vAlign w:val="center"/>
                </w:tcPr>
                <w:p>
                  <w:pPr>
                    <w:jc w:val="center"/>
                  </w:pPr>
                  <w:r>
                    <w:rPr>
                      <w:rFonts w:hint="eastAsia"/>
                    </w:rPr>
                    <w:t>214.6</w:t>
                  </w:r>
                </w:p>
              </w:tc>
            </w:tr>
          </w:tbl>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tc>
      </w:tr>
      <w:bookmarkEnd w:id="30"/>
    </w:tbl>
    <w:p>
      <w:pPr>
        <w:adjustRightInd w:val="0"/>
        <w:snapToGrid w:val="0"/>
        <w:spacing w:line="360" w:lineRule="auto"/>
        <w:rPr>
          <w:b/>
          <w:kern w:val="0"/>
          <w:sz w:val="28"/>
          <w:szCs w:val="28"/>
        </w:rPr>
        <w:sectPr>
          <w:pgSz w:w="11907" w:h="16840"/>
          <w:pgMar w:top="1701" w:right="1531" w:bottom="2127" w:left="1531" w:header="851" w:footer="851" w:gutter="0"/>
          <w:cols w:space="720" w:num="1"/>
          <w:docGrid w:linePitch="312" w:charSpace="0"/>
        </w:sectPr>
      </w:pPr>
    </w:p>
    <w:p>
      <w:pPr>
        <w:pStyle w:val="26"/>
        <w:jc w:val="center"/>
        <w:outlineLvl w:val="0"/>
        <w:rPr>
          <w:rFonts w:ascii="Times New Roman" w:hAnsi="Times New Roman"/>
          <w:b/>
          <w:bCs/>
          <w:snapToGrid w:val="0"/>
          <w:sz w:val="30"/>
          <w:szCs w:val="30"/>
        </w:rPr>
      </w:pPr>
      <w:bookmarkStart w:id="45" w:name="_Toc7797"/>
      <w:bookmarkStart w:id="46" w:name="_Toc24391"/>
      <w:r>
        <w:rPr>
          <w:rFonts w:ascii="Times New Roman" w:hAnsi="Times New Roman"/>
          <w:b/>
          <w:bCs/>
          <w:snapToGrid w:val="0"/>
          <w:sz w:val="30"/>
          <w:szCs w:val="30"/>
        </w:rPr>
        <w:t>五、</w:t>
      </w:r>
      <w:bookmarkStart w:id="47" w:name="_Hlk54167917"/>
      <w:r>
        <w:rPr>
          <w:rFonts w:ascii="Times New Roman" w:hAnsi="Times New Roman"/>
          <w:b/>
          <w:bCs/>
          <w:snapToGrid w:val="0"/>
          <w:sz w:val="30"/>
          <w:szCs w:val="30"/>
        </w:rPr>
        <w:t>环境保护措施监督检查清单</w:t>
      </w:r>
      <w:bookmarkEnd w:id="45"/>
      <w:bookmarkEnd w:id="46"/>
      <w:bookmarkEnd w:id="47"/>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435"/>
        <w:gridCol w:w="1305"/>
        <w:gridCol w:w="1290"/>
        <w:gridCol w:w="2460"/>
        <w:gridCol w:w="1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45" w:type="dxa"/>
            <w:tcBorders>
              <w:tl2br w:val="single" w:color="auto" w:sz="4" w:space="0"/>
            </w:tcBorders>
          </w:tcPr>
          <w:p>
            <w:pPr>
              <w:adjustRightInd w:val="0"/>
              <w:snapToGrid w:val="0"/>
              <w:ind w:firstLine="840"/>
              <w:rPr>
                <w:b/>
                <w:bCs/>
                <w:szCs w:val="21"/>
              </w:rPr>
            </w:pPr>
            <w:r>
              <w:rPr>
                <w:b/>
                <w:bCs/>
                <w:szCs w:val="21"/>
              </w:rPr>
              <w:t>内容</w:t>
            </w:r>
          </w:p>
          <w:p>
            <w:pPr>
              <w:adjustRightInd w:val="0"/>
              <w:snapToGrid w:val="0"/>
              <w:rPr>
                <w:b/>
                <w:bCs/>
                <w:szCs w:val="21"/>
              </w:rPr>
            </w:pPr>
            <w:r>
              <w:rPr>
                <w:b/>
                <w:bCs/>
                <w:szCs w:val="21"/>
              </w:rPr>
              <w:t>要素</w:t>
            </w:r>
          </w:p>
        </w:tc>
        <w:tc>
          <w:tcPr>
            <w:tcW w:w="1740" w:type="dxa"/>
            <w:gridSpan w:val="2"/>
            <w:vAlign w:val="center"/>
          </w:tcPr>
          <w:p>
            <w:pPr>
              <w:adjustRightInd w:val="0"/>
              <w:snapToGrid w:val="0"/>
              <w:jc w:val="center"/>
              <w:rPr>
                <w:b/>
                <w:bCs/>
                <w:szCs w:val="21"/>
              </w:rPr>
            </w:pPr>
            <w:r>
              <w:rPr>
                <w:b/>
                <w:bCs/>
                <w:szCs w:val="21"/>
              </w:rPr>
              <w:t>排放口(编号、</w:t>
            </w:r>
          </w:p>
          <w:p>
            <w:pPr>
              <w:adjustRightInd w:val="0"/>
              <w:snapToGrid w:val="0"/>
              <w:jc w:val="center"/>
              <w:rPr>
                <w:b/>
                <w:bCs/>
                <w:szCs w:val="21"/>
              </w:rPr>
            </w:pPr>
            <w:r>
              <w:rPr>
                <w:b/>
                <w:bCs/>
                <w:szCs w:val="21"/>
              </w:rPr>
              <w:t>名称)/污染源</w:t>
            </w:r>
          </w:p>
        </w:tc>
        <w:tc>
          <w:tcPr>
            <w:tcW w:w="1290" w:type="dxa"/>
            <w:vAlign w:val="center"/>
          </w:tcPr>
          <w:p>
            <w:pPr>
              <w:adjustRightInd w:val="0"/>
              <w:snapToGrid w:val="0"/>
              <w:jc w:val="center"/>
              <w:rPr>
                <w:b/>
                <w:bCs/>
                <w:szCs w:val="21"/>
              </w:rPr>
            </w:pPr>
            <w:r>
              <w:rPr>
                <w:b/>
                <w:bCs/>
                <w:szCs w:val="21"/>
              </w:rPr>
              <w:t>污染物项目</w:t>
            </w:r>
          </w:p>
        </w:tc>
        <w:tc>
          <w:tcPr>
            <w:tcW w:w="2460" w:type="dxa"/>
            <w:vAlign w:val="center"/>
          </w:tcPr>
          <w:p>
            <w:pPr>
              <w:adjustRightInd w:val="0"/>
              <w:snapToGrid w:val="0"/>
              <w:jc w:val="center"/>
              <w:rPr>
                <w:b/>
                <w:bCs/>
                <w:szCs w:val="21"/>
              </w:rPr>
            </w:pPr>
            <w:r>
              <w:rPr>
                <w:b/>
                <w:bCs/>
                <w:szCs w:val="21"/>
              </w:rPr>
              <w:t>环境保护措施</w:t>
            </w:r>
          </w:p>
        </w:tc>
        <w:tc>
          <w:tcPr>
            <w:tcW w:w="1865" w:type="dxa"/>
            <w:vAlign w:val="center"/>
          </w:tcPr>
          <w:p>
            <w:pPr>
              <w:adjustRightInd w:val="0"/>
              <w:snapToGrid w:val="0"/>
              <w:jc w:val="center"/>
              <w:rPr>
                <w:b/>
                <w:bCs/>
                <w:szCs w:val="21"/>
              </w:rPr>
            </w:pPr>
            <w:r>
              <w:rPr>
                <w:b/>
                <w:bCs/>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45" w:type="dxa"/>
            <w:vMerge w:val="restart"/>
            <w:vAlign w:val="center"/>
          </w:tcPr>
          <w:p>
            <w:pPr>
              <w:adjustRightInd w:val="0"/>
              <w:snapToGrid w:val="0"/>
              <w:jc w:val="center"/>
              <w:rPr>
                <w:b/>
                <w:bCs/>
                <w:szCs w:val="21"/>
              </w:rPr>
            </w:pPr>
            <w:r>
              <w:rPr>
                <w:b/>
                <w:bCs/>
                <w:szCs w:val="21"/>
              </w:rPr>
              <w:t>大气环境</w:t>
            </w:r>
          </w:p>
        </w:tc>
        <w:tc>
          <w:tcPr>
            <w:tcW w:w="435" w:type="dxa"/>
            <w:vMerge w:val="restart"/>
            <w:vAlign w:val="center"/>
          </w:tcPr>
          <w:p>
            <w:pPr>
              <w:adjustRightInd w:val="0"/>
              <w:snapToGrid w:val="0"/>
              <w:jc w:val="center"/>
              <w:rPr>
                <w:szCs w:val="21"/>
              </w:rPr>
            </w:pPr>
            <w:r>
              <w:rPr>
                <w:rFonts w:hint="eastAsia"/>
                <w:szCs w:val="21"/>
              </w:rPr>
              <w:t>有组织</w:t>
            </w:r>
          </w:p>
        </w:tc>
        <w:tc>
          <w:tcPr>
            <w:tcW w:w="1305" w:type="dxa"/>
            <w:vAlign w:val="center"/>
          </w:tcPr>
          <w:p>
            <w:pPr>
              <w:pStyle w:val="102"/>
              <w:spacing w:line="240" w:lineRule="atLeast"/>
            </w:pPr>
            <w:r>
              <w:rPr>
                <w:rFonts w:hint="eastAsia"/>
              </w:rPr>
              <w:t>熔炼烟尘DA001</w:t>
            </w:r>
          </w:p>
        </w:tc>
        <w:tc>
          <w:tcPr>
            <w:tcW w:w="1290" w:type="dxa"/>
            <w:vAlign w:val="center"/>
          </w:tcPr>
          <w:p>
            <w:pPr>
              <w:adjustRightInd w:val="0"/>
              <w:snapToGrid w:val="0"/>
              <w:jc w:val="center"/>
              <w:rPr>
                <w:szCs w:val="21"/>
              </w:rPr>
            </w:pPr>
            <w:r>
              <w:rPr>
                <w:szCs w:val="21"/>
              </w:rPr>
              <w:t>颗粒物</w:t>
            </w:r>
          </w:p>
        </w:tc>
        <w:tc>
          <w:tcPr>
            <w:tcW w:w="2460" w:type="dxa"/>
            <w:vAlign w:val="center"/>
          </w:tcPr>
          <w:p>
            <w:pPr>
              <w:adjustRightInd w:val="0"/>
              <w:snapToGrid w:val="0"/>
              <w:jc w:val="center"/>
              <w:rPr>
                <w:szCs w:val="21"/>
              </w:rPr>
            </w:pPr>
            <w:r>
              <w:rPr>
                <w:rFonts w:hint="eastAsia"/>
                <w:szCs w:val="21"/>
              </w:rPr>
              <w:t>集气罩+高温</w:t>
            </w:r>
            <w:r>
              <w:rPr>
                <w:szCs w:val="21"/>
              </w:rPr>
              <w:t>布袋除尘器</w:t>
            </w:r>
            <w:r>
              <w:rPr>
                <w:rFonts w:hint="eastAsia"/>
                <w:szCs w:val="21"/>
              </w:rPr>
              <w:t>+</w:t>
            </w:r>
            <w:r>
              <w:rPr>
                <w:szCs w:val="21"/>
              </w:rPr>
              <w:t>高15m排气筒，除尘效率99.5%</w:t>
            </w:r>
          </w:p>
        </w:tc>
        <w:tc>
          <w:tcPr>
            <w:tcW w:w="1865" w:type="dxa"/>
            <w:vMerge w:val="restart"/>
            <w:vAlign w:val="center"/>
          </w:tcPr>
          <w:p>
            <w:pPr>
              <w:adjustRightInd w:val="0"/>
              <w:snapToGrid w:val="0"/>
              <w:rPr>
                <w:szCs w:val="21"/>
              </w:rPr>
            </w:pPr>
            <w:r>
              <w:rPr>
                <w:rFonts w:hint="eastAsia"/>
                <w:szCs w:val="21"/>
              </w:rPr>
              <w:t>《矿物棉工业大气污染物排放标准》（GB 41617-2022）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45" w:type="dxa"/>
            <w:vMerge w:val="continue"/>
            <w:vAlign w:val="center"/>
          </w:tcPr>
          <w:p>
            <w:pPr>
              <w:adjustRightInd w:val="0"/>
              <w:snapToGrid w:val="0"/>
              <w:jc w:val="center"/>
              <w:rPr>
                <w:b/>
                <w:bCs/>
                <w:szCs w:val="21"/>
              </w:rPr>
            </w:pPr>
          </w:p>
        </w:tc>
        <w:tc>
          <w:tcPr>
            <w:tcW w:w="435" w:type="dxa"/>
            <w:vMerge w:val="continue"/>
            <w:vAlign w:val="center"/>
          </w:tcPr>
          <w:p>
            <w:pPr>
              <w:adjustRightInd w:val="0"/>
              <w:snapToGrid w:val="0"/>
              <w:jc w:val="center"/>
              <w:rPr>
                <w:szCs w:val="21"/>
              </w:rPr>
            </w:pPr>
          </w:p>
        </w:tc>
        <w:tc>
          <w:tcPr>
            <w:tcW w:w="1305" w:type="dxa"/>
            <w:vAlign w:val="center"/>
          </w:tcPr>
          <w:p>
            <w:pPr>
              <w:pStyle w:val="102"/>
              <w:spacing w:line="240" w:lineRule="atLeast"/>
            </w:pPr>
            <w:r>
              <w:rPr>
                <w:rFonts w:hint="eastAsia"/>
              </w:rPr>
              <w:t>烘干有机废气DA00</w:t>
            </w:r>
            <w:r>
              <w:t>2</w:t>
            </w:r>
          </w:p>
        </w:tc>
        <w:tc>
          <w:tcPr>
            <w:tcW w:w="1290" w:type="dxa"/>
            <w:vAlign w:val="center"/>
          </w:tcPr>
          <w:p>
            <w:pPr>
              <w:jc w:val="center"/>
            </w:pPr>
            <w:r>
              <w:rPr>
                <w:rFonts w:hint="eastAsia"/>
              </w:rPr>
              <w:t>非甲烷总烃</w:t>
            </w:r>
          </w:p>
        </w:tc>
        <w:tc>
          <w:tcPr>
            <w:tcW w:w="2460" w:type="dxa"/>
            <w:vAlign w:val="center"/>
          </w:tcPr>
          <w:p>
            <w:pPr>
              <w:adjustRightInd w:val="0"/>
              <w:snapToGrid w:val="0"/>
              <w:jc w:val="center"/>
              <w:rPr>
                <w:szCs w:val="21"/>
              </w:rPr>
            </w:pPr>
            <w:r>
              <w:rPr>
                <w:rFonts w:hint="eastAsia"/>
              </w:rPr>
              <w:t>两级活性炭吸附+15m高排气筒，吸附效率7</w:t>
            </w:r>
            <w:r>
              <w:t>5%</w:t>
            </w:r>
          </w:p>
        </w:tc>
        <w:tc>
          <w:tcPr>
            <w:tcW w:w="1865" w:type="dxa"/>
            <w:vMerge w:val="continue"/>
            <w:vAlign w:val="center"/>
          </w:tcPr>
          <w:p>
            <w:pPr>
              <w:adjustRightInd w:val="0"/>
              <w:snapToGrid w:val="0"/>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45" w:type="dxa"/>
            <w:vMerge w:val="continue"/>
            <w:vAlign w:val="center"/>
          </w:tcPr>
          <w:p>
            <w:pPr>
              <w:adjustRightInd w:val="0"/>
              <w:snapToGrid w:val="0"/>
              <w:jc w:val="center"/>
              <w:rPr>
                <w:b/>
                <w:bCs/>
                <w:szCs w:val="21"/>
              </w:rPr>
            </w:pPr>
          </w:p>
        </w:tc>
        <w:tc>
          <w:tcPr>
            <w:tcW w:w="435" w:type="dxa"/>
            <w:vMerge w:val="continue"/>
            <w:vAlign w:val="center"/>
          </w:tcPr>
          <w:p>
            <w:pPr>
              <w:adjustRightInd w:val="0"/>
              <w:snapToGrid w:val="0"/>
              <w:jc w:val="center"/>
              <w:rPr>
                <w:szCs w:val="21"/>
              </w:rPr>
            </w:pPr>
          </w:p>
        </w:tc>
        <w:tc>
          <w:tcPr>
            <w:tcW w:w="1305" w:type="dxa"/>
            <w:vAlign w:val="center"/>
          </w:tcPr>
          <w:p>
            <w:pPr>
              <w:pStyle w:val="102"/>
              <w:spacing w:line="240" w:lineRule="atLeast"/>
            </w:pPr>
            <w:r>
              <w:rPr>
                <w:rFonts w:hint="eastAsia"/>
              </w:rPr>
              <w:t>固化有机废气DA00</w:t>
            </w:r>
            <w:r>
              <w:t>3</w:t>
            </w:r>
          </w:p>
        </w:tc>
        <w:tc>
          <w:tcPr>
            <w:tcW w:w="1290" w:type="dxa"/>
            <w:vAlign w:val="center"/>
          </w:tcPr>
          <w:p>
            <w:pPr>
              <w:jc w:val="center"/>
            </w:pPr>
            <w:r>
              <w:rPr>
                <w:rFonts w:hint="eastAsia"/>
              </w:rPr>
              <w:t>非甲烷总烃</w:t>
            </w:r>
          </w:p>
        </w:tc>
        <w:tc>
          <w:tcPr>
            <w:tcW w:w="2460" w:type="dxa"/>
            <w:vAlign w:val="center"/>
          </w:tcPr>
          <w:p>
            <w:pPr>
              <w:adjustRightInd w:val="0"/>
              <w:snapToGrid w:val="0"/>
              <w:jc w:val="center"/>
              <w:rPr>
                <w:szCs w:val="21"/>
              </w:rPr>
            </w:pPr>
            <w:r>
              <w:rPr>
                <w:rFonts w:hint="eastAsia"/>
              </w:rPr>
              <w:t>两级活性炭吸附+15m高排气筒，吸附效率7</w:t>
            </w:r>
            <w:r>
              <w:t>5%</w:t>
            </w:r>
          </w:p>
        </w:tc>
        <w:tc>
          <w:tcPr>
            <w:tcW w:w="1865" w:type="dxa"/>
            <w:vMerge w:val="continue"/>
            <w:vAlign w:val="center"/>
          </w:tcPr>
          <w:p>
            <w:pPr>
              <w:adjustRightInd w:val="0"/>
              <w:snapToGrid w:val="0"/>
              <w:rPr>
                <w:rFonts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45" w:type="dxa"/>
            <w:vMerge w:val="continue"/>
            <w:vAlign w:val="center"/>
          </w:tcPr>
          <w:p>
            <w:pPr>
              <w:adjustRightInd w:val="0"/>
              <w:snapToGrid w:val="0"/>
              <w:jc w:val="center"/>
              <w:rPr>
                <w:szCs w:val="21"/>
              </w:rPr>
            </w:pPr>
          </w:p>
        </w:tc>
        <w:tc>
          <w:tcPr>
            <w:tcW w:w="435" w:type="dxa"/>
            <w:vMerge w:val="continue"/>
            <w:vAlign w:val="center"/>
          </w:tcPr>
          <w:p>
            <w:pPr>
              <w:adjustRightInd w:val="0"/>
              <w:snapToGrid w:val="0"/>
              <w:jc w:val="center"/>
              <w:rPr>
                <w:szCs w:val="21"/>
              </w:rPr>
            </w:pPr>
          </w:p>
        </w:tc>
        <w:tc>
          <w:tcPr>
            <w:tcW w:w="1305" w:type="dxa"/>
            <w:vAlign w:val="center"/>
          </w:tcPr>
          <w:p>
            <w:pPr>
              <w:adjustRightInd w:val="0"/>
              <w:snapToGrid w:val="0"/>
              <w:jc w:val="center"/>
            </w:pPr>
            <w:r>
              <w:rPr>
                <w:rFonts w:hint="eastAsia"/>
                <w:szCs w:val="21"/>
              </w:rPr>
              <w:t>食堂油烟</w:t>
            </w:r>
            <w:r>
              <w:rPr>
                <w:rFonts w:hint="eastAsia"/>
              </w:rPr>
              <w:t>DA00</w:t>
            </w:r>
            <w:r>
              <w:t>4</w:t>
            </w:r>
          </w:p>
        </w:tc>
        <w:tc>
          <w:tcPr>
            <w:tcW w:w="1290" w:type="dxa"/>
            <w:vAlign w:val="center"/>
          </w:tcPr>
          <w:p>
            <w:pPr>
              <w:adjustRightInd w:val="0"/>
              <w:snapToGrid w:val="0"/>
              <w:jc w:val="center"/>
              <w:rPr>
                <w:szCs w:val="21"/>
              </w:rPr>
            </w:pPr>
            <w:r>
              <w:rPr>
                <w:rFonts w:hint="eastAsia"/>
                <w:szCs w:val="21"/>
              </w:rPr>
              <w:t>油烟</w:t>
            </w:r>
          </w:p>
        </w:tc>
        <w:tc>
          <w:tcPr>
            <w:tcW w:w="2460" w:type="dxa"/>
            <w:vAlign w:val="center"/>
          </w:tcPr>
          <w:p>
            <w:pPr>
              <w:adjustRightInd w:val="0"/>
              <w:snapToGrid w:val="0"/>
              <w:jc w:val="center"/>
              <w:rPr>
                <w:szCs w:val="21"/>
              </w:rPr>
            </w:pPr>
            <w:r>
              <w:rPr>
                <w:rFonts w:hint="eastAsia"/>
                <w:szCs w:val="21"/>
              </w:rPr>
              <w:t>油烟净化器</w:t>
            </w:r>
            <w:r>
              <w:rPr>
                <w:rFonts w:hint="eastAsia"/>
              </w:rPr>
              <w:t>，净化效率</w:t>
            </w:r>
            <w:r>
              <w:t>85%</w:t>
            </w:r>
          </w:p>
        </w:tc>
        <w:tc>
          <w:tcPr>
            <w:tcW w:w="1865" w:type="dxa"/>
            <w:vAlign w:val="center"/>
          </w:tcPr>
          <w:p>
            <w:pPr>
              <w:adjustRightInd w:val="0"/>
              <w:snapToGrid w:val="0"/>
              <w:rPr>
                <w:szCs w:val="21"/>
              </w:rPr>
            </w:pPr>
            <w:r>
              <w:rPr>
                <w:szCs w:val="21"/>
              </w:rPr>
              <w:t>《饮食业油烟排放标准（试行）》（GB18483-2001）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445" w:type="dxa"/>
            <w:vMerge w:val="continue"/>
            <w:vAlign w:val="center"/>
          </w:tcPr>
          <w:p>
            <w:pPr>
              <w:adjustRightInd w:val="0"/>
              <w:snapToGrid w:val="0"/>
              <w:jc w:val="center"/>
              <w:rPr>
                <w:b/>
                <w:bCs/>
                <w:szCs w:val="21"/>
              </w:rPr>
            </w:pPr>
          </w:p>
        </w:tc>
        <w:tc>
          <w:tcPr>
            <w:tcW w:w="435" w:type="dxa"/>
            <w:vMerge w:val="restart"/>
            <w:vAlign w:val="center"/>
          </w:tcPr>
          <w:p>
            <w:pPr>
              <w:adjustRightInd w:val="0"/>
              <w:snapToGrid w:val="0"/>
              <w:jc w:val="center"/>
              <w:rPr>
                <w:szCs w:val="21"/>
              </w:rPr>
            </w:pPr>
            <w:r>
              <w:rPr>
                <w:rFonts w:hint="eastAsia"/>
                <w:szCs w:val="21"/>
              </w:rPr>
              <w:t>无组织</w:t>
            </w:r>
          </w:p>
        </w:tc>
        <w:tc>
          <w:tcPr>
            <w:tcW w:w="1305" w:type="dxa"/>
            <w:vAlign w:val="center"/>
          </w:tcPr>
          <w:p>
            <w:pPr>
              <w:pStyle w:val="102"/>
              <w:spacing w:line="240" w:lineRule="atLeast"/>
            </w:pPr>
            <w:r>
              <w:rPr>
                <w:rFonts w:hint="eastAsia"/>
              </w:rPr>
              <w:t>烘干、固化有机废气</w:t>
            </w:r>
          </w:p>
        </w:tc>
        <w:tc>
          <w:tcPr>
            <w:tcW w:w="1290" w:type="dxa"/>
            <w:vAlign w:val="center"/>
          </w:tcPr>
          <w:p>
            <w:pPr>
              <w:jc w:val="center"/>
            </w:pPr>
            <w:r>
              <w:rPr>
                <w:rFonts w:hint="eastAsia"/>
              </w:rPr>
              <w:t>非甲烷总烃</w:t>
            </w:r>
          </w:p>
        </w:tc>
        <w:tc>
          <w:tcPr>
            <w:tcW w:w="2460" w:type="dxa"/>
            <w:vAlign w:val="center"/>
          </w:tcPr>
          <w:p>
            <w:pPr>
              <w:adjustRightInd w:val="0"/>
              <w:snapToGrid w:val="0"/>
              <w:jc w:val="center"/>
              <w:rPr>
                <w:szCs w:val="21"/>
              </w:rPr>
            </w:pPr>
            <w:r>
              <w:rPr>
                <w:szCs w:val="21"/>
              </w:rPr>
              <w:t>车间设通风换气装置</w:t>
            </w:r>
          </w:p>
        </w:tc>
        <w:tc>
          <w:tcPr>
            <w:tcW w:w="1865" w:type="dxa"/>
            <w:vMerge w:val="restart"/>
            <w:vAlign w:val="center"/>
          </w:tcPr>
          <w:p>
            <w:pPr>
              <w:adjustRightInd w:val="0"/>
              <w:snapToGrid w:val="0"/>
              <w:rPr>
                <w:szCs w:val="21"/>
              </w:rPr>
            </w:pPr>
            <w:r>
              <w:rPr>
                <w:rFonts w:hint="eastAsia"/>
              </w:rPr>
              <w:t>《大气污染物综合排放标准》（GB16297-1996）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445" w:type="dxa"/>
            <w:vMerge w:val="continue"/>
            <w:vAlign w:val="center"/>
          </w:tcPr>
          <w:p>
            <w:pPr>
              <w:adjustRightInd w:val="0"/>
              <w:snapToGrid w:val="0"/>
              <w:jc w:val="center"/>
            </w:pPr>
          </w:p>
        </w:tc>
        <w:tc>
          <w:tcPr>
            <w:tcW w:w="435" w:type="dxa"/>
            <w:vMerge w:val="continue"/>
            <w:vAlign w:val="center"/>
          </w:tcPr>
          <w:p>
            <w:pPr>
              <w:adjustRightInd w:val="0"/>
              <w:snapToGrid w:val="0"/>
              <w:jc w:val="center"/>
            </w:pPr>
          </w:p>
        </w:tc>
        <w:tc>
          <w:tcPr>
            <w:tcW w:w="1305" w:type="dxa"/>
            <w:vAlign w:val="center"/>
          </w:tcPr>
          <w:p>
            <w:pPr>
              <w:adjustRightInd w:val="0"/>
              <w:snapToGrid w:val="0"/>
              <w:jc w:val="center"/>
              <w:rPr>
                <w:szCs w:val="21"/>
              </w:rPr>
            </w:pPr>
            <w:r>
              <w:rPr>
                <w:rFonts w:hint="eastAsia"/>
                <w:szCs w:val="21"/>
              </w:rPr>
              <w:t>物料储存，转运及生产</w:t>
            </w:r>
          </w:p>
        </w:tc>
        <w:tc>
          <w:tcPr>
            <w:tcW w:w="1290" w:type="dxa"/>
            <w:vAlign w:val="center"/>
          </w:tcPr>
          <w:p>
            <w:pPr>
              <w:adjustRightInd w:val="0"/>
              <w:snapToGrid w:val="0"/>
              <w:jc w:val="center"/>
              <w:rPr>
                <w:szCs w:val="21"/>
              </w:rPr>
            </w:pPr>
            <w:r>
              <w:rPr>
                <w:rFonts w:hint="eastAsia"/>
                <w:szCs w:val="21"/>
              </w:rPr>
              <w:t>颗粒物</w:t>
            </w:r>
          </w:p>
        </w:tc>
        <w:tc>
          <w:tcPr>
            <w:tcW w:w="2460" w:type="dxa"/>
            <w:vAlign w:val="center"/>
          </w:tcPr>
          <w:p>
            <w:pPr>
              <w:adjustRightInd w:val="0"/>
              <w:snapToGrid w:val="0"/>
              <w:jc w:val="center"/>
              <w:rPr>
                <w:szCs w:val="21"/>
              </w:rPr>
            </w:pPr>
            <w:r>
              <w:rPr>
                <w:rFonts w:hint="eastAsia"/>
                <w:szCs w:val="21"/>
              </w:rPr>
              <w:t>全封闭原料库及生产厂房</w:t>
            </w:r>
          </w:p>
        </w:tc>
        <w:tc>
          <w:tcPr>
            <w:tcW w:w="1865" w:type="dxa"/>
            <w:vMerge w:val="continue"/>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5" w:type="dxa"/>
            <w:vMerge w:val="restart"/>
            <w:vAlign w:val="center"/>
          </w:tcPr>
          <w:p>
            <w:pPr>
              <w:adjustRightInd w:val="0"/>
              <w:snapToGrid w:val="0"/>
              <w:jc w:val="center"/>
              <w:rPr>
                <w:b/>
                <w:bCs/>
                <w:szCs w:val="21"/>
              </w:rPr>
            </w:pPr>
            <w:r>
              <w:rPr>
                <w:b/>
                <w:bCs/>
                <w:szCs w:val="21"/>
              </w:rPr>
              <w:t>地表水环境</w:t>
            </w:r>
          </w:p>
        </w:tc>
        <w:tc>
          <w:tcPr>
            <w:tcW w:w="1740" w:type="dxa"/>
            <w:gridSpan w:val="2"/>
            <w:vAlign w:val="center"/>
          </w:tcPr>
          <w:p>
            <w:pPr>
              <w:adjustRightInd w:val="0"/>
              <w:snapToGrid w:val="0"/>
              <w:jc w:val="center"/>
              <w:rPr>
                <w:szCs w:val="21"/>
              </w:rPr>
            </w:pPr>
            <w:r>
              <w:rPr>
                <w:snapToGrid w:val="0"/>
                <w:kern w:val="0"/>
                <w:szCs w:val="21"/>
              </w:rPr>
              <w:t>生活污水</w:t>
            </w:r>
          </w:p>
        </w:tc>
        <w:tc>
          <w:tcPr>
            <w:tcW w:w="1290" w:type="dxa"/>
            <w:vAlign w:val="center"/>
          </w:tcPr>
          <w:p>
            <w:pPr>
              <w:adjustRightInd w:val="0"/>
              <w:snapToGrid w:val="0"/>
              <w:jc w:val="center"/>
              <w:rPr>
                <w:szCs w:val="21"/>
              </w:rPr>
            </w:pPr>
            <w:r>
              <w:rPr>
                <w:szCs w:val="21"/>
              </w:rPr>
              <w:t>COD</w:t>
            </w:r>
            <w:r>
              <w:rPr>
                <w:rFonts w:hint="eastAsia"/>
                <w:szCs w:val="21"/>
              </w:rPr>
              <w:t>、</w:t>
            </w:r>
            <w:r>
              <w:rPr>
                <w:szCs w:val="21"/>
              </w:rPr>
              <w:t>SS</w:t>
            </w:r>
          </w:p>
        </w:tc>
        <w:tc>
          <w:tcPr>
            <w:tcW w:w="2460" w:type="dxa"/>
            <w:vAlign w:val="center"/>
          </w:tcPr>
          <w:p>
            <w:pPr>
              <w:snapToGrid w:val="0"/>
              <w:jc w:val="center"/>
              <w:rPr>
                <w:szCs w:val="21"/>
              </w:rPr>
            </w:pPr>
            <w:r>
              <w:rPr>
                <w:rFonts w:hint="eastAsia"/>
              </w:rPr>
              <w:t>化粪池1座，排入园区污水管网</w:t>
            </w:r>
          </w:p>
        </w:tc>
        <w:tc>
          <w:tcPr>
            <w:tcW w:w="1865" w:type="dxa"/>
            <w:vAlign w:val="center"/>
          </w:tcPr>
          <w:p>
            <w:pPr>
              <w:adjustRightInd w:val="0"/>
              <w:snapToGrid w:val="0"/>
              <w:jc w:val="center"/>
              <w:rPr>
                <w:szCs w:val="21"/>
              </w:rPr>
            </w:pPr>
            <w:r>
              <w:rPr>
                <w:rFonts w:hint="eastAsia"/>
                <w:szCs w:val="21"/>
              </w:rPr>
              <w:t>《污水排入城镇下水道水质标准》（GB/T31962-2015）中B级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45" w:type="dxa"/>
            <w:vMerge w:val="continue"/>
            <w:vAlign w:val="center"/>
          </w:tcPr>
          <w:p>
            <w:pPr>
              <w:adjustRightInd w:val="0"/>
              <w:snapToGrid w:val="0"/>
              <w:jc w:val="center"/>
              <w:rPr>
                <w:b/>
                <w:bCs/>
                <w:szCs w:val="21"/>
              </w:rPr>
            </w:pPr>
          </w:p>
        </w:tc>
        <w:tc>
          <w:tcPr>
            <w:tcW w:w="1740" w:type="dxa"/>
            <w:gridSpan w:val="2"/>
            <w:vAlign w:val="center"/>
          </w:tcPr>
          <w:p>
            <w:pPr>
              <w:adjustRightInd w:val="0"/>
              <w:snapToGrid w:val="0"/>
              <w:jc w:val="center"/>
              <w:rPr>
                <w:snapToGrid w:val="0"/>
                <w:kern w:val="0"/>
                <w:szCs w:val="21"/>
              </w:rPr>
            </w:pPr>
            <w:r>
              <w:rPr>
                <w:snapToGrid w:val="0"/>
                <w:kern w:val="0"/>
                <w:szCs w:val="21"/>
              </w:rPr>
              <w:t>循环冷却水</w:t>
            </w:r>
          </w:p>
        </w:tc>
        <w:tc>
          <w:tcPr>
            <w:tcW w:w="1290" w:type="dxa"/>
            <w:vAlign w:val="center"/>
          </w:tcPr>
          <w:p>
            <w:pPr>
              <w:adjustRightInd w:val="0"/>
              <w:snapToGrid w:val="0"/>
              <w:jc w:val="center"/>
              <w:rPr>
                <w:szCs w:val="21"/>
              </w:rPr>
            </w:pPr>
            <w:r>
              <w:rPr>
                <w:rFonts w:hint="eastAsia"/>
                <w:szCs w:val="21"/>
              </w:rPr>
              <w:t>S</w:t>
            </w:r>
            <w:r>
              <w:rPr>
                <w:szCs w:val="21"/>
              </w:rPr>
              <w:t>S</w:t>
            </w:r>
          </w:p>
        </w:tc>
        <w:tc>
          <w:tcPr>
            <w:tcW w:w="2460" w:type="dxa"/>
            <w:vAlign w:val="center"/>
          </w:tcPr>
          <w:p>
            <w:pPr>
              <w:snapToGrid w:val="0"/>
              <w:jc w:val="center"/>
            </w:pPr>
            <w:r>
              <w:rPr>
                <w:rFonts w:hint="eastAsia"/>
              </w:rPr>
              <w:t>冷却后循环使用</w:t>
            </w:r>
          </w:p>
        </w:tc>
        <w:tc>
          <w:tcPr>
            <w:tcW w:w="1865" w:type="dxa"/>
            <w:vAlign w:val="center"/>
          </w:tcPr>
          <w:p>
            <w:pPr>
              <w:adjustRightInd w:val="0"/>
              <w:snapToGrid w:val="0"/>
              <w:jc w:val="center"/>
              <w:rPr>
                <w:szCs w:val="21"/>
              </w:rPr>
            </w:pP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445" w:type="dxa"/>
            <w:vAlign w:val="center"/>
          </w:tcPr>
          <w:p>
            <w:pPr>
              <w:adjustRightInd w:val="0"/>
              <w:snapToGrid w:val="0"/>
              <w:jc w:val="center"/>
              <w:rPr>
                <w:b/>
                <w:bCs/>
                <w:szCs w:val="21"/>
              </w:rPr>
            </w:pPr>
            <w:r>
              <w:rPr>
                <w:b/>
                <w:bCs/>
                <w:szCs w:val="21"/>
              </w:rPr>
              <w:t>声环境</w:t>
            </w:r>
          </w:p>
        </w:tc>
        <w:tc>
          <w:tcPr>
            <w:tcW w:w="1740" w:type="dxa"/>
            <w:gridSpan w:val="2"/>
            <w:vAlign w:val="center"/>
          </w:tcPr>
          <w:p>
            <w:pPr>
              <w:adjustRightInd w:val="0"/>
              <w:snapToGrid w:val="0"/>
              <w:jc w:val="center"/>
              <w:rPr>
                <w:szCs w:val="21"/>
              </w:rPr>
            </w:pPr>
            <w:r>
              <w:rPr>
                <w:rFonts w:hint="eastAsia"/>
                <w:bCs/>
                <w:szCs w:val="21"/>
              </w:rPr>
              <w:t>生产设备</w:t>
            </w:r>
          </w:p>
        </w:tc>
        <w:tc>
          <w:tcPr>
            <w:tcW w:w="1290" w:type="dxa"/>
            <w:vAlign w:val="center"/>
          </w:tcPr>
          <w:p>
            <w:pPr>
              <w:adjustRightInd w:val="0"/>
              <w:snapToGrid w:val="0"/>
              <w:jc w:val="center"/>
              <w:rPr>
                <w:szCs w:val="21"/>
              </w:rPr>
            </w:pPr>
            <w:r>
              <w:rPr>
                <w:szCs w:val="21"/>
              </w:rPr>
              <w:t>Leq(A)</w:t>
            </w:r>
          </w:p>
        </w:tc>
        <w:tc>
          <w:tcPr>
            <w:tcW w:w="2460" w:type="dxa"/>
            <w:vAlign w:val="center"/>
          </w:tcPr>
          <w:p>
            <w:pPr>
              <w:adjustRightInd w:val="0"/>
              <w:snapToGrid w:val="0"/>
              <w:jc w:val="center"/>
              <w:rPr>
                <w:szCs w:val="21"/>
              </w:rPr>
            </w:pPr>
            <w:r>
              <w:rPr>
                <w:bCs/>
                <w:snapToGrid w:val="0"/>
                <w:szCs w:val="21"/>
              </w:rPr>
              <w:t>选用低噪声设备、厂房隔声、基础减振等</w:t>
            </w:r>
          </w:p>
        </w:tc>
        <w:tc>
          <w:tcPr>
            <w:tcW w:w="1865" w:type="dxa"/>
            <w:vAlign w:val="center"/>
          </w:tcPr>
          <w:p>
            <w:pPr>
              <w:adjustRightInd w:val="0"/>
              <w:snapToGrid w:val="0"/>
              <w:rPr>
                <w:szCs w:val="21"/>
              </w:rPr>
            </w:pPr>
            <w:r>
              <w:rPr>
                <w:szCs w:val="21"/>
              </w:rPr>
              <w:t>《工业企业厂界环境噪声排放标准》</w:t>
            </w:r>
            <w:r>
              <w:rPr>
                <w:rFonts w:hint="eastAsia"/>
                <w:szCs w:val="21"/>
              </w:rPr>
              <w:t>（</w:t>
            </w:r>
            <w:r>
              <w:rPr>
                <w:szCs w:val="21"/>
              </w:rPr>
              <w:t>GB12348-2008</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445" w:type="dxa"/>
            <w:vAlign w:val="center"/>
          </w:tcPr>
          <w:p>
            <w:pPr>
              <w:adjustRightInd w:val="0"/>
              <w:snapToGrid w:val="0"/>
              <w:jc w:val="center"/>
              <w:rPr>
                <w:b/>
                <w:bCs/>
                <w:szCs w:val="21"/>
              </w:rPr>
            </w:pPr>
            <w:r>
              <w:rPr>
                <w:b/>
                <w:bCs/>
                <w:szCs w:val="21"/>
              </w:rPr>
              <w:t>电磁辐射</w:t>
            </w:r>
          </w:p>
        </w:tc>
        <w:tc>
          <w:tcPr>
            <w:tcW w:w="1740" w:type="dxa"/>
            <w:gridSpan w:val="2"/>
            <w:vAlign w:val="center"/>
          </w:tcPr>
          <w:p>
            <w:pPr>
              <w:adjustRightInd w:val="0"/>
              <w:snapToGrid w:val="0"/>
              <w:jc w:val="center"/>
              <w:rPr>
                <w:szCs w:val="21"/>
              </w:rPr>
            </w:pPr>
            <w:r>
              <w:rPr>
                <w:szCs w:val="21"/>
              </w:rPr>
              <w:t>/</w:t>
            </w:r>
          </w:p>
        </w:tc>
        <w:tc>
          <w:tcPr>
            <w:tcW w:w="1290" w:type="dxa"/>
            <w:vAlign w:val="center"/>
          </w:tcPr>
          <w:p>
            <w:pPr>
              <w:adjustRightInd w:val="0"/>
              <w:snapToGrid w:val="0"/>
              <w:jc w:val="center"/>
              <w:rPr>
                <w:szCs w:val="21"/>
              </w:rPr>
            </w:pPr>
            <w:r>
              <w:rPr>
                <w:szCs w:val="21"/>
              </w:rPr>
              <w:t>/</w:t>
            </w:r>
          </w:p>
        </w:tc>
        <w:tc>
          <w:tcPr>
            <w:tcW w:w="2460" w:type="dxa"/>
            <w:vAlign w:val="center"/>
          </w:tcPr>
          <w:p>
            <w:pPr>
              <w:adjustRightInd w:val="0"/>
              <w:snapToGrid w:val="0"/>
              <w:jc w:val="center"/>
              <w:rPr>
                <w:szCs w:val="21"/>
              </w:rPr>
            </w:pPr>
            <w:r>
              <w:rPr>
                <w:szCs w:val="21"/>
              </w:rPr>
              <w:t>/</w:t>
            </w:r>
          </w:p>
        </w:tc>
        <w:tc>
          <w:tcPr>
            <w:tcW w:w="1865"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1445" w:type="dxa"/>
            <w:vAlign w:val="center"/>
          </w:tcPr>
          <w:p>
            <w:pPr>
              <w:adjustRightInd w:val="0"/>
              <w:snapToGrid w:val="0"/>
              <w:jc w:val="center"/>
              <w:rPr>
                <w:b/>
                <w:bCs/>
                <w:szCs w:val="21"/>
              </w:rPr>
            </w:pPr>
            <w:r>
              <w:rPr>
                <w:b/>
                <w:bCs/>
                <w:szCs w:val="21"/>
              </w:rPr>
              <w:t>固体废物</w:t>
            </w:r>
          </w:p>
        </w:tc>
        <w:tc>
          <w:tcPr>
            <w:tcW w:w="7355" w:type="dxa"/>
            <w:gridSpan w:val="5"/>
            <w:vAlign w:val="center"/>
          </w:tcPr>
          <w:p>
            <w:pPr>
              <w:adjustRightInd w:val="0"/>
              <w:snapToGrid w:val="0"/>
              <w:jc w:val="center"/>
              <w:rPr>
                <w:szCs w:val="21"/>
              </w:rPr>
            </w:pPr>
            <w:r>
              <w:rPr>
                <w:rFonts w:hint="eastAsia"/>
                <w:bCs/>
                <w:szCs w:val="21"/>
              </w:rPr>
              <w:t>不合格成品和除尘灰回用生产；生活垃圾</w:t>
            </w:r>
            <w:r>
              <w:rPr>
                <w:rFonts w:hint="eastAsia"/>
              </w:rPr>
              <w:t>分类</w:t>
            </w:r>
            <w:r>
              <w:rPr>
                <w:rFonts w:hint="eastAsia"/>
                <w:lang w:val="zh-CN"/>
              </w:rPr>
              <w:t>收集后，生</w:t>
            </w:r>
            <w:r>
              <w:rPr>
                <w:rFonts w:hint="eastAsia"/>
              </w:rPr>
              <w:t>由环卫部门清运处置</w:t>
            </w:r>
            <w:r>
              <w:rPr>
                <w:rFonts w:hint="eastAsia"/>
                <w:bCs/>
                <w:szCs w:val="21"/>
              </w:rPr>
              <w:t>；废包装桶由厂家回收利用，废成品包装纸箱由废品回收站回收利用；废润滑油和废活性炭</w:t>
            </w:r>
            <w:r>
              <w:rPr>
                <w:bCs/>
                <w:szCs w:val="21"/>
              </w:rPr>
              <w:t>暂存于危废</w:t>
            </w:r>
            <w:r>
              <w:rPr>
                <w:rFonts w:hint="eastAsia"/>
                <w:bCs/>
                <w:szCs w:val="21"/>
              </w:rPr>
              <w:t>暂存间</w:t>
            </w:r>
            <w:r>
              <w:rPr>
                <w:bCs/>
                <w:szCs w:val="21"/>
              </w:rPr>
              <w:t>，</w:t>
            </w:r>
            <w:r>
              <w:rPr>
                <w:rFonts w:hint="eastAsia"/>
                <w:bCs/>
                <w:szCs w:val="21"/>
              </w:rPr>
              <w:t>委托有资质单位处置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1445" w:type="dxa"/>
            <w:vAlign w:val="center"/>
          </w:tcPr>
          <w:p>
            <w:pPr>
              <w:adjustRightInd w:val="0"/>
              <w:snapToGrid w:val="0"/>
              <w:jc w:val="center"/>
              <w:rPr>
                <w:b/>
                <w:bCs/>
                <w:szCs w:val="21"/>
              </w:rPr>
            </w:pPr>
            <w:r>
              <w:rPr>
                <w:b/>
                <w:bCs/>
                <w:szCs w:val="21"/>
              </w:rPr>
              <w:t>土壤及地下水</w:t>
            </w:r>
          </w:p>
          <w:p>
            <w:pPr>
              <w:adjustRightInd w:val="0"/>
              <w:snapToGrid w:val="0"/>
              <w:jc w:val="center"/>
              <w:rPr>
                <w:b/>
                <w:bCs/>
                <w:szCs w:val="21"/>
              </w:rPr>
            </w:pPr>
            <w:r>
              <w:rPr>
                <w:b/>
                <w:bCs/>
                <w:szCs w:val="21"/>
              </w:rPr>
              <w:t>污染防治措施</w:t>
            </w:r>
          </w:p>
        </w:tc>
        <w:tc>
          <w:tcPr>
            <w:tcW w:w="7355" w:type="dxa"/>
            <w:gridSpan w:val="5"/>
            <w:vAlign w:val="center"/>
          </w:tcPr>
          <w:p>
            <w:pPr>
              <w:adjustRightInd w:val="0"/>
              <w:snapToGrid w:val="0"/>
              <w:jc w:val="left"/>
              <w:rPr>
                <w:bCs/>
                <w:szCs w:val="21"/>
              </w:rPr>
            </w:pPr>
          </w:p>
          <w:p>
            <w:pPr>
              <w:adjustRightInd w:val="0"/>
              <w:snapToGrid w:val="0"/>
              <w:jc w:val="left"/>
              <w:rPr>
                <w:bCs/>
                <w:szCs w:val="21"/>
              </w:rPr>
            </w:pPr>
            <w:r>
              <w:rPr>
                <w:rFonts w:hint="eastAsia"/>
                <w:bCs/>
                <w:szCs w:val="21"/>
              </w:rPr>
              <w:t>1.重点防渗区</w:t>
            </w:r>
          </w:p>
          <w:p>
            <w:pPr>
              <w:adjustRightInd w:val="0"/>
              <w:snapToGrid w:val="0"/>
              <w:jc w:val="left"/>
              <w:rPr>
                <w:bCs/>
                <w:szCs w:val="21"/>
              </w:rPr>
            </w:pPr>
            <w:r>
              <w:rPr>
                <w:rFonts w:hint="eastAsia"/>
                <w:bCs/>
                <w:szCs w:val="21"/>
              </w:rPr>
              <w:t>重点防渗区主要为危废间、浸润剂和固化剂仓库，防渗层至少1米厚粘土层（渗透系数≤10</w:t>
            </w:r>
            <w:r>
              <w:rPr>
                <w:rFonts w:hint="eastAsia"/>
                <w:bCs/>
                <w:szCs w:val="21"/>
                <w:vertAlign w:val="superscript"/>
              </w:rPr>
              <w:t>-7</w:t>
            </w:r>
            <w:r>
              <w:rPr>
                <w:rFonts w:hint="eastAsia"/>
                <w:bCs/>
                <w:szCs w:val="21"/>
              </w:rPr>
              <w:t>cm/s），或2mm厚高密度聚乙烯，或至少2mm厚的其它人工材料，渗透系数≤10</w:t>
            </w:r>
            <w:r>
              <w:rPr>
                <w:rFonts w:hint="eastAsia"/>
                <w:bCs/>
                <w:szCs w:val="21"/>
                <w:vertAlign w:val="superscript"/>
              </w:rPr>
              <w:t>-10</w:t>
            </w:r>
            <w:r>
              <w:rPr>
                <w:rFonts w:hint="eastAsia"/>
                <w:bCs/>
                <w:szCs w:val="21"/>
              </w:rPr>
              <w:t>cm/s。</w:t>
            </w:r>
          </w:p>
          <w:p>
            <w:pPr>
              <w:adjustRightInd w:val="0"/>
              <w:snapToGrid w:val="0"/>
              <w:jc w:val="left"/>
              <w:rPr>
                <w:bCs/>
                <w:szCs w:val="21"/>
              </w:rPr>
            </w:pPr>
            <w:r>
              <w:rPr>
                <w:rFonts w:hint="eastAsia"/>
                <w:bCs/>
                <w:szCs w:val="21"/>
              </w:rPr>
              <w:t>2.一般防渗区</w:t>
            </w:r>
          </w:p>
          <w:p>
            <w:pPr>
              <w:adjustRightInd w:val="0"/>
              <w:snapToGrid w:val="0"/>
              <w:jc w:val="left"/>
              <w:rPr>
                <w:bCs/>
                <w:szCs w:val="21"/>
              </w:rPr>
            </w:pPr>
            <w:r>
              <w:rPr>
                <w:rFonts w:hint="eastAsia"/>
                <w:bCs/>
                <w:szCs w:val="21"/>
              </w:rPr>
              <w:t>一般防渗区指生产区中除了上述重点防渗区以外的其他建筑区，指裸露于地面的生产功能单元，污染地下水及土壤环境的物料污染物泄漏后，可及时发现和处理的区域或部位，主要为生产厂房和成品库等，本项目一般防渗区参照《一般工业固体废物贮存和填埋污染物控制标准》（GB18599-2020）</w:t>
            </w:r>
            <w:r>
              <w:rPr>
                <w:rFonts w:hint="eastAsia"/>
                <w:bCs/>
                <w:szCs w:val="21"/>
              </w:rPr>
              <w:fldChar w:fldCharType="begin"/>
            </w:r>
            <w:r>
              <w:rPr>
                <w:rFonts w:hint="eastAsia"/>
                <w:bCs/>
                <w:szCs w:val="21"/>
              </w:rPr>
              <w:instrText xml:space="preserve"> = 2 \* ROMAN \* MERGEFORMAT </w:instrText>
            </w:r>
            <w:r>
              <w:rPr>
                <w:rFonts w:hint="eastAsia"/>
                <w:bCs/>
                <w:szCs w:val="21"/>
              </w:rPr>
              <w:fldChar w:fldCharType="separate"/>
            </w:r>
            <w:r>
              <w:rPr>
                <w:rFonts w:hint="eastAsia"/>
                <w:bCs/>
                <w:szCs w:val="21"/>
              </w:rPr>
              <w:t>II</w:t>
            </w:r>
            <w:r>
              <w:rPr>
                <w:rFonts w:hint="eastAsia"/>
                <w:bCs/>
                <w:szCs w:val="21"/>
              </w:rPr>
              <w:fldChar w:fldCharType="end"/>
            </w:r>
            <w:r>
              <w:rPr>
                <w:rFonts w:hint="eastAsia"/>
                <w:bCs/>
                <w:szCs w:val="21"/>
              </w:rPr>
              <w:t>类场地进行地面防渗设计。</w:t>
            </w:r>
          </w:p>
          <w:p>
            <w:pPr>
              <w:adjustRightInd w:val="0"/>
              <w:snapToGrid w:val="0"/>
              <w:jc w:val="left"/>
              <w:rPr>
                <w:bCs/>
                <w:szCs w:val="21"/>
              </w:rPr>
            </w:pPr>
            <w:r>
              <w:rPr>
                <w:rFonts w:hint="eastAsia"/>
                <w:bCs/>
                <w:szCs w:val="21"/>
              </w:rPr>
              <w:t>3.</w:t>
            </w:r>
            <w:r>
              <w:rPr>
                <w:bCs/>
                <w:szCs w:val="21"/>
              </w:rPr>
              <w:t>简</w:t>
            </w:r>
            <w:r>
              <w:rPr>
                <w:rFonts w:hint="eastAsia"/>
                <w:bCs/>
                <w:szCs w:val="21"/>
              </w:rPr>
              <w:t>单防渗区</w:t>
            </w:r>
          </w:p>
          <w:p>
            <w:pPr>
              <w:adjustRightInd w:val="0"/>
              <w:snapToGrid w:val="0"/>
              <w:jc w:val="left"/>
              <w:rPr>
                <w:szCs w:val="21"/>
              </w:rPr>
            </w:pPr>
            <w:r>
              <w:rPr>
                <w:rFonts w:hint="eastAsia"/>
                <w:bCs/>
                <w:szCs w:val="21"/>
              </w:rPr>
              <w:t>除重点防渗、一般防渗外，如办公楼和厂区道路采用一般地面硬化。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445" w:type="dxa"/>
            <w:vAlign w:val="center"/>
          </w:tcPr>
          <w:p>
            <w:pPr>
              <w:adjustRightInd w:val="0"/>
              <w:snapToGrid w:val="0"/>
              <w:jc w:val="center"/>
              <w:rPr>
                <w:b/>
                <w:bCs/>
                <w:szCs w:val="21"/>
              </w:rPr>
            </w:pPr>
            <w:r>
              <w:rPr>
                <w:b/>
                <w:bCs/>
                <w:szCs w:val="21"/>
              </w:rPr>
              <w:t>生态保护措施</w:t>
            </w:r>
          </w:p>
        </w:tc>
        <w:tc>
          <w:tcPr>
            <w:tcW w:w="7355" w:type="dxa"/>
            <w:gridSpan w:val="5"/>
            <w:vAlign w:val="center"/>
          </w:tcPr>
          <w:p>
            <w:pPr>
              <w:adjustRightInd w:val="0"/>
              <w:snapToGrid w:val="0"/>
              <w:jc w:val="center"/>
              <w:rPr>
                <w:szCs w:val="21"/>
              </w:rPr>
            </w:pPr>
            <w:r>
              <w:rPr>
                <w:rFonts w:hint="eastAsia"/>
                <w:szCs w:val="21"/>
              </w:rPr>
              <w:t>厂区进行硬化和绿化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4" w:hRule="atLeast"/>
          <w:jc w:val="center"/>
        </w:trPr>
        <w:tc>
          <w:tcPr>
            <w:tcW w:w="1445" w:type="dxa"/>
            <w:vAlign w:val="center"/>
          </w:tcPr>
          <w:p>
            <w:pPr>
              <w:adjustRightInd w:val="0"/>
              <w:snapToGrid w:val="0"/>
              <w:jc w:val="center"/>
              <w:rPr>
                <w:b/>
                <w:bCs/>
                <w:spacing w:val="-8"/>
                <w:szCs w:val="21"/>
              </w:rPr>
            </w:pPr>
            <w:r>
              <w:rPr>
                <w:b/>
                <w:bCs/>
                <w:spacing w:val="-8"/>
                <w:szCs w:val="21"/>
              </w:rPr>
              <w:t>环境风险</w:t>
            </w:r>
          </w:p>
          <w:p>
            <w:pPr>
              <w:adjustRightInd w:val="0"/>
              <w:snapToGrid w:val="0"/>
              <w:jc w:val="center"/>
              <w:rPr>
                <w:b/>
                <w:bCs/>
                <w:spacing w:val="-8"/>
                <w:szCs w:val="21"/>
              </w:rPr>
            </w:pPr>
            <w:r>
              <w:rPr>
                <w:b/>
                <w:bCs/>
                <w:spacing w:val="-8"/>
                <w:szCs w:val="21"/>
              </w:rPr>
              <w:t>防范措施</w:t>
            </w:r>
          </w:p>
        </w:tc>
        <w:tc>
          <w:tcPr>
            <w:tcW w:w="7355" w:type="dxa"/>
            <w:gridSpan w:val="5"/>
            <w:vAlign w:val="center"/>
          </w:tcPr>
          <w:p>
            <w:pPr>
              <w:rPr>
                <w:szCs w:val="21"/>
              </w:rPr>
            </w:pPr>
            <w:r>
              <w:rPr>
                <w:szCs w:val="21"/>
              </w:rPr>
              <w:t>（1）环境风险管理措施</w:t>
            </w:r>
          </w:p>
          <w:p>
            <w:pPr>
              <w:ind w:firstLine="482"/>
              <w:rPr>
                <w:szCs w:val="21"/>
              </w:rPr>
            </w:pPr>
            <w:r>
              <w:rPr>
                <w:szCs w:val="21"/>
              </w:rPr>
              <w:t>配备专职环保人员，制定突发环境事件应急预案并在环保管理部门备案，配备应急物资，确保发生突发环境事件开展救援。制定环境管理制度和操作规程，建立健全环境管理体系和监测体系，完善各种规章制度</w:t>
            </w:r>
            <w:r>
              <w:rPr>
                <w:rFonts w:hint="eastAsia"/>
                <w:szCs w:val="21"/>
              </w:rPr>
              <w:t>。</w:t>
            </w:r>
          </w:p>
          <w:p>
            <w:pPr>
              <w:rPr>
                <w:szCs w:val="21"/>
              </w:rPr>
            </w:pPr>
            <w:r>
              <w:rPr>
                <w:szCs w:val="21"/>
              </w:rPr>
              <w:t>（2）危险废物贮存过程的风险防范措施</w:t>
            </w:r>
          </w:p>
          <w:p>
            <w:pPr>
              <w:ind w:firstLine="482"/>
              <w:rPr>
                <w:szCs w:val="21"/>
              </w:rPr>
            </w:pPr>
            <w:r>
              <w:rPr>
                <w:szCs w:val="21"/>
              </w:rPr>
              <w:t>危险废物贮存设施应配备消防设施等；</w:t>
            </w:r>
          </w:p>
          <w:p>
            <w:pPr>
              <w:rPr>
                <w:szCs w:val="21"/>
              </w:rPr>
            </w:pPr>
            <w:r>
              <w:rPr>
                <w:szCs w:val="21"/>
              </w:rPr>
              <w:t>（3）生产风险防范措施</w:t>
            </w:r>
          </w:p>
          <w:p>
            <w:pPr>
              <w:ind w:firstLine="482"/>
              <w:rPr>
                <w:szCs w:val="21"/>
              </w:rPr>
            </w:pPr>
            <w:r>
              <w:rPr>
                <w:szCs w:val="21"/>
              </w:rPr>
              <w:t>各类物料按要求进行分区、分类存放，并在各类存放区设置标识，车间地面进行硬化，防渗处理；</w:t>
            </w:r>
          </w:p>
          <w:p>
            <w:pPr>
              <w:ind w:firstLine="482"/>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1445" w:type="dxa"/>
            <w:vAlign w:val="center"/>
          </w:tcPr>
          <w:p>
            <w:pPr>
              <w:adjustRightInd w:val="0"/>
              <w:snapToGrid w:val="0"/>
              <w:jc w:val="center"/>
              <w:rPr>
                <w:b/>
                <w:bCs/>
                <w:spacing w:val="-8"/>
                <w:szCs w:val="21"/>
              </w:rPr>
            </w:pPr>
            <w:r>
              <w:rPr>
                <w:b/>
                <w:bCs/>
                <w:spacing w:val="-8"/>
                <w:szCs w:val="21"/>
              </w:rPr>
              <w:t>其他环境</w:t>
            </w:r>
          </w:p>
          <w:p>
            <w:pPr>
              <w:adjustRightInd w:val="0"/>
              <w:snapToGrid w:val="0"/>
              <w:jc w:val="center"/>
              <w:rPr>
                <w:b/>
                <w:bCs/>
                <w:spacing w:val="-8"/>
                <w:szCs w:val="21"/>
              </w:rPr>
            </w:pPr>
            <w:r>
              <w:rPr>
                <w:b/>
                <w:bCs/>
                <w:spacing w:val="-8"/>
                <w:szCs w:val="21"/>
              </w:rPr>
              <w:t>管理要求</w:t>
            </w:r>
          </w:p>
        </w:tc>
        <w:tc>
          <w:tcPr>
            <w:tcW w:w="7355" w:type="dxa"/>
            <w:gridSpan w:val="5"/>
            <w:vAlign w:val="center"/>
          </w:tcPr>
          <w:p>
            <w:pPr>
              <w:pStyle w:val="17"/>
              <w:numPr>
                <w:ilvl w:val="0"/>
                <w:numId w:val="0"/>
              </w:numPr>
              <w:rPr>
                <w:szCs w:val="21"/>
              </w:rPr>
            </w:pPr>
            <w:r>
              <w:rPr>
                <w:szCs w:val="21"/>
              </w:rPr>
              <w:t>严格执行环保三同时管理制度，建成后进行竣工环境保护验收和排污许可管理制度。</w:t>
            </w:r>
          </w:p>
        </w:tc>
      </w:tr>
    </w:tbl>
    <w:p>
      <w:pPr>
        <w:pStyle w:val="26"/>
        <w:jc w:val="center"/>
        <w:outlineLvl w:val="0"/>
        <w:rPr>
          <w:rFonts w:ascii="Times New Roman" w:hAnsi="Times New Roman"/>
          <w:b/>
          <w:bCs/>
          <w:snapToGrid w:val="0"/>
          <w:sz w:val="30"/>
          <w:szCs w:val="30"/>
        </w:rPr>
      </w:pPr>
      <w:r>
        <w:rPr>
          <w:rFonts w:ascii="Times New Roman" w:hAnsi="Times New Roman"/>
          <w:snapToGrid w:val="0"/>
        </w:rPr>
        <w:br w:type="page"/>
      </w:r>
      <w:bookmarkStart w:id="48" w:name="_Toc2901"/>
      <w:bookmarkStart w:id="49" w:name="_Toc31706"/>
      <w:r>
        <w:rPr>
          <w:rFonts w:ascii="Times New Roman" w:hAnsi="Times New Roman"/>
          <w:b/>
          <w:bCs/>
          <w:snapToGrid w:val="0"/>
          <w:sz w:val="30"/>
          <w:szCs w:val="30"/>
        </w:rPr>
        <w:t>六、结论</w:t>
      </w:r>
      <w:bookmarkEnd w:id="48"/>
      <w:bookmarkEnd w:id="49"/>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spacing w:line="360" w:lineRule="auto"/>
              <w:ind w:firstLine="482" w:firstLineChars="200"/>
              <w:rPr>
                <w:sz w:val="24"/>
              </w:rPr>
            </w:pPr>
            <w:r>
              <w:rPr>
                <w:rFonts w:hint="eastAsia"/>
                <w:b/>
                <w:bCs/>
                <w:sz w:val="24"/>
              </w:rPr>
              <w:t>综上所述，</w:t>
            </w:r>
            <w:r>
              <w:rPr>
                <w:b/>
                <w:bCs/>
                <w:sz w:val="24"/>
              </w:rPr>
              <w:t>项目符合国家产业政策和相关规划要求，严格落实报告提出的各项污染防治、生态保护措施后，工程对环境的污染和生态影响可降低到当地环境能够容许的程度，从</w:t>
            </w:r>
            <w:r>
              <w:rPr>
                <w:rFonts w:hint="eastAsia"/>
                <w:b/>
                <w:bCs/>
                <w:sz w:val="24"/>
              </w:rPr>
              <w:t>环境保护角度</w:t>
            </w:r>
            <w:r>
              <w:rPr>
                <w:b/>
                <w:bCs/>
                <w:sz w:val="24"/>
              </w:rPr>
              <w:t>分析，</w:t>
            </w:r>
            <w:r>
              <w:rPr>
                <w:rFonts w:hint="eastAsia"/>
                <w:b/>
                <w:bCs/>
                <w:sz w:val="24"/>
              </w:rPr>
              <w:t>建设项目环境影响</w:t>
            </w:r>
            <w:r>
              <w:rPr>
                <w:b/>
                <w:bCs/>
                <w:sz w:val="24"/>
              </w:rPr>
              <w:t>可行。</w:t>
            </w:r>
          </w:p>
        </w:tc>
      </w:tr>
    </w:tbl>
    <w:p>
      <w:pPr>
        <w:sectPr>
          <w:pgSz w:w="11906" w:h="16838"/>
          <w:pgMar w:top="1701" w:right="1531" w:bottom="1701" w:left="1531" w:header="851" w:footer="851" w:gutter="0"/>
          <w:cols w:space="720" w:num="1"/>
          <w:docGrid w:linePitch="312" w:charSpace="0"/>
        </w:sectPr>
      </w:pPr>
    </w:p>
    <w:p>
      <w:pPr>
        <w:pStyle w:val="26"/>
        <w:adjustRightInd w:val="0"/>
        <w:snapToGrid w:val="0"/>
        <w:spacing w:before="0" w:beforeAutospacing="0" w:after="0" w:afterAutospacing="0"/>
        <w:ind w:firstLine="560"/>
        <w:outlineLvl w:val="0"/>
        <w:rPr>
          <w:rFonts w:ascii="Times New Roman" w:hAnsi="Times New Roman" w:eastAsia="黑体"/>
          <w:snapToGrid w:val="0"/>
          <w:sz w:val="28"/>
          <w:szCs w:val="28"/>
        </w:rPr>
      </w:pPr>
      <w:bookmarkStart w:id="50" w:name="_Toc21648"/>
      <w:r>
        <w:rPr>
          <w:rFonts w:ascii="Times New Roman" w:hAnsi="Times New Roman" w:eastAsia="黑体"/>
          <w:snapToGrid w:val="0"/>
          <w:sz w:val="28"/>
          <w:szCs w:val="28"/>
        </w:rPr>
        <w:t>附表</w:t>
      </w:r>
      <w:bookmarkEnd w:id="50"/>
    </w:p>
    <w:p>
      <w:pPr>
        <w:pStyle w:val="26"/>
        <w:adjustRightInd w:val="0"/>
        <w:snapToGrid w:val="0"/>
        <w:spacing w:before="0" w:beforeAutospacing="0" w:after="0" w:afterAutospacing="0"/>
        <w:ind w:firstLine="600"/>
        <w:jc w:val="center"/>
        <w:outlineLvl w:val="0"/>
        <w:rPr>
          <w:rFonts w:ascii="Times New Roman" w:hAnsi="Times New Roman" w:eastAsia="方正小标宋_GBK"/>
          <w:snapToGrid w:val="0"/>
          <w:sz w:val="30"/>
          <w:szCs w:val="30"/>
        </w:rPr>
      </w:pPr>
      <w:bookmarkStart w:id="51" w:name="_Toc1277"/>
      <w:r>
        <w:rPr>
          <w:rFonts w:ascii="Times New Roman" w:hAnsi="Times New Roman" w:eastAsia="方正小标宋_GBK"/>
          <w:snapToGrid w:val="0"/>
          <w:sz w:val="30"/>
          <w:szCs w:val="30"/>
        </w:rPr>
        <w:t>建设项目污染物排放量汇总表</w:t>
      </w:r>
      <w:bookmarkEnd w:id="51"/>
    </w:p>
    <w:tbl>
      <w:tblPr>
        <w:tblStyle w:val="31"/>
        <w:tblW w:w="1306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418"/>
        <w:gridCol w:w="1701"/>
        <w:gridCol w:w="1417"/>
        <w:gridCol w:w="1560"/>
        <w:gridCol w:w="1524"/>
        <w:gridCol w:w="1575"/>
        <w:gridCol w:w="1680"/>
        <w:gridCol w:w="10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62" w:type="dxa"/>
            <w:tcBorders>
              <w:tl2br w:val="single" w:color="auto" w:sz="4" w:space="0"/>
            </w:tcBorders>
            <w:tcMar>
              <w:left w:w="28" w:type="dxa"/>
              <w:right w:w="28" w:type="dxa"/>
            </w:tcMar>
            <w:vAlign w:val="center"/>
          </w:tcPr>
          <w:p>
            <w:pPr>
              <w:pStyle w:val="60"/>
              <w:spacing w:beforeLines="0" w:afterLines="0" w:line="240" w:lineRule="auto"/>
              <w:jc w:val="right"/>
              <w:rPr>
                <w:rFonts w:ascii="Times New Roman" w:eastAsia="黑体"/>
                <w:snapToGrid w:val="0"/>
                <w:spacing w:val="-6"/>
                <w:kern w:val="21"/>
                <w:szCs w:val="21"/>
              </w:rPr>
            </w:pPr>
            <w:r>
              <w:rPr>
                <w:rFonts w:ascii="Times New Roman" w:eastAsia="黑体"/>
                <w:snapToGrid w:val="0"/>
                <w:spacing w:val="-6"/>
                <w:kern w:val="21"/>
                <w:szCs w:val="21"/>
              </w:rPr>
              <w:t>项目</w:t>
            </w:r>
          </w:p>
          <w:p>
            <w:pPr>
              <w:pStyle w:val="60"/>
              <w:spacing w:beforeLines="0" w:afterLines="0" w:line="240" w:lineRule="auto"/>
              <w:jc w:val="left"/>
              <w:rPr>
                <w:rFonts w:ascii="Times New Roman" w:eastAsia="黑体"/>
                <w:snapToGrid w:val="0"/>
                <w:spacing w:val="-6"/>
                <w:kern w:val="21"/>
                <w:szCs w:val="21"/>
              </w:rPr>
            </w:pPr>
            <w:r>
              <w:rPr>
                <w:rFonts w:ascii="Times New Roman" w:eastAsia="黑体"/>
                <w:snapToGrid w:val="0"/>
                <w:spacing w:val="-6"/>
                <w:kern w:val="21"/>
                <w:szCs w:val="21"/>
              </w:rPr>
              <w:t>分类</w:t>
            </w:r>
          </w:p>
        </w:tc>
        <w:tc>
          <w:tcPr>
            <w:tcW w:w="1418" w:type="dxa"/>
            <w:tcMar>
              <w:left w:w="28" w:type="dxa"/>
              <w:right w:w="28" w:type="dxa"/>
            </w:tcMar>
            <w:vAlign w:val="center"/>
          </w:tcPr>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污染物名称</w:t>
            </w:r>
          </w:p>
        </w:tc>
        <w:tc>
          <w:tcPr>
            <w:tcW w:w="1701" w:type="dxa"/>
            <w:tcMar>
              <w:left w:w="28" w:type="dxa"/>
              <w:right w:w="28" w:type="dxa"/>
            </w:tcMar>
            <w:vAlign w:val="center"/>
          </w:tcPr>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1 \* GB3 \* MERGEFORMAT </w:instrText>
            </w:r>
            <w:r>
              <w:rPr>
                <w:rFonts w:ascii="Times New Roman" w:eastAsia="黑体"/>
                <w:snapToGrid w:val="0"/>
                <w:spacing w:val="-6"/>
                <w:kern w:val="21"/>
                <w:szCs w:val="21"/>
              </w:rPr>
              <w:fldChar w:fldCharType="separate"/>
            </w:r>
            <w:r>
              <w:rPr>
                <w:rFonts w:ascii="Times New Roman" w:eastAsia="黑体"/>
                <w:kern w:val="2"/>
                <w:szCs w:val="21"/>
              </w:rPr>
              <w:t>①</w:t>
            </w:r>
            <w:r>
              <w:rPr>
                <w:rFonts w:ascii="Times New Roman" w:eastAsia="黑体"/>
                <w:snapToGrid w:val="0"/>
                <w:spacing w:val="-6"/>
                <w:kern w:val="21"/>
                <w:szCs w:val="21"/>
              </w:rPr>
              <w:fldChar w:fldCharType="end"/>
            </w:r>
          </w:p>
        </w:tc>
        <w:tc>
          <w:tcPr>
            <w:tcW w:w="1417" w:type="dxa"/>
            <w:tcMar>
              <w:left w:w="28" w:type="dxa"/>
              <w:right w:w="28" w:type="dxa"/>
            </w:tcMar>
            <w:vAlign w:val="center"/>
          </w:tcPr>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许可排放量</w:t>
            </w:r>
          </w:p>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2 \* GB3 \* MERGEFORMAT </w:instrText>
            </w:r>
            <w:r>
              <w:rPr>
                <w:rFonts w:ascii="Times New Roman" w:eastAsia="黑体"/>
                <w:snapToGrid w:val="0"/>
                <w:spacing w:val="-6"/>
                <w:kern w:val="21"/>
                <w:szCs w:val="21"/>
              </w:rPr>
              <w:fldChar w:fldCharType="separate"/>
            </w:r>
            <w:r>
              <w:rPr>
                <w:rFonts w:ascii="Times New Roman" w:eastAsia="黑体"/>
                <w:snapToGrid w:val="0"/>
                <w:spacing w:val="-6"/>
                <w:kern w:val="21"/>
                <w:szCs w:val="21"/>
              </w:rPr>
              <w:t>②</w:t>
            </w:r>
            <w:r>
              <w:rPr>
                <w:rFonts w:ascii="Times New Roman" w:eastAsia="黑体"/>
                <w:snapToGrid w:val="0"/>
                <w:spacing w:val="-6"/>
                <w:kern w:val="21"/>
                <w:szCs w:val="21"/>
              </w:rPr>
              <w:fldChar w:fldCharType="end"/>
            </w:r>
          </w:p>
        </w:tc>
        <w:tc>
          <w:tcPr>
            <w:tcW w:w="1560" w:type="dxa"/>
            <w:tcMar>
              <w:left w:w="28" w:type="dxa"/>
              <w:right w:w="28" w:type="dxa"/>
            </w:tcMar>
            <w:vAlign w:val="center"/>
          </w:tcPr>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在建工程</w:t>
            </w:r>
          </w:p>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3 \* GB3 \* MERGEFORMAT </w:instrText>
            </w:r>
            <w:r>
              <w:rPr>
                <w:rFonts w:ascii="Times New Roman" w:eastAsia="黑体"/>
                <w:snapToGrid w:val="0"/>
                <w:spacing w:val="-6"/>
                <w:kern w:val="21"/>
                <w:szCs w:val="21"/>
              </w:rPr>
              <w:fldChar w:fldCharType="separate"/>
            </w:r>
            <w:r>
              <w:rPr>
                <w:rFonts w:ascii="Times New Roman" w:eastAsia="黑体"/>
                <w:kern w:val="2"/>
                <w:szCs w:val="21"/>
              </w:rPr>
              <w:t>③</w:t>
            </w:r>
            <w:r>
              <w:rPr>
                <w:rFonts w:ascii="Times New Roman" w:eastAsia="黑体"/>
                <w:snapToGrid w:val="0"/>
                <w:spacing w:val="-6"/>
                <w:kern w:val="21"/>
                <w:szCs w:val="21"/>
              </w:rPr>
              <w:fldChar w:fldCharType="end"/>
            </w:r>
          </w:p>
        </w:tc>
        <w:tc>
          <w:tcPr>
            <w:tcW w:w="1524" w:type="dxa"/>
            <w:tcMar>
              <w:left w:w="28" w:type="dxa"/>
              <w:right w:w="28" w:type="dxa"/>
            </w:tcMar>
            <w:vAlign w:val="center"/>
          </w:tcPr>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本项目</w:t>
            </w:r>
          </w:p>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4 \* GB3 \* MERGEFORMAT </w:instrText>
            </w:r>
            <w:r>
              <w:rPr>
                <w:rFonts w:ascii="Times New Roman" w:eastAsia="黑体"/>
                <w:snapToGrid w:val="0"/>
                <w:spacing w:val="-6"/>
                <w:kern w:val="21"/>
                <w:szCs w:val="21"/>
              </w:rPr>
              <w:fldChar w:fldCharType="separate"/>
            </w:r>
            <w:r>
              <w:rPr>
                <w:rFonts w:ascii="Times New Roman" w:eastAsia="黑体"/>
                <w:kern w:val="2"/>
                <w:szCs w:val="21"/>
              </w:rPr>
              <w:t>④</w:t>
            </w:r>
            <w:r>
              <w:rPr>
                <w:rFonts w:ascii="Times New Roman" w:eastAsia="黑体"/>
                <w:snapToGrid w:val="0"/>
                <w:spacing w:val="-6"/>
                <w:kern w:val="21"/>
                <w:szCs w:val="21"/>
              </w:rPr>
              <w:fldChar w:fldCharType="end"/>
            </w:r>
          </w:p>
        </w:tc>
        <w:tc>
          <w:tcPr>
            <w:tcW w:w="1575" w:type="dxa"/>
            <w:tcMar>
              <w:left w:w="28" w:type="dxa"/>
              <w:right w:w="28" w:type="dxa"/>
            </w:tcMar>
            <w:vAlign w:val="center"/>
          </w:tcPr>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以新带老削减量</w:t>
            </w:r>
          </w:p>
          <w:p>
            <w:pPr>
              <w:pStyle w:val="60"/>
              <w:spacing w:beforeLines="0" w:afterLines="0" w:line="240" w:lineRule="auto"/>
              <w:rPr>
                <w:rFonts w:ascii="Times New Roman" w:eastAsia="黑体"/>
                <w:snapToGrid w:val="0"/>
                <w:spacing w:val="-16"/>
                <w:kern w:val="21"/>
                <w:szCs w:val="21"/>
              </w:rPr>
            </w:pPr>
            <w:r>
              <w:rPr>
                <w:rFonts w:ascii="Times New Roman" w:eastAsia="黑体"/>
                <w:snapToGrid w:val="0"/>
                <w:spacing w:val="-6"/>
                <w:kern w:val="21"/>
                <w:szCs w:val="21"/>
              </w:rPr>
              <w:t>（新建项目不填）</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5 \* GB3 \* MERGEFORMAT </w:instrText>
            </w:r>
            <w:r>
              <w:rPr>
                <w:rFonts w:ascii="Times New Roman" w:eastAsia="黑体"/>
                <w:snapToGrid w:val="0"/>
                <w:spacing w:val="-6"/>
                <w:kern w:val="21"/>
                <w:szCs w:val="21"/>
              </w:rPr>
              <w:fldChar w:fldCharType="separate"/>
            </w:r>
            <w:r>
              <w:rPr>
                <w:rFonts w:ascii="Times New Roman" w:eastAsia="黑体"/>
                <w:snapToGrid w:val="0"/>
                <w:spacing w:val="-6"/>
                <w:kern w:val="21"/>
                <w:szCs w:val="21"/>
              </w:rPr>
              <w:t>⑤</w:t>
            </w:r>
            <w:r>
              <w:rPr>
                <w:rFonts w:ascii="Times New Roman" w:eastAsia="黑体"/>
                <w:snapToGrid w:val="0"/>
                <w:spacing w:val="-6"/>
                <w:kern w:val="21"/>
                <w:szCs w:val="21"/>
              </w:rPr>
              <w:fldChar w:fldCharType="end"/>
            </w:r>
          </w:p>
        </w:tc>
        <w:tc>
          <w:tcPr>
            <w:tcW w:w="1680" w:type="dxa"/>
            <w:tcMar>
              <w:left w:w="28" w:type="dxa"/>
              <w:right w:w="28" w:type="dxa"/>
            </w:tcMar>
            <w:vAlign w:val="center"/>
          </w:tcPr>
          <w:p>
            <w:pPr>
              <w:pStyle w:val="60"/>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本项目建成后</w:t>
            </w:r>
          </w:p>
          <w:p>
            <w:pPr>
              <w:pStyle w:val="60"/>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全厂排放量（固体废物产生量）</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6 \* GB3 \* MERGEFORMAT </w:instrText>
            </w:r>
            <w:r>
              <w:rPr>
                <w:rFonts w:ascii="Times New Roman" w:eastAsia="黑体"/>
                <w:snapToGrid w:val="0"/>
                <w:spacing w:val="-16"/>
                <w:kern w:val="21"/>
                <w:szCs w:val="21"/>
              </w:rPr>
              <w:fldChar w:fldCharType="separate"/>
            </w:r>
            <w:r>
              <w:rPr>
                <w:rFonts w:ascii="Times New Roman" w:eastAsia="黑体"/>
                <w:kern w:val="2"/>
                <w:szCs w:val="21"/>
              </w:rPr>
              <w:t>⑥</w:t>
            </w:r>
            <w:r>
              <w:rPr>
                <w:rFonts w:ascii="Times New Roman" w:eastAsia="黑体"/>
                <w:snapToGrid w:val="0"/>
                <w:spacing w:val="-16"/>
                <w:kern w:val="21"/>
                <w:szCs w:val="21"/>
              </w:rPr>
              <w:fldChar w:fldCharType="end"/>
            </w:r>
          </w:p>
        </w:tc>
        <w:tc>
          <w:tcPr>
            <w:tcW w:w="1032" w:type="dxa"/>
            <w:tcMar>
              <w:left w:w="28" w:type="dxa"/>
              <w:right w:w="28" w:type="dxa"/>
            </w:tcMar>
            <w:vAlign w:val="center"/>
          </w:tcPr>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变化量</w:t>
            </w:r>
          </w:p>
          <w:p>
            <w:pPr>
              <w:pStyle w:val="60"/>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7 \* GB3 \* MERGEFORMAT </w:instrText>
            </w:r>
            <w:r>
              <w:rPr>
                <w:rFonts w:ascii="Times New Roman" w:eastAsia="黑体"/>
                <w:snapToGrid w:val="0"/>
                <w:spacing w:val="-6"/>
                <w:kern w:val="21"/>
                <w:szCs w:val="21"/>
              </w:rPr>
              <w:fldChar w:fldCharType="separate"/>
            </w:r>
            <w:r>
              <w:rPr>
                <w:rFonts w:ascii="Times New Roman" w:eastAsia="黑体"/>
                <w:snapToGrid w:val="0"/>
                <w:spacing w:val="-6"/>
                <w:kern w:val="21"/>
                <w:szCs w:val="21"/>
              </w:rPr>
              <w:t>⑦</w:t>
            </w:r>
            <w:r>
              <w:rPr>
                <w:rFonts w:ascii="Times New Roman" w:eastAsia="黑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2" w:type="dxa"/>
            <w:vMerge w:val="restart"/>
            <w:vAlign w:val="center"/>
          </w:tcPr>
          <w:p>
            <w:pPr>
              <w:pStyle w:val="60"/>
              <w:spacing w:beforeLines="0" w:afterLines="0" w:line="240" w:lineRule="auto"/>
              <w:rPr>
                <w:rFonts w:ascii="Times New Roman"/>
                <w:snapToGrid w:val="0"/>
                <w:kern w:val="21"/>
                <w:szCs w:val="21"/>
              </w:rPr>
            </w:pPr>
            <w:r>
              <w:rPr>
                <w:rFonts w:ascii="Times New Roman"/>
                <w:snapToGrid w:val="0"/>
                <w:kern w:val="21"/>
                <w:szCs w:val="21"/>
              </w:rPr>
              <w:t>废气</w:t>
            </w:r>
          </w:p>
        </w:tc>
        <w:tc>
          <w:tcPr>
            <w:tcW w:w="1418"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颗粒物</w:t>
            </w:r>
          </w:p>
        </w:tc>
        <w:tc>
          <w:tcPr>
            <w:tcW w:w="1701"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417"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6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24"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0.163</w:t>
            </w:r>
            <w:r>
              <w:rPr>
                <w:rFonts w:ascii="Times New Roman"/>
                <w:snapToGrid w:val="0"/>
                <w:kern w:val="21"/>
                <w:szCs w:val="21"/>
              </w:rPr>
              <w:t>t/a</w:t>
            </w:r>
          </w:p>
        </w:tc>
        <w:tc>
          <w:tcPr>
            <w:tcW w:w="1575"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8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.163t/a</w:t>
            </w:r>
          </w:p>
        </w:tc>
        <w:tc>
          <w:tcPr>
            <w:tcW w:w="1032"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2" w:type="dxa"/>
            <w:vMerge w:val="continue"/>
            <w:vAlign w:val="center"/>
          </w:tcPr>
          <w:p>
            <w:pPr>
              <w:pStyle w:val="60"/>
              <w:spacing w:beforeLines="0" w:afterLines="0" w:line="240" w:lineRule="auto"/>
              <w:rPr>
                <w:rFonts w:ascii="Times New Roman"/>
                <w:snapToGrid w:val="0"/>
                <w:kern w:val="21"/>
                <w:szCs w:val="21"/>
              </w:rPr>
            </w:pPr>
          </w:p>
        </w:tc>
        <w:tc>
          <w:tcPr>
            <w:tcW w:w="1418"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非甲烷总烃</w:t>
            </w:r>
          </w:p>
        </w:tc>
        <w:tc>
          <w:tcPr>
            <w:tcW w:w="1701"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417"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6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24"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0.0774</w:t>
            </w:r>
            <w:r>
              <w:rPr>
                <w:rFonts w:ascii="Times New Roman"/>
                <w:snapToGrid w:val="0"/>
                <w:kern w:val="21"/>
                <w:szCs w:val="21"/>
              </w:rPr>
              <w:t>t/a</w:t>
            </w:r>
          </w:p>
        </w:tc>
        <w:tc>
          <w:tcPr>
            <w:tcW w:w="1575"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8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0.0774</w:t>
            </w:r>
            <w:r>
              <w:rPr>
                <w:rFonts w:ascii="Times New Roman"/>
                <w:snapToGrid w:val="0"/>
                <w:kern w:val="21"/>
                <w:szCs w:val="21"/>
              </w:rPr>
              <w:t>t/a</w:t>
            </w:r>
          </w:p>
        </w:tc>
        <w:tc>
          <w:tcPr>
            <w:tcW w:w="1032"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2" w:type="dxa"/>
            <w:vMerge w:val="restart"/>
            <w:vAlign w:val="center"/>
          </w:tcPr>
          <w:p>
            <w:pPr>
              <w:pStyle w:val="60"/>
              <w:spacing w:beforeLines="0" w:afterLines="0" w:line="240" w:lineRule="auto"/>
              <w:rPr>
                <w:rFonts w:ascii="Times New Roman"/>
                <w:snapToGrid w:val="0"/>
                <w:kern w:val="21"/>
                <w:szCs w:val="21"/>
              </w:rPr>
            </w:pPr>
            <w:r>
              <w:rPr>
                <w:rFonts w:ascii="Times New Roman"/>
                <w:snapToGrid w:val="0"/>
                <w:kern w:val="21"/>
                <w:szCs w:val="21"/>
              </w:rPr>
              <w:t>废水</w:t>
            </w:r>
          </w:p>
        </w:tc>
        <w:tc>
          <w:tcPr>
            <w:tcW w:w="1418" w:type="dxa"/>
            <w:vAlign w:val="center"/>
          </w:tcPr>
          <w:p>
            <w:pPr>
              <w:pStyle w:val="60"/>
              <w:spacing w:beforeLines="0" w:afterLines="0" w:line="240" w:lineRule="auto"/>
              <w:rPr>
                <w:szCs w:val="21"/>
              </w:rPr>
            </w:pPr>
            <w:r>
              <w:rPr>
                <w:rFonts w:ascii="Times New Roman"/>
                <w:snapToGrid w:val="0"/>
                <w:kern w:val="21"/>
                <w:szCs w:val="21"/>
              </w:rPr>
              <w:t>COD</w:t>
            </w:r>
          </w:p>
        </w:tc>
        <w:tc>
          <w:tcPr>
            <w:tcW w:w="1701"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417"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6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24"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75"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80" w:type="dxa"/>
            <w:vAlign w:val="center"/>
          </w:tcPr>
          <w:p>
            <w:pPr>
              <w:spacing w:line="0" w:lineRule="atLeast"/>
              <w:jc w:val="center"/>
              <w:outlineLvl w:val="1"/>
              <w:rPr>
                <w:snapToGrid w:val="0"/>
                <w:kern w:val="21"/>
                <w:szCs w:val="21"/>
              </w:rPr>
            </w:pPr>
            <w:r>
              <w:rPr>
                <w:rFonts w:hint="eastAsia"/>
                <w:snapToGrid w:val="0"/>
                <w:kern w:val="21"/>
                <w:szCs w:val="21"/>
              </w:rPr>
              <w:t>0</w:t>
            </w:r>
          </w:p>
        </w:tc>
        <w:tc>
          <w:tcPr>
            <w:tcW w:w="1032" w:type="dxa"/>
            <w:vAlign w:val="center"/>
          </w:tcPr>
          <w:p>
            <w:pPr>
              <w:jc w:val="center"/>
              <w:rPr>
                <w:snapToGrid w:val="0"/>
                <w:kern w:val="21"/>
                <w:szCs w:val="21"/>
              </w:rPr>
            </w:pPr>
            <w:r>
              <w:rPr>
                <w:rFonts w:hint="eastAsia"/>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2" w:type="dxa"/>
            <w:vMerge w:val="continue"/>
            <w:vAlign w:val="center"/>
          </w:tcPr>
          <w:p>
            <w:pPr>
              <w:pStyle w:val="60"/>
              <w:spacing w:beforeLines="0" w:afterLines="0" w:line="240" w:lineRule="auto"/>
              <w:rPr>
                <w:rFonts w:ascii="Times New Roman"/>
                <w:snapToGrid w:val="0"/>
                <w:kern w:val="21"/>
                <w:szCs w:val="21"/>
              </w:rPr>
            </w:pPr>
          </w:p>
        </w:tc>
        <w:tc>
          <w:tcPr>
            <w:tcW w:w="1418" w:type="dxa"/>
            <w:vAlign w:val="center"/>
          </w:tcPr>
          <w:p>
            <w:pPr>
              <w:pStyle w:val="60"/>
              <w:spacing w:beforeLines="0" w:afterLines="0" w:line="240" w:lineRule="auto"/>
              <w:rPr>
                <w:szCs w:val="21"/>
              </w:rPr>
            </w:pPr>
            <w:r>
              <w:rPr>
                <w:rFonts w:hint="eastAsia" w:ascii="Times New Roman"/>
                <w:snapToGrid w:val="0"/>
                <w:kern w:val="21"/>
                <w:szCs w:val="21"/>
              </w:rPr>
              <w:t>氨氮</w:t>
            </w:r>
          </w:p>
        </w:tc>
        <w:tc>
          <w:tcPr>
            <w:tcW w:w="1701"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417"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6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24"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75"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80" w:type="dxa"/>
            <w:vAlign w:val="center"/>
          </w:tcPr>
          <w:p>
            <w:pPr>
              <w:spacing w:line="0" w:lineRule="atLeast"/>
              <w:jc w:val="center"/>
              <w:outlineLvl w:val="1"/>
              <w:rPr>
                <w:snapToGrid w:val="0"/>
                <w:kern w:val="21"/>
                <w:szCs w:val="21"/>
              </w:rPr>
            </w:pPr>
            <w:r>
              <w:rPr>
                <w:rFonts w:hint="eastAsia"/>
                <w:snapToGrid w:val="0"/>
                <w:kern w:val="21"/>
                <w:szCs w:val="21"/>
              </w:rPr>
              <w:t>0</w:t>
            </w:r>
          </w:p>
        </w:tc>
        <w:tc>
          <w:tcPr>
            <w:tcW w:w="1032" w:type="dxa"/>
            <w:vAlign w:val="center"/>
          </w:tcPr>
          <w:p>
            <w:pPr>
              <w:jc w:val="center"/>
              <w:rPr>
                <w:snapToGrid w:val="0"/>
                <w:kern w:val="21"/>
                <w:szCs w:val="21"/>
              </w:rPr>
            </w:pPr>
            <w:r>
              <w:rPr>
                <w:rFonts w:hint="eastAsia"/>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2" w:type="dxa"/>
            <w:vMerge w:val="continue"/>
            <w:vAlign w:val="center"/>
          </w:tcPr>
          <w:p>
            <w:pPr>
              <w:pStyle w:val="60"/>
              <w:spacing w:beforeLines="0" w:afterLines="0" w:line="240" w:lineRule="auto"/>
              <w:rPr>
                <w:rFonts w:ascii="Times New Roman"/>
                <w:snapToGrid w:val="0"/>
                <w:kern w:val="21"/>
                <w:szCs w:val="21"/>
              </w:rPr>
            </w:pPr>
          </w:p>
        </w:tc>
        <w:tc>
          <w:tcPr>
            <w:tcW w:w="1418" w:type="dxa"/>
            <w:vAlign w:val="center"/>
          </w:tcPr>
          <w:p>
            <w:pPr>
              <w:pStyle w:val="60"/>
              <w:spacing w:beforeLines="0" w:afterLines="0" w:line="240" w:lineRule="auto"/>
              <w:rPr>
                <w:szCs w:val="21"/>
              </w:rPr>
            </w:pPr>
          </w:p>
        </w:tc>
        <w:tc>
          <w:tcPr>
            <w:tcW w:w="1701"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417"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6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24"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75"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80" w:type="dxa"/>
            <w:vAlign w:val="center"/>
          </w:tcPr>
          <w:p>
            <w:pPr>
              <w:spacing w:line="0" w:lineRule="atLeast"/>
              <w:jc w:val="center"/>
              <w:outlineLvl w:val="1"/>
              <w:rPr>
                <w:snapToGrid w:val="0"/>
                <w:kern w:val="21"/>
                <w:szCs w:val="21"/>
              </w:rPr>
            </w:pPr>
            <w:r>
              <w:rPr>
                <w:rFonts w:hint="eastAsia"/>
                <w:snapToGrid w:val="0"/>
                <w:kern w:val="21"/>
                <w:szCs w:val="21"/>
              </w:rPr>
              <w:t>0</w:t>
            </w:r>
          </w:p>
        </w:tc>
        <w:tc>
          <w:tcPr>
            <w:tcW w:w="1032" w:type="dxa"/>
            <w:vAlign w:val="center"/>
          </w:tcPr>
          <w:p>
            <w:pPr>
              <w:jc w:val="center"/>
              <w:rPr>
                <w:snapToGrid w:val="0"/>
                <w:kern w:val="21"/>
                <w:szCs w:val="21"/>
              </w:rPr>
            </w:pPr>
            <w:r>
              <w:rPr>
                <w:rFonts w:hint="eastAsia"/>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2" w:type="dxa"/>
            <w:vMerge w:val="continue"/>
            <w:vAlign w:val="center"/>
          </w:tcPr>
          <w:p>
            <w:pPr>
              <w:pStyle w:val="60"/>
              <w:spacing w:beforeLines="0" w:afterLines="0" w:line="240" w:lineRule="auto"/>
              <w:rPr>
                <w:rFonts w:ascii="Times New Roman"/>
                <w:snapToGrid w:val="0"/>
                <w:kern w:val="21"/>
                <w:szCs w:val="21"/>
              </w:rPr>
            </w:pPr>
          </w:p>
        </w:tc>
        <w:tc>
          <w:tcPr>
            <w:tcW w:w="1418" w:type="dxa"/>
            <w:vAlign w:val="center"/>
          </w:tcPr>
          <w:p>
            <w:pPr>
              <w:pStyle w:val="60"/>
              <w:spacing w:beforeLines="0" w:afterLines="0" w:line="240" w:lineRule="auto"/>
              <w:rPr>
                <w:szCs w:val="21"/>
              </w:rPr>
            </w:pPr>
          </w:p>
        </w:tc>
        <w:tc>
          <w:tcPr>
            <w:tcW w:w="1701"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417"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6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24"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75"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80" w:type="dxa"/>
            <w:vAlign w:val="center"/>
          </w:tcPr>
          <w:p>
            <w:pPr>
              <w:spacing w:line="0" w:lineRule="atLeast"/>
              <w:jc w:val="center"/>
              <w:outlineLvl w:val="1"/>
              <w:rPr>
                <w:snapToGrid w:val="0"/>
                <w:kern w:val="21"/>
                <w:szCs w:val="21"/>
              </w:rPr>
            </w:pPr>
            <w:r>
              <w:rPr>
                <w:rFonts w:hint="eastAsia"/>
                <w:snapToGrid w:val="0"/>
                <w:kern w:val="21"/>
                <w:szCs w:val="21"/>
              </w:rPr>
              <w:t>0</w:t>
            </w:r>
          </w:p>
        </w:tc>
        <w:tc>
          <w:tcPr>
            <w:tcW w:w="1032" w:type="dxa"/>
            <w:vAlign w:val="center"/>
          </w:tcPr>
          <w:p>
            <w:pPr>
              <w:jc w:val="center"/>
              <w:rPr>
                <w:snapToGrid w:val="0"/>
                <w:kern w:val="21"/>
                <w:szCs w:val="21"/>
              </w:rPr>
            </w:pPr>
            <w:r>
              <w:rPr>
                <w:rFonts w:hint="eastAsia"/>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2" w:type="dxa"/>
            <w:vMerge w:val="restart"/>
            <w:vAlign w:val="center"/>
          </w:tcPr>
          <w:p>
            <w:pPr>
              <w:pStyle w:val="60"/>
              <w:spacing w:beforeLines="0" w:afterLines="0" w:line="240" w:lineRule="auto"/>
              <w:rPr>
                <w:rFonts w:ascii="Times New Roman"/>
                <w:snapToGrid w:val="0"/>
                <w:kern w:val="21"/>
                <w:szCs w:val="21"/>
              </w:rPr>
            </w:pPr>
            <w:r>
              <w:rPr>
                <w:rFonts w:ascii="Times New Roman"/>
                <w:snapToGrid w:val="0"/>
                <w:kern w:val="21"/>
                <w:szCs w:val="21"/>
              </w:rPr>
              <w:t>一般工业</w:t>
            </w:r>
          </w:p>
          <w:p>
            <w:pPr>
              <w:pStyle w:val="60"/>
              <w:spacing w:beforeLines="0" w:afterLines="0" w:line="240" w:lineRule="auto"/>
              <w:rPr>
                <w:rFonts w:ascii="Times New Roman"/>
                <w:snapToGrid w:val="0"/>
                <w:kern w:val="21"/>
                <w:szCs w:val="21"/>
              </w:rPr>
            </w:pPr>
            <w:r>
              <w:rPr>
                <w:rFonts w:ascii="Times New Roman"/>
                <w:snapToGrid w:val="0"/>
                <w:kern w:val="21"/>
                <w:szCs w:val="21"/>
              </w:rPr>
              <w:t>固体废物</w:t>
            </w:r>
          </w:p>
        </w:tc>
        <w:tc>
          <w:tcPr>
            <w:tcW w:w="1418" w:type="dxa"/>
            <w:vAlign w:val="center"/>
          </w:tcPr>
          <w:p>
            <w:pPr>
              <w:adjustRightInd w:val="0"/>
              <w:snapToGrid w:val="0"/>
              <w:jc w:val="center"/>
              <w:rPr>
                <w:szCs w:val="21"/>
              </w:rPr>
            </w:pPr>
            <w:r>
              <w:rPr>
                <w:rFonts w:hint="eastAsia"/>
                <w:szCs w:val="21"/>
              </w:rPr>
              <w:t>不合格成品</w:t>
            </w:r>
          </w:p>
        </w:tc>
        <w:tc>
          <w:tcPr>
            <w:tcW w:w="1701"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417"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6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24" w:type="dxa"/>
            <w:vAlign w:val="center"/>
          </w:tcPr>
          <w:p>
            <w:pPr>
              <w:adjustRightInd w:val="0"/>
              <w:snapToGrid w:val="0"/>
              <w:jc w:val="center"/>
              <w:rPr>
                <w:szCs w:val="21"/>
              </w:rPr>
            </w:pPr>
            <w:r>
              <w:rPr>
                <w:snapToGrid w:val="0"/>
                <w:kern w:val="21"/>
                <w:szCs w:val="21"/>
              </w:rPr>
              <w:t>3t/a</w:t>
            </w:r>
          </w:p>
        </w:tc>
        <w:tc>
          <w:tcPr>
            <w:tcW w:w="1575"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8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032"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2" w:type="dxa"/>
            <w:vMerge w:val="continue"/>
            <w:vAlign w:val="center"/>
          </w:tcPr>
          <w:p>
            <w:pPr>
              <w:pStyle w:val="60"/>
              <w:spacing w:beforeLines="0" w:afterLines="0" w:line="240" w:lineRule="auto"/>
              <w:rPr>
                <w:rFonts w:ascii="Times New Roman"/>
                <w:snapToGrid w:val="0"/>
                <w:kern w:val="21"/>
                <w:szCs w:val="21"/>
              </w:rPr>
            </w:pPr>
          </w:p>
        </w:tc>
        <w:tc>
          <w:tcPr>
            <w:tcW w:w="1418" w:type="dxa"/>
            <w:vAlign w:val="center"/>
          </w:tcPr>
          <w:p>
            <w:pPr>
              <w:adjustRightInd w:val="0"/>
              <w:snapToGrid w:val="0"/>
              <w:jc w:val="center"/>
              <w:rPr>
                <w:szCs w:val="21"/>
              </w:rPr>
            </w:pPr>
            <w:r>
              <w:rPr>
                <w:rFonts w:hint="eastAsia"/>
                <w:szCs w:val="21"/>
              </w:rPr>
              <w:t>废包装材料</w:t>
            </w:r>
          </w:p>
        </w:tc>
        <w:tc>
          <w:tcPr>
            <w:tcW w:w="1701"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417"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6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24" w:type="dxa"/>
            <w:vAlign w:val="center"/>
          </w:tcPr>
          <w:p>
            <w:pPr>
              <w:adjustRightInd w:val="0"/>
              <w:snapToGrid w:val="0"/>
              <w:jc w:val="center"/>
              <w:rPr>
                <w:szCs w:val="21"/>
              </w:rPr>
            </w:pPr>
            <w:r>
              <w:rPr>
                <w:snapToGrid w:val="0"/>
                <w:kern w:val="21"/>
                <w:szCs w:val="21"/>
              </w:rPr>
              <w:t>4.88t/a</w:t>
            </w:r>
          </w:p>
        </w:tc>
        <w:tc>
          <w:tcPr>
            <w:tcW w:w="1575"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8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032"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2" w:type="dxa"/>
            <w:vMerge w:val="continue"/>
            <w:vAlign w:val="center"/>
          </w:tcPr>
          <w:p>
            <w:pPr>
              <w:pStyle w:val="60"/>
              <w:spacing w:beforeLines="0" w:afterLines="0" w:line="240" w:lineRule="auto"/>
              <w:rPr>
                <w:rFonts w:ascii="Times New Roman"/>
                <w:snapToGrid w:val="0"/>
                <w:kern w:val="21"/>
                <w:szCs w:val="21"/>
              </w:rPr>
            </w:pPr>
          </w:p>
        </w:tc>
        <w:tc>
          <w:tcPr>
            <w:tcW w:w="1418" w:type="dxa"/>
            <w:vAlign w:val="center"/>
          </w:tcPr>
          <w:p>
            <w:pPr>
              <w:adjustRightInd w:val="0"/>
              <w:snapToGrid w:val="0"/>
              <w:jc w:val="center"/>
              <w:rPr>
                <w:szCs w:val="21"/>
              </w:rPr>
            </w:pPr>
            <w:r>
              <w:rPr>
                <w:rFonts w:hint="eastAsia"/>
                <w:szCs w:val="21"/>
              </w:rPr>
              <w:t>除尘灰</w:t>
            </w:r>
          </w:p>
        </w:tc>
        <w:tc>
          <w:tcPr>
            <w:tcW w:w="1701"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417"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6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24" w:type="dxa"/>
            <w:vAlign w:val="center"/>
          </w:tcPr>
          <w:p>
            <w:pPr>
              <w:adjustRightInd w:val="0"/>
              <w:snapToGrid w:val="0"/>
              <w:jc w:val="center"/>
              <w:rPr>
                <w:szCs w:val="21"/>
              </w:rPr>
            </w:pPr>
            <w:r>
              <w:rPr>
                <w:snapToGrid w:val="0"/>
                <w:kern w:val="21"/>
                <w:szCs w:val="21"/>
              </w:rPr>
              <w:t>6.24t/a</w:t>
            </w:r>
          </w:p>
        </w:tc>
        <w:tc>
          <w:tcPr>
            <w:tcW w:w="1575"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80" w:type="dxa"/>
            <w:vAlign w:val="center"/>
          </w:tcPr>
          <w:p>
            <w:pPr>
              <w:pStyle w:val="60"/>
              <w:spacing w:beforeLines="0" w:afterLines="0" w:line="240" w:lineRule="auto"/>
              <w:rPr>
                <w:szCs w:val="21"/>
              </w:rPr>
            </w:pPr>
            <w:r>
              <w:rPr>
                <w:rFonts w:hint="eastAsia" w:ascii="Times New Roman"/>
                <w:snapToGrid w:val="0"/>
                <w:kern w:val="21"/>
                <w:szCs w:val="21"/>
              </w:rPr>
              <w:t>0</w:t>
            </w:r>
          </w:p>
        </w:tc>
        <w:tc>
          <w:tcPr>
            <w:tcW w:w="1032"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2" w:type="dxa"/>
            <w:vMerge w:val="restart"/>
            <w:vAlign w:val="center"/>
          </w:tcPr>
          <w:p>
            <w:pPr>
              <w:pStyle w:val="60"/>
              <w:spacing w:beforeLines="0" w:afterLines="0" w:line="240" w:lineRule="auto"/>
              <w:rPr>
                <w:rFonts w:ascii="Times New Roman"/>
                <w:snapToGrid w:val="0"/>
                <w:kern w:val="21"/>
                <w:szCs w:val="21"/>
              </w:rPr>
            </w:pPr>
            <w:r>
              <w:rPr>
                <w:rFonts w:ascii="Times New Roman"/>
                <w:snapToGrid w:val="0"/>
                <w:kern w:val="21"/>
                <w:szCs w:val="21"/>
              </w:rPr>
              <w:t>危险废物</w:t>
            </w:r>
          </w:p>
        </w:tc>
        <w:tc>
          <w:tcPr>
            <w:tcW w:w="1418"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废润滑油</w:t>
            </w:r>
          </w:p>
        </w:tc>
        <w:tc>
          <w:tcPr>
            <w:tcW w:w="1701"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417"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6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24" w:type="dxa"/>
            <w:vAlign w:val="center"/>
          </w:tcPr>
          <w:p>
            <w:pPr>
              <w:adjustRightInd w:val="0"/>
              <w:snapToGrid w:val="0"/>
              <w:jc w:val="center"/>
              <w:rPr>
                <w:snapToGrid w:val="0"/>
                <w:kern w:val="21"/>
                <w:szCs w:val="21"/>
              </w:rPr>
            </w:pPr>
            <w:r>
              <w:rPr>
                <w:rFonts w:hint="eastAsia"/>
                <w:snapToGrid w:val="0"/>
                <w:kern w:val="21"/>
                <w:szCs w:val="21"/>
              </w:rPr>
              <w:t>0</w:t>
            </w:r>
            <w:r>
              <w:rPr>
                <w:snapToGrid w:val="0"/>
                <w:kern w:val="21"/>
                <w:szCs w:val="21"/>
              </w:rPr>
              <w:t>.45 t/a</w:t>
            </w:r>
          </w:p>
        </w:tc>
        <w:tc>
          <w:tcPr>
            <w:tcW w:w="1575"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80" w:type="dxa"/>
            <w:vAlign w:val="center"/>
          </w:tcPr>
          <w:p>
            <w:pPr>
              <w:pStyle w:val="60"/>
              <w:spacing w:beforeLines="0" w:afterLines="0" w:line="240" w:lineRule="auto"/>
              <w:rPr>
                <w:rFonts w:ascii="Times New Roman"/>
                <w:snapToGrid w:val="0"/>
                <w:kern w:val="21"/>
                <w:szCs w:val="21"/>
              </w:rPr>
            </w:pPr>
            <w:r>
              <w:rPr>
                <w:rFonts w:ascii="Times New Roman"/>
                <w:snapToGrid w:val="0"/>
                <w:kern w:val="21"/>
                <w:szCs w:val="21"/>
              </w:rPr>
              <w:t>0</w:t>
            </w:r>
          </w:p>
        </w:tc>
        <w:tc>
          <w:tcPr>
            <w:tcW w:w="1032"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62" w:type="dxa"/>
            <w:vMerge w:val="continue"/>
            <w:vAlign w:val="center"/>
          </w:tcPr>
          <w:p>
            <w:pPr>
              <w:pStyle w:val="60"/>
              <w:spacing w:beforeLines="0" w:afterLines="0" w:line="240" w:lineRule="auto"/>
              <w:rPr>
                <w:rFonts w:ascii="Times New Roman"/>
                <w:snapToGrid w:val="0"/>
                <w:kern w:val="21"/>
                <w:szCs w:val="21"/>
              </w:rPr>
            </w:pPr>
          </w:p>
        </w:tc>
        <w:tc>
          <w:tcPr>
            <w:tcW w:w="1418"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废活性炭</w:t>
            </w:r>
          </w:p>
        </w:tc>
        <w:tc>
          <w:tcPr>
            <w:tcW w:w="1701"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417"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6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24" w:type="dxa"/>
            <w:vAlign w:val="center"/>
          </w:tcPr>
          <w:p>
            <w:pPr>
              <w:adjustRightInd w:val="0"/>
              <w:snapToGrid w:val="0"/>
              <w:jc w:val="center"/>
              <w:rPr>
                <w:snapToGrid w:val="0"/>
                <w:kern w:val="21"/>
                <w:szCs w:val="21"/>
              </w:rPr>
            </w:pPr>
            <w:r>
              <w:rPr>
                <w:rFonts w:hint="eastAsia"/>
                <w:snapToGrid w:val="0"/>
                <w:kern w:val="21"/>
                <w:szCs w:val="21"/>
              </w:rPr>
              <w:t>0.792</w:t>
            </w:r>
            <w:r>
              <w:rPr>
                <w:snapToGrid w:val="0"/>
                <w:kern w:val="21"/>
                <w:szCs w:val="21"/>
              </w:rPr>
              <w:t xml:space="preserve"> t/a</w:t>
            </w:r>
          </w:p>
        </w:tc>
        <w:tc>
          <w:tcPr>
            <w:tcW w:w="1575"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80"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032" w:type="dxa"/>
            <w:vAlign w:val="center"/>
          </w:tcPr>
          <w:p>
            <w:pPr>
              <w:pStyle w:val="60"/>
              <w:spacing w:beforeLines="0" w:afterLines="0" w:line="240" w:lineRule="auto"/>
              <w:rPr>
                <w:rFonts w:ascii="Times New Roman"/>
                <w:snapToGrid w:val="0"/>
                <w:kern w:val="21"/>
                <w:szCs w:val="21"/>
              </w:rPr>
            </w:pPr>
            <w:r>
              <w:rPr>
                <w:rFonts w:hint="eastAsia" w:ascii="Times New Roman"/>
                <w:snapToGrid w:val="0"/>
                <w:kern w:val="21"/>
                <w:szCs w:val="21"/>
              </w:rPr>
              <w:t>0</w:t>
            </w:r>
          </w:p>
        </w:tc>
      </w:tr>
    </w:tbl>
    <w:p>
      <w:pPr>
        <w:pStyle w:val="60"/>
        <w:spacing w:before="192" w:beforeLines="80" w:after="24"/>
        <w:ind w:firstLine="560"/>
        <w:jc w:val="left"/>
        <w:rPr>
          <w:rFonts w:ascii="Times New Roman" w:eastAsia="黑体"/>
        </w:rPr>
      </w:pPr>
      <w:r>
        <w:rPr>
          <w:rFonts w:ascii="Times New Roman"/>
          <w:snapToGrid w:val="0"/>
          <w:kern w:val="21"/>
          <w:szCs w:val="21"/>
        </w:rPr>
        <w:t>注：</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hint="eastAsia" w:hAnsi="宋体" w:cs="宋体"/>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hint="eastAsia" w:hAnsi="宋体" w:cs="宋体"/>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hint="eastAsia" w:hAnsi="宋体" w:cs="宋体"/>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hint="eastAsia" w:hAnsi="宋体" w:cs="宋体"/>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p>
    <w:sectPr>
      <w:footerReference r:id="rId6" w:type="default"/>
      <w:pgSz w:w="16840" w:h="11907" w:orient="landscape"/>
      <w:pgMar w:top="1531" w:right="1701" w:bottom="1531" w:left="2126"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10" w:usb3="00000000" w:csb0="00060001"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fldChar w:fldCharType="begin"/>
    </w:r>
    <w:r>
      <w:rPr>
        <w:rStyle w:val="34"/>
      </w:rPr>
      <w:instrText xml:space="preserve">PAGE  </w:instrText>
    </w:r>
    <w: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r>
      <w:fldChar w:fldCharType="begin"/>
    </w:r>
    <w:r>
      <w:instrText xml:space="preserve"> PAGE   \* MERGEFORMAT </w:instrText>
    </w:r>
    <w:r>
      <w:fldChar w:fldCharType="separate"/>
    </w:r>
    <w:r>
      <w:rPr>
        <w:lang w:val="zh-CN"/>
      </w:rPr>
      <w:t>3</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53</w:t>
    </w:r>
    <w:r>
      <w:rPr>
        <w:lang w:val="zh-CN"/>
      </w:rPr>
      <w:fldChar w:fldCharType="end"/>
    </w:r>
  </w:p>
  <w:p>
    <w:pPr>
      <w:pStyle w:val="21"/>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3641B"/>
    <w:multiLevelType w:val="singleLevel"/>
    <w:tmpl w:val="AA83641B"/>
    <w:lvl w:ilvl="0" w:tentative="0">
      <w:start w:val="6"/>
      <w:numFmt w:val="decimal"/>
      <w:suff w:val="nothing"/>
      <w:lvlText w:val="（%1）"/>
      <w:lvlJc w:val="left"/>
    </w:lvl>
  </w:abstractNum>
  <w:abstractNum w:abstractNumId="1">
    <w:nsid w:val="AD49A5F6"/>
    <w:multiLevelType w:val="singleLevel"/>
    <w:tmpl w:val="AD49A5F6"/>
    <w:lvl w:ilvl="0" w:tentative="0">
      <w:start w:val="1"/>
      <w:numFmt w:val="decimal"/>
      <w:suff w:val="nothing"/>
      <w:lvlText w:val="（%1）"/>
      <w:lvlJc w:val="left"/>
      <w:pPr>
        <w:ind w:left="300"/>
      </w:pPr>
    </w:lvl>
  </w:abstractNum>
  <w:abstractNum w:abstractNumId="2">
    <w:nsid w:val="D25669AA"/>
    <w:multiLevelType w:val="singleLevel"/>
    <w:tmpl w:val="D25669AA"/>
    <w:lvl w:ilvl="0" w:tentative="0">
      <w:start w:val="1"/>
      <w:numFmt w:val="bullet"/>
      <w:pStyle w:val="17"/>
      <w:lvlText w:val=""/>
      <w:lvlJc w:val="left"/>
      <w:pPr>
        <w:tabs>
          <w:tab w:val="left" w:pos="2040"/>
        </w:tabs>
        <w:ind w:left="2040" w:hanging="360"/>
      </w:pPr>
      <w:rPr>
        <w:rFonts w:hint="default" w:ascii="Wingdings" w:hAnsi="Wingdings"/>
      </w:rPr>
    </w:lvl>
  </w:abstractNum>
  <w:abstractNum w:abstractNumId="3">
    <w:nsid w:val="0EF5062B"/>
    <w:multiLevelType w:val="singleLevel"/>
    <w:tmpl w:val="0EF5062B"/>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dit="trackedChanges" w:enforcement="0"/>
  <w:defaultTabStop w:val="420"/>
  <w:doNotHyphenateCaps/>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1NWY3MDM2NzcyNDZlZTY4YWVmMzg4MjkyNDZkMmUifQ=="/>
  </w:docVars>
  <w:rsids>
    <w:rsidRoot w:val="00172A27"/>
    <w:rsid w:val="00003824"/>
    <w:rsid w:val="000060B3"/>
    <w:rsid w:val="00006734"/>
    <w:rsid w:val="00006738"/>
    <w:rsid w:val="00011A96"/>
    <w:rsid w:val="0001486B"/>
    <w:rsid w:val="00020E81"/>
    <w:rsid w:val="0002340B"/>
    <w:rsid w:val="00026641"/>
    <w:rsid w:val="00030627"/>
    <w:rsid w:val="000317A8"/>
    <w:rsid w:val="000317E1"/>
    <w:rsid w:val="000327DA"/>
    <w:rsid w:val="00033916"/>
    <w:rsid w:val="000419D0"/>
    <w:rsid w:val="0004364B"/>
    <w:rsid w:val="000440EC"/>
    <w:rsid w:val="000502FB"/>
    <w:rsid w:val="000504EE"/>
    <w:rsid w:val="00051747"/>
    <w:rsid w:val="00054D4C"/>
    <w:rsid w:val="00055C2C"/>
    <w:rsid w:val="0005739B"/>
    <w:rsid w:val="00061B1F"/>
    <w:rsid w:val="00062FF6"/>
    <w:rsid w:val="00067147"/>
    <w:rsid w:val="00070215"/>
    <w:rsid w:val="00070B0C"/>
    <w:rsid w:val="00071709"/>
    <w:rsid w:val="00071BD8"/>
    <w:rsid w:val="000721C1"/>
    <w:rsid w:val="00072313"/>
    <w:rsid w:val="000733C4"/>
    <w:rsid w:val="00074783"/>
    <w:rsid w:val="0008070B"/>
    <w:rsid w:val="000810AC"/>
    <w:rsid w:val="00081A02"/>
    <w:rsid w:val="00082231"/>
    <w:rsid w:val="00083571"/>
    <w:rsid w:val="0008674E"/>
    <w:rsid w:val="000868C8"/>
    <w:rsid w:val="000904B0"/>
    <w:rsid w:val="00091A36"/>
    <w:rsid w:val="00091B2F"/>
    <w:rsid w:val="00092D38"/>
    <w:rsid w:val="0009377B"/>
    <w:rsid w:val="00094423"/>
    <w:rsid w:val="000A20C9"/>
    <w:rsid w:val="000B058F"/>
    <w:rsid w:val="000B10D6"/>
    <w:rsid w:val="000B39EF"/>
    <w:rsid w:val="000B4467"/>
    <w:rsid w:val="000B4DB9"/>
    <w:rsid w:val="000B5DDC"/>
    <w:rsid w:val="000C09AC"/>
    <w:rsid w:val="000C0DFF"/>
    <w:rsid w:val="000C1835"/>
    <w:rsid w:val="000C2518"/>
    <w:rsid w:val="000C767F"/>
    <w:rsid w:val="000C7CAB"/>
    <w:rsid w:val="000D10BC"/>
    <w:rsid w:val="000D266C"/>
    <w:rsid w:val="000D5A44"/>
    <w:rsid w:val="000D5D62"/>
    <w:rsid w:val="000D61C5"/>
    <w:rsid w:val="000E3ED2"/>
    <w:rsid w:val="000E4539"/>
    <w:rsid w:val="000F1C01"/>
    <w:rsid w:val="000F3778"/>
    <w:rsid w:val="000F3E2B"/>
    <w:rsid w:val="001002C8"/>
    <w:rsid w:val="00107314"/>
    <w:rsid w:val="001075C2"/>
    <w:rsid w:val="001079C7"/>
    <w:rsid w:val="001135DC"/>
    <w:rsid w:val="00115333"/>
    <w:rsid w:val="00122408"/>
    <w:rsid w:val="001233B3"/>
    <w:rsid w:val="00126725"/>
    <w:rsid w:val="00127315"/>
    <w:rsid w:val="00131F42"/>
    <w:rsid w:val="001326F9"/>
    <w:rsid w:val="00132A53"/>
    <w:rsid w:val="001357F1"/>
    <w:rsid w:val="00136B64"/>
    <w:rsid w:val="00140FA8"/>
    <w:rsid w:val="00142FEB"/>
    <w:rsid w:val="00143A2D"/>
    <w:rsid w:val="00143BD2"/>
    <w:rsid w:val="00144816"/>
    <w:rsid w:val="00145A41"/>
    <w:rsid w:val="00145A92"/>
    <w:rsid w:val="001477E8"/>
    <w:rsid w:val="00151675"/>
    <w:rsid w:val="00153FAC"/>
    <w:rsid w:val="00157435"/>
    <w:rsid w:val="00161389"/>
    <w:rsid w:val="00161E54"/>
    <w:rsid w:val="001622CB"/>
    <w:rsid w:val="00165B0A"/>
    <w:rsid w:val="00167CD7"/>
    <w:rsid w:val="00167DBB"/>
    <w:rsid w:val="001700BB"/>
    <w:rsid w:val="00171576"/>
    <w:rsid w:val="0017215B"/>
    <w:rsid w:val="00172A27"/>
    <w:rsid w:val="0017504D"/>
    <w:rsid w:val="00175C84"/>
    <w:rsid w:val="0017671A"/>
    <w:rsid w:val="00176E8E"/>
    <w:rsid w:val="00177422"/>
    <w:rsid w:val="001829B2"/>
    <w:rsid w:val="00184590"/>
    <w:rsid w:val="0018655F"/>
    <w:rsid w:val="001870D1"/>
    <w:rsid w:val="0018781E"/>
    <w:rsid w:val="001925D6"/>
    <w:rsid w:val="0019262D"/>
    <w:rsid w:val="001974F8"/>
    <w:rsid w:val="001A1B35"/>
    <w:rsid w:val="001A2E06"/>
    <w:rsid w:val="001A48A2"/>
    <w:rsid w:val="001A535B"/>
    <w:rsid w:val="001A6B31"/>
    <w:rsid w:val="001A6F61"/>
    <w:rsid w:val="001B46E8"/>
    <w:rsid w:val="001B72B8"/>
    <w:rsid w:val="001C161A"/>
    <w:rsid w:val="001C6003"/>
    <w:rsid w:val="001C69B3"/>
    <w:rsid w:val="001C7527"/>
    <w:rsid w:val="001D05C4"/>
    <w:rsid w:val="001D5595"/>
    <w:rsid w:val="001D7874"/>
    <w:rsid w:val="001D7F22"/>
    <w:rsid w:val="001E03E0"/>
    <w:rsid w:val="001E3606"/>
    <w:rsid w:val="001F0F17"/>
    <w:rsid w:val="001F3347"/>
    <w:rsid w:val="001F69E4"/>
    <w:rsid w:val="001F74DE"/>
    <w:rsid w:val="002046B6"/>
    <w:rsid w:val="00207386"/>
    <w:rsid w:val="0020797E"/>
    <w:rsid w:val="002125B4"/>
    <w:rsid w:val="00214B6F"/>
    <w:rsid w:val="002155B8"/>
    <w:rsid w:val="00224839"/>
    <w:rsid w:val="002249B2"/>
    <w:rsid w:val="00226212"/>
    <w:rsid w:val="00226574"/>
    <w:rsid w:val="002278EC"/>
    <w:rsid w:val="0023280E"/>
    <w:rsid w:val="002343C2"/>
    <w:rsid w:val="002377D1"/>
    <w:rsid w:val="00237ABD"/>
    <w:rsid w:val="002403BF"/>
    <w:rsid w:val="00240A1C"/>
    <w:rsid w:val="00244398"/>
    <w:rsid w:val="002445FC"/>
    <w:rsid w:val="0024567A"/>
    <w:rsid w:val="002506BC"/>
    <w:rsid w:val="00253701"/>
    <w:rsid w:val="00254267"/>
    <w:rsid w:val="00254345"/>
    <w:rsid w:val="002545CA"/>
    <w:rsid w:val="002639FE"/>
    <w:rsid w:val="00264557"/>
    <w:rsid w:val="002805AB"/>
    <w:rsid w:val="00281B8B"/>
    <w:rsid w:val="00282A30"/>
    <w:rsid w:val="00284204"/>
    <w:rsid w:val="00284757"/>
    <w:rsid w:val="00291773"/>
    <w:rsid w:val="002917DA"/>
    <w:rsid w:val="00297E28"/>
    <w:rsid w:val="002A168C"/>
    <w:rsid w:val="002A3DC7"/>
    <w:rsid w:val="002B11EB"/>
    <w:rsid w:val="002B2B41"/>
    <w:rsid w:val="002B3529"/>
    <w:rsid w:val="002B3DA4"/>
    <w:rsid w:val="002B3FF4"/>
    <w:rsid w:val="002B49E2"/>
    <w:rsid w:val="002B52CC"/>
    <w:rsid w:val="002B7B00"/>
    <w:rsid w:val="002B7C44"/>
    <w:rsid w:val="002C2B17"/>
    <w:rsid w:val="002C3782"/>
    <w:rsid w:val="002C3E64"/>
    <w:rsid w:val="002C6CC2"/>
    <w:rsid w:val="002C6DB0"/>
    <w:rsid w:val="002D173B"/>
    <w:rsid w:val="002D3DD0"/>
    <w:rsid w:val="002E1F3A"/>
    <w:rsid w:val="002E2949"/>
    <w:rsid w:val="002E298A"/>
    <w:rsid w:val="002E525D"/>
    <w:rsid w:val="002E7471"/>
    <w:rsid w:val="002E74B2"/>
    <w:rsid w:val="002F05E6"/>
    <w:rsid w:val="002F3C6A"/>
    <w:rsid w:val="002F5B8E"/>
    <w:rsid w:val="00301978"/>
    <w:rsid w:val="0030332C"/>
    <w:rsid w:val="003051C2"/>
    <w:rsid w:val="00310053"/>
    <w:rsid w:val="00312296"/>
    <w:rsid w:val="00314F0E"/>
    <w:rsid w:val="00315152"/>
    <w:rsid w:val="003209EF"/>
    <w:rsid w:val="00321D8E"/>
    <w:rsid w:val="00323409"/>
    <w:rsid w:val="00325928"/>
    <w:rsid w:val="00325C95"/>
    <w:rsid w:val="00325C96"/>
    <w:rsid w:val="00330684"/>
    <w:rsid w:val="00331997"/>
    <w:rsid w:val="00332863"/>
    <w:rsid w:val="0033455E"/>
    <w:rsid w:val="0033684D"/>
    <w:rsid w:val="00337B42"/>
    <w:rsid w:val="00341B42"/>
    <w:rsid w:val="00342174"/>
    <w:rsid w:val="0034348F"/>
    <w:rsid w:val="0034489B"/>
    <w:rsid w:val="003451BB"/>
    <w:rsid w:val="0034734A"/>
    <w:rsid w:val="003542B9"/>
    <w:rsid w:val="00356653"/>
    <w:rsid w:val="003572B5"/>
    <w:rsid w:val="0035743F"/>
    <w:rsid w:val="00357687"/>
    <w:rsid w:val="00357BE2"/>
    <w:rsid w:val="003602A6"/>
    <w:rsid w:val="00360337"/>
    <w:rsid w:val="00360CF3"/>
    <w:rsid w:val="0036170C"/>
    <w:rsid w:val="00361FCA"/>
    <w:rsid w:val="0036437D"/>
    <w:rsid w:val="00366E0F"/>
    <w:rsid w:val="00370620"/>
    <w:rsid w:val="00381A72"/>
    <w:rsid w:val="0038364F"/>
    <w:rsid w:val="00384676"/>
    <w:rsid w:val="00390857"/>
    <w:rsid w:val="00390E11"/>
    <w:rsid w:val="00391B31"/>
    <w:rsid w:val="0039350D"/>
    <w:rsid w:val="003A07E6"/>
    <w:rsid w:val="003A3A06"/>
    <w:rsid w:val="003A4BF3"/>
    <w:rsid w:val="003B17FE"/>
    <w:rsid w:val="003B37D0"/>
    <w:rsid w:val="003B4158"/>
    <w:rsid w:val="003B420D"/>
    <w:rsid w:val="003C18A5"/>
    <w:rsid w:val="003C6C16"/>
    <w:rsid w:val="003C6C6D"/>
    <w:rsid w:val="003D3AB4"/>
    <w:rsid w:val="003D700C"/>
    <w:rsid w:val="003D794D"/>
    <w:rsid w:val="003E3058"/>
    <w:rsid w:val="003E6EB5"/>
    <w:rsid w:val="003E76A9"/>
    <w:rsid w:val="003E7AFC"/>
    <w:rsid w:val="003F0809"/>
    <w:rsid w:val="003F5F49"/>
    <w:rsid w:val="003F6A8C"/>
    <w:rsid w:val="003F755C"/>
    <w:rsid w:val="004018BA"/>
    <w:rsid w:val="00403C4D"/>
    <w:rsid w:val="00404701"/>
    <w:rsid w:val="00406D69"/>
    <w:rsid w:val="00406F01"/>
    <w:rsid w:val="00415A5C"/>
    <w:rsid w:val="0041692F"/>
    <w:rsid w:val="00416D50"/>
    <w:rsid w:val="00416FD5"/>
    <w:rsid w:val="0041724C"/>
    <w:rsid w:val="00417772"/>
    <w:rsid w:val="00420E6A"/>
    <w:rsid w:val="00425A9E"/>
    <w:rsid w:val="00426D6B"/>
    <w:rsid w:val="00426E2C"/>
    <w:rsid w:val="00431806"/>
    <w:rsid w:val="00431E6C"/>
    <w:rsid w:val="00433CE7"/>
    <w:rsid w:val="00434778"/>
    <w:rsid w:val="0043503D"/>
    <w:rsid w:val="004358B6"/>
    <w:rsid w:val="0043601A"/>
    <w:rsid w:val="0044261E"/>
    <w:rsid w:val="0044698D"/>
    <w:rsid w:val="004503F9"/>
    <w:rsid w:val="00452738"/>
    <w:rsid w:val="0045484A"/>
    <w:rsid w:val="00456091"/>
    <w:rsid w:val="00461580"/>
    <w:rsid w:val="00466321"/>
    <w:rsid w:val="00467781"/>
    <w:rsid w:val="00471549"/>
    <w:rsid w:val="004739AB"/>
    <w:rsid w:val="0047498D"/>
    <w:rsid w:val="00484B9B"/>
    <w:rsid w:val="004855F6"/>
    <w:rsid w:val="0048661E"/>
    <w:rsid w:val="00487CA6"/>
    <w:rsid w:val="00494670"/>
    <w:rsid w:val="00495ABB"/>
    <w:rsid w:val="004966B4"/>
    <w:rsid w:val="004A1E43"/>
    <w:rsid w:val="004A3823"/>
    <w:rsid w:val="004B114B"/>
    <w:rsid w:val="004B48A0"/>
    <w:rsid w:val="004C084B"/>
    <w:rsid w:val="004C5FA2"/>
    <w:rsid w:val="004C6661"/>
    <w:rsid w:val="004C773E"/>
    <w:rsid w:val="004D2814"/>
    <w:rsid w:val="004D5084"/>
    <w:rsid w:val="004D5CF5"/>
    <w:rsid w:val="004D60F0"/>
    <w:rsid w:val="004E6946"/>
    <w:rsid w:val="004F1AD8"/>
    <w:rsid w:val="004F58C0"/>
    <w:rsid w:val="004F6A0D"/>
    <w:rsid w:val="00502A3E"/>
    <w:rsid w:val="005034E5"/>
    <w:rsid w:val="005039CB"/>
    <w:rsid w:val="00503AFF"/>
    <w:rsid w:val="00503FC6"/>
    <w:rsid w:val="0050558F"/>
    <w:rsid w:val="00505854"/>
    <w:rsid w:val="00506286"/>
    <w:rsid w:val="0050697A"/>
    <w:rsid w:val="00510813"/>
    <w:rsid w:val="00511990"/>
    <w:rsid w:val="00511DE0"/>
    <w:rsid w:val="00512F4C"/>
    <w:rsid w:val="0051309F"/>
    <w:rsid w:val="00514870"/>
    <w:rsid w:val="00514B9B"/>
    <w:rsid w:val="00516153"/>
    <w:rsid w:val="0051642A"/>
    <w:rsid w:val="00517F02"/>
    <w:rsid w:val="00520EB7"/>
    <w:rsid w:val="00524303"/>
    <w:rsid w:val="005258A2"/>
    <w:rsid w:val="005277EA"/>
    <w:rsid w:val="0053580C"/>
    <w:rsid w:val="005401AE"/>
    <w:rsid w:val="00542E07"/>
    <w:rsid w:val="00544AA4"/>
    <w:rsid w:val="0054538D"/>
    <w:rsid w:val="00545424"/>
    <w:rsid w:val="005544E0"/>
    <w:rsid w:val="00554A7B"/>
    <w:rsid w:val="00555068"/>
    <w:rsid w:val="0055572C"/>
    <w:rsid w:val="005567BC"/>
    <w:rsid w:val="0056106A"/>
    <w:rsid w:val="005636D8"/>
    <w:rsid w:val="00565071"/>
    <w:rsid w:val="00567E45"/>
    <w:rsid w:val="005720AE"/>
    <w:rsid w:val="005747C1"/>
    <w:rsid w:val="005763F9"/>
    <w:rsid w:val="005847D6"/>
    <w:rsid w:val="0058520E"/>
    <w:rsid w:val="00587D6A"/>
    <w:rsid w:val="00594D77"/>
    <w:rsid w:val="005969E4"/>
    <w:rsid w:val="005979E4"/>
    <w:rsid w:val="005A06B7"/>
    <w:rsid w:val="005A1759"/>
    <w:rsid w:val="005A1860"/>
    <w:rsid w:val="005A462F"/>
    <w:rsid w:val="005A495D"/>
    <w:rsid w:val="005A68A7"/>
    <w:rsid w:val="005A7F07"/>
    <w:rsid w:val="005B4F9D"/>
    <w:rsid w:val="005B65EB"/>
    <w:rsid w:val="005C0B30"/>
    <w:rsid w:val="005C11E7"/>
    <w:rsid w:val="005C32C8"/>
    <w:rsid w:val="005C3E9A"/>
    <w:rsid w:val="005C46FD"/>
    <w:rsid w:val="005C7754"/>
    <w:rsid w:val="005C7986"/>
    <w:rsid w:val="005D36AB"/>
    <w:rsid w:val="005D4B7E"/>
    <w:rsid w:val="005E3616"/>
    <w:rsid w:val="005F1CAC"/>
    <w:rsid w:val="005F2EE2"/>
    <w:rsid w:val="0060301F"/>
    <w:rsid w:val="006063A0"/>
    <w:rsid w:val="00610750"/>
    <w:rsid w:val="0061081B"/>
    <w:rsid w:val="00613646"/>
    <w:rsid w:val="006149E5"/>
    <w:rsid w:val="00617240"/>
    <w:rsid w:val="006176C0"/>
    <w:rsid w:val="00617731"/>
    <w:rsid w:val="00617CC3"/>
    <w:rsid w:val="00623A6C"/>
    <w:rsid w:val="006251F7"/>
    <w:rsid w:val="00636E2E"/>
    <w:rsid w:val="006377A6"/>
    <w:rsid w:val="006379B5"/>
    <w:rsid w:val="00637A3D"/>
    <w:rsid w:val="006411EF"/>
    <w:rsid w:val="0064212A"/>
    <w:rsid w:val="00642CAA"/>
    <w:rsid w:val="00644D51"/>
    <w:rsid w:val="006469F5"/>
    <w:rsid w:val="00647922"/>
    <w:rsid w:val="0065118B"/>
    <w:rsid w:val="00660630"/>
    <w:rsid w:val="00663D14"/>
    <w:rsid w:val="00665574"/>
    <w:rsid w:val="00666D61"/>
    <w:rsid w:val="00671107"/>
    <w:rsid w:val="00672D97"/>
    <w:rsid w:val="006748B8"/>
    <w:rsid w:val="006775C3"/>
    <w:rsid w:val="00683DEB"/>
    <w:rsid w:val="00684131"/>
    <w:rsid w:val="00687DA4"/>
    <w:rsid w:val="0069290A"/>
    <w:rsid w:val="00694C70"/>
    <w:rsid w:val="00695EDA"/>
    <w:rsid w:val="0069775A"/>
    <w:rsid w:val="00697813"/>
    <w:rsid w:val="006A3552"/>
    <w:rsid w:val="006A3EE8"/>
    <w:rsid w:val="006A545E"/>
    <w:rsid w:val="006A5B0A"/>
    <w:rsid w:val="006A72BF"/>
    <w:rsid w:val="006B03F2"/>
    <w:rsid w:val="006B14C8"/>
    <w:rsid w:val="006B37DC"/>
    <w:rsid w:val="006B4F68"/>
    <w:rsid w:val="006C0592"/>
    <w:rsid w:val="006C2648"/>
    <w:rsid w:val="006C272E"/>
    <w:rsid w:val="006C4B8D"/>
    <w:rsid w:val="006C5479"/>
    <w:rsid w:val="006D0BA7"/>
    <w:rsid w:val="006D13B5"/>
    <w:rsid w:val="006D2040"/>
    <w:rsid w:val="006D22C8"/>
    <w:rsid w:val="006D2A2A"/>
    <w:rsid w:val="006D4898"/>
    <w:rsid w:val="006E12FF"/>
    <w:rsid w:val="006E2E1C"/>
    <w:rsid w:val="006E3A82"/>
    <w:rsid w:val="006E607E"/>
    <w:rsid w:val="006E799B"/>
    <w:rsid w:val="00701E71"/>
    <w:rsid w:val="00704ACC"/>
    <w:rsid w:val="00706C5D"/>
    <w:rsid w:val="007071A5"/>
    <w:rsid w:val="007079CE"/>
    <w:rsid w:val="007150F5"/>
    <w:rsid w:val="0071780E"/>
    <w:rsid w:val="007267E8"/>
    <w:rsid w:val="0072697E"/>
    <w:rsid w:val="00726BC2"/>
    <w:rsid w:val="007308E6"/>
    <w:rsid w:val="00732922"/>
    <w:rsid w:val="00736DCE"/>
    <w:rsid w:val="00741F51"/>
    <w:rsid w:val="007439C5"/>
    <w:rsid w:val="0075162E"/>
    <w:rsid w:val="00754034"/>
    <w:rsid w:val="00756556"/>
    <w:rsid w:val="007618C4"/>
    <w:rsid w:val="007643B6"/>
    <w:rsid w:val="00764660"/>
    <w:rsid w:val="00767980"/>
    <w:rsid w:val="00770B19"/>
    <w:rsid w:val="00772101"/>
    <w:rsid w:val="0077463F"/>
    <w:rsid w:val="00781825"/>
    <w:rsid w:val="007836EA"/>
    <w:rsid w:val="007837BE"/>
    <w:rsid w:val="00784CDA"/>
    <w:rsid w:val="00786FDA"/>
    <w:rsid w:val="007875FF"/>
    <w:rsid w:val="007906C4"/>
    <w:rsid w:val="007940EA"/>
    <w:rsid w:val="007967E8"/>
    <w:rsid w:val="007975C5"/>
    <w:rsid w:val="007A2170"/>
    <w:rsid w:val="007A22BF"/>
    <w:rsid w:val="007A2C6A"/>
    <w:rsid w:val="007A3323"/>
    <w:rsid w:val="007A396F"/>
    <w:rsid w:val="007B72B8"/>
    <w:rsid w:val="007B7A58"/>
    <w:rsid w:val="007C21B5"/>
    <w:rsid w:val="007C507D"/>
    <w:rsid w:val="007C6025"/>
    <w:rsid w:val="007E0FE5"/>
    <w:rsid w:val="007E144F"/>
    <w:rsid w:val="007E4BD2"/>
    <w:rsid w:val="007E4E70"/>
    <w:rsid w:val="007F2B00"/>
    <w:rsid w:val="007F57C8"/>
    <w:rsid w:val="007F708E"/>
    <w:rsid w:val="00801393"/>
    <w:rsid w:val="00802F88"/>
    <w:rsid w:val="00803DE3"/>
    <w:rsid w:val="00807423"/>
    <w:rsid w:val="0081293E"/>
    <w:rsid w:val="00815465"/>
    <w:rsid w:val="00817E9A"/>
    <w:rsid w:val="00821EF6"/>
    <w:rsid w:val="00826F75"/>
    <w:rsid w:val="0082748C"/>
    <w:rsid w:val="008306BD"/>
    <w:rsid w:val="00831509"/>
    <w:rsid w:val="00831A80"/>
    <w:rsid w:val="00833194"/>
    <w:rsid w:val="00833743"/>
    <w:rsid w:val="008340A4"/>
    <w:rsid w:val="00837C37"/>
    <w:rsid w:val="008405AF"/>
    <w:rsid w:val="008452E1"/>
    <w:rsid w:val="00845E5D"/>
    <w:rsid w:val="008473AD"/>
    <w:rsid w:val="00861E6D"/>
    <w:rsid w:val="008632A9"/>
    <w:rsid w:val="008659FE"/>
    <w:rsid w:val="0087135F"/>
    <w:rsid w:val="0087184F"/>
    <w:rsid w:val="00872AD7"/>
    <w:rsid w:val="00872D94"/>
    <w:rsid w:val="00880364"/>
    <w:rsid w:val="00890AE1"/>
    <w:rsid w:val="00890FC7"/>
    <w:rsid w:val="00891592"/>
    <w:rsid w:val="00891E9E"/>
    <w:rsid w:val="008A07B5"/>
    <w:rsid w:val="008A2F68"/>
    <w:rsid w:val="008A3331"/>
    <w:rsid w:val="008A4A4E"/>
    <w:rsid w:val="008B43EF"/>
    <w:rsid w:val="008B4FA6"/>
    <w:rsid w:val="008B5282"/>
    <w:rsid w:val="008B5DEF"/>
    <w:rsid w:val="008B7C17"/>
    <w:rsid w:val="008C04DC"/>
    <w:rsid w:val="008C2D01"/>
    <w:rsid w:val="008C40E6"/>
    <w:rsid w:val="008C74AA"/>
    <w:rsid w:val="008D0F7A"/>
    <w:rsid w:val="008D5C65"/>
    <w:rsid w:val="008D61A4"/>
    <w:rsid w:val="008D68E4"/>
    <w:rsid w:val="008D76F8"/>
    <w:rsid w:val="008E0506"/>
    <w:rsid w:val="008E054C"/>
    <w:rsid w:val="008E0CFF"/>
    <w:rsid w:val="008E0FAD"/>
    <w:rsid w:val="008E2904"/>
    <w:rsid w:val="008E3C37"/>
    <w:rsid w:val="008E4E5C"/>
    <w:rsid w:val="008E57DA"/>
    <w:rsid w:val="008E5D6B"/>
    <w:rsid w:val="008E76F0"/>
    <w:rsid w:val="008F15FE"/>
    <w:rsid w:val="008F2D29"/>
    <w:rsid w:val="008F5187"/>
    <w:rsid w:val="008F60D8"/>
    <w:rsid w:val="008F62D4"/>
    <w:rsid w:val="008F7169"/>
    <w:rsid w:val="00902727"/>
    <w:rsid w:val="0090312B"/>
    <w:rsid w:val="0091036B"/>
    <w:rsid w:val="00914208"/>
    <w:rsid w:val="0091524C"/>
    <w:rsid w:val="00915F95"/>
    <w:rsid w:val="0091736D"/>
    <w:rsid w:val="00920140"/>
    <w:rsid w:val="009246CB"/>
    <w:rsid w:val="00925960"/>
    <w:rsid w:val="0093037A"/>
    <w:rsid w:val="0093222E"/>
    <w:rsid w:val="00932AD8"/>
    <w:rsid w:val="0094154D"/>
    <w:rsid w:val="00951093"/>
    <w:rsid w:val="0095155F"/>
    <w:rsid w:val="00951A73"/>
    <w:rsid w:val="00954429"/>
    <w:rsid w:val="009563CE"/>
    <w:rsid w:val="009600B1"/>
    <w:rsid w:val="00961203"/>
    <w:rsid w:val="00963108"/>
    <w:rsid w:val="009671DF"/>
    <w:rsid w:val="009702CB"/>
    <w:rsid w:val="00971292"/>
    <w:rsid w:val="00972AA2"/>
    <w:rsid w:val="00973F04"/>
    <w:rsid w:val="00976328"/>
    <w:rsid w:val="0097680D"/>
    <w:rsid w:val="00976CC6"/>
    <w:rsid w:val="00980D3B"/>
    <w:rsid w:val="00982438"/>
    <w:rsid w:val="0098404C"/>
    <w:rsid w:val="00985283"/>
    <w:rsid w:val="009857FC"/>
    <w:rsid w:val="00985ACC"/>
    <w:rsid w:val="00987BCD"/>
    <w:rsid w:val="009901BB"/>
    <w:rsid w:val="009957D4"/>
    <w:rsid w:val="00995992"/>
    <w:rsid w:val="009A03E5"/>
    <w:rsid w:val="009A0F3B"/>
    <w:rsid w:val="009A1BB4"/>
    <w:rsid w:val="009A2088"/>
    <w:rsid w:val="009A2628"/>
    <w:rsid w:val="009A3200"/>
    <w:rsid w:val="009A53E9"/>
    <w:rsid w:val="009A5E7F"/>
    <w:rsid w:val="009A7D95"/>
    <w:rsid w:val="009B0897"/>
    <w:rsid w:val="009B7BD9"/>
    <w:rsid w:val="009C0542"/>
    <w:rsid w:val="009C0DD5"/>
    <w:rsid w:val="009C4321"/>
    <w:rsid w:val="009C7DD5"/>
    <w:rsid w:val="009D02AC"/>
    <w:rsid w:val="009E227D"/>
    <w:rsid w:val="009E5019"/>
    <w:rsid w:val="009E5955"/>
    <w:rsid w:val="009F0E93"/>
    <w:rsid w:val="009F3525"/>
    <w:rsid w:val="00A0016C"/>
    <w:rsid w:val="00A02764"/>
    <w:rsid w:val="00A04F1B"/>
    <w:rsid w:val="00A0501B"/>
    <w:rsid w:val="00A100DC"/>
    <w:rsid w:val="00A14947"/>
    <w:rsid w:val="00A25A39"/>
    <w:rsid w:val="00A272D1"/>
    <w:rsid w:val="00A32A83"/>
    <w:rsid w:val="00A368DB"/>
    <w:rsid w:val="00A423AA"/>
    <w:rsid w:val="00A43603"/>
    <w:rsid w:val="00A52912"/>
    <w:rsid w:val="00A53EC6"/>
    <w:rsid w:val="00A55C0F"/>
    <w:rsid w:val="00A604D6"/>
    <w:rsid w:val="00A649A3"/>
    <w:rsid w:val="00A64CEC"/>
    <w:rsid w:val="00A80A84"/>
    <w:rsid w:val="00A84CB4"/>
    <w:rsid w:val="00A852B5"/>
    <w:rsid w:val="00A862BA"/>
    <w:rsid w:val="00A8713F"/>
    <w:rsid w:val="00A87356"/>
    <w:rsid w:val="00A90562"/>
    <w:rsid w:val="00A90BA1"/>
    <w:rsid w:val="00A97A9A"/>
    <w:rsid w:val="00A97D71"/>
    <w:rsid w:val="00AA0671"/>
    <w:rsid w:val="00AA2531"/>
    <w:rsid w:val="00AB1E09"/>
    <w:rsid w:val="00AB1ECA"/>
    <w:rsid w:val="00AB5330"/>
    <w:rsid w:val="00AB7747"/>
    <w:rsid w:val="00AC14CE"/>
    <w:rsid w:val="00AC1619"/>
    <w:rsid w:val="00AC2A56"/>
    <w:rsid w:val="00AC4D12"/>
    <w:rsid w:val="00AC6A4C"/>
    <w:rsid w:val="00AD0327"/>
    <w:rsid w:val="00AD055E"/>
    <w:rsid w:val="00AD47A7"/>
    <w:rsid w:val="00AD591C"/>
    <w:rsid w:val="00AE2477"/>
    <w:rsid w:val="00AE39FA"/>
    <w:rsid w:val="00AF0CBF"/>
    <w:rsid w:val="00AF19D1"/>
    <w:rsid w:val="00AF1D88"/>
    <w:rsid w:val="00AF257F"/>
    <w:rsid w:val="00AF33CF"/>
    <w:rsid w:val="00AF4D50"/>
    <w:rsid w:val="00AF5E67"/>
    <w:rsid w:val="00AF6179"/>
    <w:rsid w:val="00AF792E"/>
    <w:rsid w:val="00B03459"/>
    <w:rsid w:val="00B03FCB"/>
    <w:rsid w:val="00B1295A"/>
    <w:rsid w:val="00B13B0F"/>
    <w:rsid w:val="00B20A45"/>
    <w:rsid w:val="00B22C5C"/>
    <w:rsid w:val="00B24F30"/>
    <w:rsid w:val="00B2686F"/>
    <w:rsid w:val="00B315DA"/>
    <w:rsid w:val="00B31ABF"/>
    <w:rsid w:val="00B331E1"/>
    <w:rsid w:val="00B3384D"/>
    <w:rsid w:val="00B33B0A"/>
    <w:rsid w:val="00B33BE3"/>
    <w:rsid w:val="00B35EA3"/>
    <w:rsid w:val="00B36247"/>
    <w:rsid w:val="00B41BD2"/>
    <w:rsid w:val="00B44D01"/>
    <w:rsid w:val="00B46902"/>
    <w:rsid w:val="00B47A2B"/>
    <w:rsid w:val="00B47FE2"/>
    <w:rsid w:val="00B5161C"/>
    <w:rsid w:val="00B53B5D"/>
    <w:rsid w:val="00B54468"/>
    <w:rsid w:val="00B567F5"/>
    <w:rsid w:val="00B5714D"/>
    <w:rsid w:val="00B6055E"/>
    <w:rsid w:val="00B6317D"/>
    <w:rsid w:val="00B7558C"/>
    <w:rsid w:val="00B7723F"/>
    <w:rsid w:val="00B779EF"/>
    <w:rsid w:val="00B80534"/>
    <w:rsid w:val="00B8433C"/>
    <w:rsid w:val="00B84E57"/>
    <w:rsid w:val="00B87491"/>
    <w:rsid w:val="00B903BF"/>
    <w:rsid w:val="00B91A85"/>
    <w:rsid w:val="00B962E4"/>
    <w:rsid w:val="00B96EDB"/>
    <w:rsid w:val="00BA29E9"/>
    <w:rsid w:val="00BA42D6"/>
    <w:rsid w:val="00BA7142"/>
    <w:rsid w:val="00BB19EF"/>
    <w:rsid w:val="00BB2056"/>
    <w:rsid w:val="00BB237C"/>
    <w:rsid w:val="00BB41A3"/>
    <w:rsid w:val="00BC1249"/>
    <w:rsid w:val="00BC32DC"/>
    <w:rsid w:val="00BC35B6"/>
    <w:rsid w:val="00BC3D01"/>
    <w:rsid w:val="00BD1B51"/>
    <w:rsid w:val="00BD38C8"/>
    <w:rsid w:val="00BD4596"/>
    <w:rsid w:val="00BD5386"/>
    <w:rsid w:val="00BE1405"/>
    <w:rsid w:val="00BE312D"/>
    <w:rsid w:val="00BE45CA"/>
    <w:rsid w:val="00BE57AE"/>
    <w:rsid w:val="00BF1C20"/>
    <w:rsid w:val="00C10578"/>
    <w:rsid w:val="00C105EF"/>
    <w:rsid w:val="00C135BC"/>
    <w:rsid w:val="00C13AE5"/>
    <w:rsid w:val="00C14BC6"/>
    <w:rsid w:val="00C15C95"/>
    <w:rsid w:val="00C20862"/>
    <w:rsid w:val="00C21E8C"/>
    <w:rsid w:val="00C2585D"/>
    <w:rsid w:val="00C2596A"/>
    <w:rsid w:val="00C27537"/>
    <w:rsid w:val="00C30943"/>
    <w:rsid w:val="00C328FE"/>
    <w:rsid w:val="00C33507"/>
    <w:rsid w:val="00C356CB"/>
    <w:rsid w:val="00C363F6"/>
    <w:rsid w:val="00C37809"/>
    <w:rsid w:val="00C416A5"/>
    <w:rsid w:val="00C43E1C"/>
    <w:rsid w:val="00C4409D"/>
    <w:rsid w:val="00C444A5"/>
    <w:rsid w:val="00C44E72"/>
    <w:rsid w:val="00C459FF"/>
    <w:rsid w:val="00C45A06"/>
    <w:rsid w:val="00C47E5B"/>
    <w:rsid w:val="00C61E4B"/>
    <w:rsid w:val="00C6287E"/>
    <w:rsid w:val="00C64BFF"/>
    <w:rsid w:val="00C704E9"/>
    <w:rsid w:val="00C763C9"/>
    <w:rsid w:val="00C80057"/>
    <w:rsid w:val="00C82232"/>
    <w:rsid w:val="00C82753"/>
    <w:rsid w:val="00C82913"/>
    <w:rsid w:val="00C84EEE"/>
    <w:rsid w:val="00C925B5"/>
    <w:rsid w:val="00C972B1"/>
    <w:rsid w:val="00CA2CCE"/>
    <w:rsid w:val="00CA43FD"/>
    <w:rsid w:val="00CA4937"/>
    <w:rsid w:val="00CA5E09"/>
    <w:rsid w:val="00CA7EF8"/>
    <w:rsid w:val="00CB5E33"/>
    <w:rsid w:val="00CB60F3"/>
    <w:rsid w:val="00CC489B"/>
    <w:rsid w:val="00CC7D37"/>
    <w:rsid w:val="00CD106D"/>
    <w:rsid w:val="00CD2BCD"/>
    <w:rsid w:val="00CD3A4C"/>
    <w:rsid w:val="00CE10E9"/>
    <w:rsid w:val="00CE2910"/>
    <w:rsid w:val="00CE3F68"/>
    <w:rsid w:val="00CE5393"/>
    <w:rsid w:val="00CF36BE"/>
    <w:rsid w:val="00CF6000"/>
    <w:rsid w:val="00CF6E1D"/>
    <w:rsid w:val="00CF6F92"/>
    <w:rsid w:val="00D003F3"/>
    <w:rsid w:val="00D008C4"/>
    <w:rsid w:val="00D033B1"/>
    <w:rsid w:val="00D0364F"/>
    <w:rsid w:val="00D04785"/>
    <w:rsid w:val="00D06834"/>
    <w:rsid w:val="00D1095A"/>
    <w:rsid w:val="00D16426"/>
    <w:rsid w:val="00D308B8"/>
    <w:rsid w:val="00D308ED"/>
    <w:rsid w:val="00D355EE"/>
    <w:rsid w:val="00D36024"/>
    <w:rsid w:val="00D36D86"/>
    <w:rsid w:val="00D428AA"/>
    <w:rsid w:val="00D479A8"/>
    <w:rsid w:val="00D50A34"/>
    <w:rsid w:val="00D53EFA"/>
    <w:rsid w:val="00D55590"/>
    <w:rsid w:val="00D63E7A"/>
    <w:rsid w:val="00D65671"/>
    <w:rsid w:val="00D70245"/>
    <w:rsid w:val="00D734F7"/>
    <w:rsid w:val="00D81BB7"/>
    <w:rsid w:val="00D85007"/>
    <w:rsid w:val="00D859BD"/>
    <w:rsid w:val="00D8719F"/>
    <w:rsid w:val="00D873D4"/>
    <w:rsid w:val="00D94A7C"/>
    <w:rsid w:val="00D95896"/>
    <w:rsid w:val="00DA25D7"/>
    <w:rsid w:val="00DA3591"/>
    <w:rsid w:val="00DB1D93"/>
    <w:rsid w:val="00DB2983"/>
    <w:rsid w:val="00DB46A2"/>
    <w:rsid w:val="00DC1257"/>
    <w:rsid w:val="00DC3DC0"/>
    <w:rsid w:val="00DC5B2B"/>
    <w:rsid w:val="00DD318D"/>
    <w:rsid w:val="00DF2E12"/>
    <w:rsid w:val="00DF514A"/>
    <w:rsid w:val="00DF6690"/>
    <w:rsid w:val="00DF6804"/>
    <w:rsid w:val="00DF6E25"/>
    <w:rsid w:val="00E00A0B"/>
    <w:rsid w:val="00E02052"/>
    <w:rsid w:val="00E0358D"/>
    <w:rsid w:val="00E04323"/>
    <w:rsid w:val="00E070A2"/>
    <w:rsid w:val="00E107A2"/>
    <w:rsid w:val="00E11D53"/>
    <w:rsid w:val="00E13EB8"/>
    <w:rsid w:val="00E22AA7"/>
    <w:rsid w:val="00E239F1"/>
    <w:rsid w:val="00E2656A"/>
    <w:rsid w:val="00E32909"/>
    <w:rsid w:val="00E32BE6"/>
    <w:rsid w:val="00E35919"/>
    <w:rsid w:val="00E411F5"/>
    <w:rsid w:val="00E412D0"/>
    <w:rsid w:val="00E4709F"/>
    <w:rsid w:val="00E56322"/>
    <w:rsid w:val="00E60982"/>
    <w:rsid w:val="00E60F52"/>
    <w:rsid w:val="00E62C62"/>
    <w:rsid w:val="00E654C1"/>
    <w:rsid w:val="00E65D97"/>
    <w:rsid w:val="00E66F39"/>
    <w:rsid w:val="00E718C2"/>
    <w:rsid w:val="00E72A5A"/>
    <w:rsid w:val="00E73077"/>
    <w:rsid w:val="00E73354"/>
    <w:rsid w:val="00E83234"/>
    <w:rsid w:val="00E870EC"/>
    <w:rsid w:val="00E87B57"/>
    <w:rsid w:val="00E906F9"/>
    <w:rsid w:val="00E9242D"/>
    <w:rsid w:val="00E96B3E"/>
    <w:rsid w:val="00E9782B"/>
    <w:rsid w:val="00EA371A"/>
    <w:rsid w:val="00EA3DDE"/>
    <w:rsid w:val="00EA670D"/>
    <w:rsid w:val="00EB5255"/>
    <w:rsid w:val="00EB5C47"/>
    <w:rsid w:val="00EB7283"/>
    <w:rsid w:val="00ED0639"/>
    <w:rsid w:val="00ED2848"/>
    <w:rsid w:val="00EE1ABA"/>
    <w:rsid w:val="00EE71EC"/>
    <w:rsid w:val="00EE7AAF"/>
    <w:rsid w:val="00EF4755"/>
    <w:rsid w:val="00EF6ED8"/>
    <w:rsid w:val="00EF7135"/>
    <w:rsid w:val="00F027DB"/>
    <w:rsid w:val="00F06261"/>
    <w:rsid w:val="00F14A7A"/>
    <w:rsid w:val="00F22985"/>
    <w:rsid w:val="00F25197"/>
    <w:rsid w:val="00F25E8D"/>
    <w:rsid w:val="00F31411"/>
    <w:rsid w:val="00F3383E"/>
    <w:rsid w:val="00F35B2D"/>
    <w:rsid w:val="00F3667C"/>
    <w:rsid w:val="00F4082A"/>
    <w:rsid w:val="00F465A7"/>
    <w:rsid w:val="00F50B7C"/>
    <w:rsid w:val="00F550E6"/>
    <w:rsid w:val="00F60C22"/>
    <w:rsid w:val="00F63284"/>
    <w:rsid w:val="00F65300"/>
    <w:rsid w:val="00F70037"/>
    <w:rsid w:val="00F7258C"/>
    <w:rsid w:val="00F74345"/>
    <w:rsid w:val="00F74966"/>
    <w:rsid w:val="00F74D74"/>
    <w:rsid w:val="00F75D07"/>
    <w:rsid w:val="00F80A0A"/>
    <w:rsid w:val="00F82122"/>
    <w:rsid w:val="00F82B19"/>
    <w:rsid w:val="00F8536C"/>
    <w:rsid w:val="00F85B58"/>
    <w:rsid w:val="00F9212D"/>
    <w:rsid w:val="00F965DA"/>
    <w:rsid w:val="00FA0828"/>
    <w:rsid w:val="00FA1080"/>
    <w:rsid w:val="00FA139A"/>
    <w:rsid w:val="00FA1699"/>
    <w:rsid w:val="00FA406A"/>
    <w:rsid w:val="00FB38CA"/>
    <w:rsid w:val="00FB44A1"/>
    <w:rsid w:val="00FB4EA9"/>
    <w:rsid w:val="00FB503A"/>
    <w:rsid w:val="00FB516C"/>
    <w:rsid w:val="00FB7E83"/>
    <w:rsid w:val="00FB7F88"/>
    <w:rsid w:val="00FC3BFE"/>
    <w:rsid w:val="00FC5BBA"/>
    <w:rsid w:val="00FC5F03"/>
    <w:rsid w:val="00FD0236"/>
    <w:rsid w:val="00FD18F4"/>
    <w:rsid w:val="00FD210B"/>
    <w:rsid w:val="00FD47D0"/>
    <w:rsid w:val="00FD54DB"/>
    <w:rsid w:val="00FD619F"/>
    <w:rsid w:val="00FD675A"/>
    <w:rsid w:val="00FE369B"/>
    <w:rsid w:val="00FE7F6A"/>
    <w:rsid w:val="00FF1C91"/>
    <w:rsid w:val="00FF2E20"/>
    <w:rsid w:val="00FF6B07"/>
    <w:rsid w:val="01290F7E"/>
    <w:rsid w:val="01495CB6"/>
    <w:rsid w:val="015D1E09"/>
    <w:rsid w:val="0191424B"/>
    <w:rsid w:val="01A22AAB"/>
    <w:rsid w:val="02697903"/>
    <w:rsid w:val="027D22E3"/>
    <w:rsid w:val="02F96569"/>
    <w:rsid w:val="030C6DD1"/>
    <w:rsid w:val="031901C1"/>
    <w:rsid w:val="034278C9"/>
    <w:rsid w:val="03986A37"/>
    <w:rsid w:val="03EA7B21"/>
    <w:rsid w:val="040D6081"/>
    <w:rsid w:val="04271215"/>
    <w:rsid w:val="049F51EA"/>
    <w:rsid w:val="054F02E6"/>
    <w:rsid w:val="05F83EAE"/>
    <w:rsid w:val="063353E0"/>
    <w:rsid w:val="063E7D85"/>
    <w:rsid w:val="070B7119"/>
    <w:rsid w:val="07293586"/>
    <w:rsid w:val="07295285"/>
    <w:rsid w:val="07636392"/>
    <w:rsid w:val="07770C56"/>
    <w:rsid w:val="092217DD"/>
    <w:rsid w:val="093A7294"/>
    <w:rsid w:val="0A263993"/>
    <w:rsid w:val="0A2D3AC2"/>
    <w:rsid w:val="0A3575CC"/>
    <w:rsid w:val="0A4B6B72"/>
    <w:rsid w:val="0AA755DF"/>
    <w:rsid w:val="0AC25820"/>
    <w:rsid w:val="0B120D44"/>
    <w:rsid w:val="0B83397C"/>
    <w:rsid w:val="0BD27BF6"/>
    <w:rsid w:val="0BE3462A"/>
    <w:rsid w:val="0C12570C"/>
    <w:rsid w:val="0C3B3C7D"/>
    <w:rsid w:val="0CAB2EAE"/>
    <w:rsid w:val="0D245A22"/>
    <w:rsid w:val="0D5F62E2"/>
    <w:rsid w:val="0D621C7D"/>
    <w:rsid w:val="0E73034D"/>
    <w:rsid w:val="0F13775A"/>
    <w:rsid w:val="0F1C08D1"/>
    <w:rsid w:val="0F5F45FE"/>
    <w:rsid w:val="0F9A112B"/>
    <w:rsid w:val="106D2F64"/>
    <w:rsid w:val="10B63710"/>
    <w:rsid w:val="10F10820"/>
    <w:rsid w:val="11032222"/>
    <w:rsid w:val="111C2F7A"/>
    <w:rsid w:val="11415816"/>
    <w:rsid w:val="115008A5"/>
    <w:rsid w:val="11665CA1"/>
    <w:rsid w:val="117A2C3C"/>
    <w:rsid w:val="118E1A92"/>
    <w:rsid w:val="12B85B05"/>
    <w:rsid w:val="130E18BD"/>
    <w:rsid w:val="133A72D6"/>
    <w:rsid w:val="13951726"/>
    <w:rsid w:val="13B3154A"/>
    <w:rsid w:val="14396509"/>
    <w:rsid w:val="14525638"/>
    <w:rsid w:val="146A0EF8"/>
    <w:rsid w:val="14934195"/>
    <w:rsid w:val="14DD2C3C"/>
    <w:rsid w:val="16087E1D"/>
    <w:rsid w:val="16122120"/>
    <w:rsid w:val="16311001"/>
    <w:rsid w:val="16312BFE"/>
    <w:rsid w:val="16971440"/>
    <w:rsid w:val="17423B28"/>
    <w:rsid w:val="175557CC"/>
    <w:rsid w:val="17620398"/>
    <w:rsid w:val="17701D14"/>
    <w:rsid w:val="17735226"/>
    <w:rsid w:val="178152FC"/>
    <w:rsid w:val="17C64F8D"/>
    <w:rsid w:val="17F66F1D"/>
    <w:rsid w:val="180C273E"/>
    <w:rsid w:val="187A63F3"/>
    <w:rsid w:val="18847A04"/>
    <w:rsid w:val="189F624C"/>
    <w:rsid w:val="19871B5F"/>
    <w:rsid w:val="19C8418E"/>
    <w:rsid w:val="1A1C66C0"/>
    <w:rsid w:val="1A42393B"/>
    <w:rsid w:val="1AAD45DE"/>
    <w:rsid w:val="1B046F80"/>
    <w:rsid w:val="1B3267B5"/>
    <w:rsid w:val="1B40161D"/>
    <w:rsid w:val="1B441859"/>
    <w:rsid w:val="1B6606B1"/>
    <w:rsid w:val="1B685AEC"/>
    <w:rsid w:val="1B9D6CD2"/>
    <w:rsid w:val="1C5E7925"/>
    <w:rsid w:val="1CFD070F"/>
    <w:rsid w:val="1D3C6F91"/>
    <w:rsid w:val="1D58039F"/>
    <w:rsid w:val="1D5F6196"/>
    <w:rsid w:val="1D6132A5"/>
    <w:rsid w:val="1D8E56D5"/>
    <w:rsid w:val="1DD00180"/>
    <w:rsid w:val="1DEA195D"/>
    <w:rsid w:val="1E4E34BD"/>
    <w:rsid w:val="1E7A43DA"/>
    <w:rsid w:val="1EA27C24"/>
    <w:rsid w:val="1EB73A43"/>
    <w:rsid w:val="1F227876"/>
    <w:rsid w:val="1FE7539E"/>
    <w:rsid w:val="202D29EF"/>
    <w:rsid w:val="20316A02"/>
    <w:rsid w:val="20671BE0"/>
    <w:rsid w:val="20963CB8"/>
    <w:rsid w:val="20A62D05"/>
    <w:rsid w:val="20A81A1B"/>
    <w:rsid w:val="20B07FB6"/>
    <w:rsid w:val="20B646FB"/>
    <w:rsid w:val="20DA592E"/>
    <w:rsid w:val="213B74B1"/>
    <w:rsid w:val="21407435"/>
    <w:rsid w:val="215A2310"/>
    <w:rsid w:val="21A6210D"/>
    <w:rsid w:val="21A86119"/>
    <w:rsid w:val="21DE318A"/>
    <w:rsid w:val="21EF5B80"/>
    <w:rsid w:val="22576990"/>
    <w:rsid w:val="226D1CC6"/>
    <w:rsid w:val="22990180"/>
    <w:rsid w:val="22BE4F7D"/>
    <w:rsid w:val="22F47480"/>
    <w:rsid w:val="235165A5"/>
    <w:rsid w:val="236414E6"/>
    <w:rsid w:val="237768CB"/>
    <w:rsid w:val="23DE1C48"/>
    <w:rsid w:val="240210CD"/>
    <w:rsid w:val="242C4CB4"/>
    <w:rsid w:val="243E443F"/>
    <w:rsid w:val="24BF09F7"/>
    <w:rsid w:val="252D53FE"/>
    <w:rsid w:val="25EC2D81"/>
    <w:rsid w:val="263A25C3"/>
    <w:rsid w:val="26872A77"/>
    <w:rsid w:val="26C730B9"/>
    <w:rsid w:val="27194E78"/>
    <w:rsid w:val="273672BA"/>
    <w:rsid w:val="277057A2"/>
    <w:rsid w:val="281829A4"/>
    <w:rsid w:val="29103A72"/>
    <w:rsid w:val="29125AF3"/>
    <w:rsid w:val="29206EB8"/>
    <w:rsid w:val="29555416"/>
    <w:rsid w:val="29595666"/>
    <w:rsid w:val="29874881"/>
    <w:rsid w:val="29E325E0"/>
    <w:rsid w:val="2A2A0B43"/>
    <w:rsid w:val="2A452503"/>
    <w:rsid w:val="2ABD6DD8"/>
    <w:rsid w:val="2AE84C38"/>
    <w:rsid w:val="2AFD0D1F"/>
    <w:rsid w:val="2B54445E"/>
    <w:rsid w:val="2B82257D"/>
    <w:rsid w:val="2BA936A8"/>
    <w:rsid w:val="2BC61D5D"/>
    <w:rsid w:val="2BCA5A57"/>
    <w:rsid w:val="2BE81E46"/>
    <w:rsid w:val="2C0C3564"/>
    <w:rsid w:val="2C315A5A"/>
    <w:rsid w:val="2C4B1C25"/>
    <w:rsid w:val="2CE51529"/>
    <w:rsid w:val="2D6913ED"/>
    <w:rsid w:val="2D9E56F5"/>
    <w:rsid w:val="2DEB4F53"/>
    <w:rsid w:val="2E603834"/>
    <w:rsid w:val="2E667F96"/>
    <w:rsid w:val="2E8226AB"/>
    <w:rsid w:val="2F972DDE"/>
    <w:rsid w:val="2FC15337"/>
    <w:rsid w:val="2FD065E6"/>
    <w:rsid w:val="2FD96870"/>
    <w:rsid w:val="30580BC9"/>
    <w:rsid w:val="3068309D"/>
    <w:rsid w:val="30DA6011"/>
    <w:rsid w:val="311E2ED7"/>
    <w:rsid w:val="311F24F8"/>
    <w:rsid w:val="315619EE"/>
    <w:rsid w:val="315C449C"/>
    <w:rsid w:val="31A43D59"/>
    <w:rsid w:val="31B82709"/>
    <w:rsid w:val="31CD1F0F"/>
    <w:rsid w:val="31D05482"/>
    <w:rsid w:val="31E512D8"/>
    <w:rsid w:val="32215B7D"/>
    <w:rsid w:val="32271446"/>
    <w:rsid w:val="32400B34"/>
    <w:rsid w:val="32886862"/>
    <w:rsid w:val="329E6876"/>
    <w:rsid w:val="32C158C1"/>
    <w:rsid w:val="330921BD"/>
    <w:rsid w:val="33152ED9"/>
    <w:rsid w:val="332C6F1A"/>
    <w:rsid w:val="333015F2"/>
    <w:rsid w:val="334B6320"/>
    <w:rsid w:val="33B73231"/>
    <w:rsid w:val="33BE2167"/>
    <w:rsid w:val="33C0618F"/>
    <w:rsid w:val="33D934D4"/>
    <w:rsid w:val="33F8726C"/>
    <w:rsid w:val="33FE2F6A"/>
    <w:rsid w:val="340E07E5"/>
    <w:rsid w:val="34235BF7"/>
    <w:rsid w:val="351A12F0"/>
    <w:rsid w:val="352B611D"/>
    <w:rsid w:val="358C5FA8"/>
    <w:rsid w:val="35B04BF9"/>
    <w:rsid w:val="35C15DF1"/>
    <w:rsid w:val="36074A7F"/>
    <w:rsid w:val="36923549"/>
    <w:rsid w:val="36B611E2"/>
    <w:rsid w:val="36B75FBF"/>
    <w:rsid w:val="36BD0C45"/>
    <w:rsid w:val="36F03CF6"/>
    <w:rsid w:val="370574B5"/>
    <w:rsid w:val="3755534D"/>
    <w:rsid w:val="37861808"/>
    <w:rsid w:val="37E00298"/>
    <w:rsid w:val="38165F8E"/>
    <w:rsid w:val="38591D6F"/>
    <w:rsid w:val="38B302F9"/>
    <w:rsid w:val="38F12CD3"/>
    <w:rsid w:val="38F73CC7"/>
    <w:rsid w:val="38F94775"/>
    <w:rsid w:val="392971ED"/>
    <w:rsid w:val="39325651"/>
    <w:rsid w:val="39711E6D"/>
    <w:rsid w:val="398939FB"/>
    <w:rsid w:val="39A31B3D"/>
    <w:rsid w:val="39C471EC"/>
    <w:rsid w:val="3A416BF0"/>
    <w:rsid w:val="3A872856"/>
    <w:rsid w:val="3AD51040"/>
    <w:rsid w:val="3B3763D1"/>
    <w:rsid w:val="3B81070B"/>
    <w:rsid w:val="3C2F6E1E"/>
    <w:rsid w:val="3C4F64BA"/>
    <w:rsid w:val="3CCB1FE8"/>
    <w:rsid w:val="3CDA245A"/>
    <w:rsid w:val="3CE663D4"/>
    <w:rsid w:val="3D1E06B7"/>
    <w:rsid w:val="3DA77D86"/>
    <w:rsid w:val="3E1C3EE9"/>
    <w:rsid w:val="3E2E4BEE"/>
    <w:rsid w:val="3E6F7B41"/>
    <w:rsid w:val="3EDA0523"/>
    <w:rsid w:val="3EFF7F36"/>
    <w:rsid w:val="3F6847FE"/>
    <w:rsid w:val="3F956237"/>
    <w:rsid w:val="4029163E"/>
    <w:rsid w:val="40537968"/>
    <w:rsid w:val="405B3EAC"/>
    <w:rsid w:val="407A6407"/>
    <w:rsid w:val="418B6E5A"/>
    <w:rsid w:val="41AC67DD"/>
    <w:rsid w:val="41B4502F"/>
    <w:rsid w:val="4200449D"/>
    <w:rsid w:val="423A3BCC"/>
    <w:rsid w:val="424E57D2"/>
    <w:rsid w:val="42553590"/>
    <w:rsid w:val="42B26C49"/>
    <w:rsid w:val="42FA2724"/>
    <w:rsid w:val="43324994"/>
    <w:rsid w:val="43381DEB"/>
    <w:rsid w:val="433A6FE6"/>
    <w:rsid w:val="43480868"/>
    <w:rsid w:val="4350713C"/>
    <w:rsid w:val="4355109B"/>
    <w:rsid w:val="436653E0"/>
    <w:rsid w:val="43B4361B"/>
    <w:rsid w:val="43C4431A"/>
    <w:rsid w:val="43F7170A"/>
    <w:rsid w:val="44166947"/>
    <w:rsid w:val="442E022B"/>
    <w:rsid w:val="442F659B"/>
    <w:rsid w:val="44B951CC"/>
    <w:rsid w:val="44CD14E0"/>
    <w:rsid w:val="44DE0DB8"/>
    <w:rsid w:val="44F20B0B"/>
    <w:rsid w:val="452E5F4C"/>
    <w:rsid w:val="455235D7"/>
    <w:rsid w:val="45612018"/>
    <w:rsid w:val="458946E9"/>
    <w:rsid w:val="45A47C0E"/>
    <w:rsid w:val="45D74B6B"/>
    <w:rsid w:val="46577FD6"/>
    <w:rsid w:val="46671C1D"/>
    <w:rsid w:val="46A918B7"/>
    <w:rsid w:val="46D955A7"/>
    <w:rsid w:val="47122BA7"/>
    <w:rsid w:val="47133957"/>
    <w:rsid w:val="47A07E0C"/>
    <w:rsid w:val="4870272E"/>
    <w:rsid w:val="49710081"/>
    <w:rsid w:val="498C51A0"/>
    <w:rsid w:val="49A8539E"/>
    <w:rsid w:val="49DC7715"/>
    <w:rsid w:val="4A023139"/>
    <w:rsid w:val="4A7B576F"/>
    <w:rsid w:val="4A8644A8"/>
    <w:rsid w:val="4AF561A9"/>
    <w:rsid w:val="4AF7286A"/>
    <w:rsid w:val="4C3D1DFE"/>
    <w:rsid w:val="4C4A0649"/>
    <w:rsid w:val="4C5A6300"/>
    <w:rsid w:val="4C7E5ECA"/>
    <w:rsid w:val="4C876AA5"/>
    <w:rsid w:val="4D0E00FB"/>
    <w:rsid w:val="4D176606"/>
    <w:rsid w:val="4DEC4FB0"/>
    <w:rsid w:val="4E075D8A"/>
    <w:rsid w:val="4E095593"/>
    <w:rsid w:val="4E3A5F61"/>
    <w:rsid w:val="4EC00FAD"/>
    <w:rsid w:val="4F9843DC"/>
    <w:rsid w:val="4FAA4871"/>
    <w:rsid w:val="4FC62A8C"/>
    <w:rsid w:val="4FD1220B"/>
    <w:rsid w:val="4FE20F0D"/>
    <w:rsid w:val="4FE42970"/>
    <w:rsid w:val="4FE51552"/>
    <w:rsid w:val="50024898"/>
    <w:rsid w:val="501D5854"/>
    <w:rsid w:val="50504C4B"/>
    <w:rsid w:val="509C6E7C"/>
    <w:rsid w:val="5162104E"/>
    <w:rsid w:val="516374E8"/>
    <w:rsid w:val="523D1824"/>
    <w:rsid w:val="529B58DB"/>
    <w:rsid w:val="52C26B91"/>
    <w:rsid w:val="52DF3AA8"/>
    <w:rsid w:val="53176B7B"/>
    <w:rsid w:val="533A4B08"/>
    <w:rsid w:val="536D4B4A"/>
    <w:rsid w:val="539634A0"/>
    <w:rsid w:val="53A039CC"/>
    <w:rsid w:val="53A1505A"/>
    <w:rsid w:val="53C33EE5"/>
    <w:rsid w:val="54063E08"/>
    <w:rsid w:val="543437E8"/>
    <w:rsid w:val="54F73313"/>
    <w:rsid w:val="54F80955"/>
    <w:rsid w:val="555170A7"/>
    <w:rsid w:val="5587536D"/>
    <w:rsid w:val="559413B0"/>
    <w:rsid w:val="559B174B"/>
    <w:rsid w:val="55CE0CF4"/>
    <w:rsid w:val="56525853"/>
    <w:rsid w:val="56B22A9C"/>
    <w:rsid w:val="56BD36E2"/>
    <w:rsid w:val="56F2739F"/>
    <w:rsid w:val="576C7852"/>
    <w:rsid w:val="57A3526E"/>
    <w:rsid w:val="57B72A76"/>
    <w:rsid w:val="57C3426C"/>
    <w:rsid w:val="57CE1F93"/>
    <w:rsid w:val="588743D1"/>
    <w:rsid w:val="5887701A"/>
    <w:rsid w:val="58C64930"/>
    <w:rsid w:val="58FD3402"/>
    <w:rsid w:val="597A0C19"/>
    <w:rsid w:val="59C0439F"/>
    <w:rsid w:val="5A1E38BA"/>
    <w:rsid w:val="5ABB2088"/>
    <w:rsid w:val="5ABE2233"/>
    <w:rsid w:val="5B2F1037"/>
    <w:rsid w:val="5B5D16EE"/>
    <w:rsid w:val="5B643B7D"/>
    <w:rsid w:val="5B9077C5"/>
    <w:rsid w:val="5BDF5D95"/>
    <w:rsid w:val="5BFE7528"/>
    <w:rsid w:val="5C3737FD"/>
    <w:rsid w:val="5C5860C7"/>
    <w:rsid w:val="5CED17C2"/>
    <w:rsid w:val="5D9161FD"/>
    <w:rsid w:val="5D9B4A5B"/>
    <w:rsid w:val="5DF65100"/>
    <w:rsid w:val="5E2467F1"/>
    <w:rsid w:val="5EE45D3B"/>
    <w:rsid w:val="5EE460DF"/>
    <w:rsid w:val="5F1A2B43"/>
    <w:rsid w:val="5F2917A2"/>
    <w:rsid w:val="5F6B22EF"/>
    <w:rsid w:val="5FB837BB"/>
    <w:rsid w:val="606D4B66"/>
    <w:rsid w:val="60CC405A"/>
    <w:rsid w:val="60DD763F"/>
    <w:rsid w:val="616F66EB"/>
    <w:rsid w:val="61E215D8"/>
    <w:rsid w:val="621B3775"/>
    <w:rsid w:val="622443E0"/>
    <w:rsid w:val="62364782"/>
    <w:rsid w:val="62830A6D"/>
    <w:rsid w:val="63082455"/>
    <w:rsid w:val="631C27A0"/>
    <w:rsid w:val="63490879"/>
    <w:rsid w:val="6363041C"/>
    <w:rsid w:val="636D4219"/>
    <w:rsid w:val="637C4019"/>
    <w:rsid w:val="6394356A"/>
    <w:rsid w:val="63C61B2C"/>
    <w:rsid w:val="63D40BE9"/>
    <w:rsid w:val="64102431"/>
    <w:rsid w:val="647A13DE"/>
    <w:rsid w:val="64803BCB"/>
    <w:rsid w:val="64A5243A"/>
    <w:rsid w:val="64F531DE"/>
    <w:rsid w:val="65373578"/>
    <w:rsid w:val="65831A37"/>
    <w:rsid w:val="66A5185B"/>
    <w:rsid w:val="66BE5E38"/>
    <w:rsid w:val="671F124A"/>
    <w:rsid w:val="677A33C6"/>
    <w:rsid w:val="681D6792"/>
    <w:rsid w:val="681F6961"/>
    <w:rsid w:val="68262486"/>
    <w:rsid w:val="683766F6"/>
    <w:rsid w:val="68603B7C"/>
    <w:rsid w:val="68610A2F"/>
    <w:rsid w:val="68805514"/>
    <w:rsid w:val="689A3D1E"/>
    <w:rsid w:val="69316E2F"/>
    <w:rsid w:val="694E2071"/>
    <w:rsid w:val="69766163"/>
    <w:rsid w:val="697A3B33"/>
    <w:rsid w:val="69D44760"/>
    <w:rsid w:val="6A264C91"/>
    <w:rsid w:val="6A2A4326"/>
    <w:rsid w:val="6A520EC7"/>
    <w:rsid w:val="6AF87E20"/>
    <w:rsid w:val="6B322639"/>
    <w:rsid w:val="6C1F6B30"/>
    <w:rsid w:val="6C35253E"/>
    <w:rsid w:val="6C636C38"/>
    <w:rsid w:val="6D436FFD"/>
    <w:rsid w:val="6D5E0469"/>
    <w:rsid w:val="6D7E7D9C"/>
    <w:rsid w:val="6DB10F04"/>
    <w:rsid w:val="6DB34098"/>
    <w:rsid w:val="6DB545B6"/>
    <w:rsid w:val="6DE02FB4"/>
    <w:rsid w:val="6E514CED"/>
    <w:rsid w:val="6EB563D5"/>
    <w:rsid w:val="6ED92677"/>
    <w:rsid w:val="6EFA4B16"/>
    <w:rsid w:val="6F225983"/>
    <w:rsid w:val="6F6D0CE1"/>
    <w:rsid w:val="6F6F09A1"/>
    <w:rsid w:val="6FE41161"/>
    <w:rsid w:val="6FFC5590"/>
    <w:rsid w:val="706D1DD0"/>
    <w:rsid w:val="70856B87"/>
    <w:rsid w:val="70B57F63"/>
    <w:rsid w:val="70C8689F"/>
    <w:rsid w:val="70D527EE"/>
    <w:rsid w:val="711A590D"/>
    <w:rsid w:val="715B5300"/>
    <w:rsid w:val="71820034"/>
    <w:rsid w:val="71D27F8A"/>
    <w:rsid w:val="72553024"/>
    <w:rsid w:val="726F428B"/>
    <w:rsid w:val="73122968"/>
    <w:rsid w:val="731F5D5E"/>
    <w:rsid w:val="73483452"/>
    <w:rsid w:val="73C51AD5"/>
    <w:rsid w:val="741E793C"/>
    <w:rsid w:val="745E3944"/>
    <w:rsid w:val="74AF4F00"/>
    <w:rsid w:val="74CC4B5F"/>
    <w:rsid w:val="752153F1"/>
    <w:rsid w:val="7635099D"/>
    <w:rsid w:val="7674049D"/>
    <w:rsid w:val="76FE4C31"/>
    <w:rsid w:val="77725216"/>
    <w:rsid w:val="77762421"/>
    <w:rsid w:val="77B56B1F"/>
    <w:rsid w:val="77DF3E6F"/>
    <w:rsid w:val="780F09F4"/>
    <w:rsid w:val="781A76D5"/>
    <w:rsid w:val="78A90480"/>
    <w:rsid w:val="797132F6"/>
    <w:rsid w:val="7973709D"/>
    <w:rsid w:val="79814A31"/>
    <w:rsid w:val="7A364017"/>
    <w:rsid w:val="7A48094C"/>
    <w:rsid w:val="7A8265E1"/>
    <w:rsid w:val="7B3F16D6"/>
    <w:rsid w:val="7B686D42"/>
    <w:rsid w:val="7B841746"/>
    <w:rsid w:val="7BE3663D"/>
    <w:rsid w:val="7C6C5AC7"/>
    <w:rsid w:val="7CBF4627"/>
    <w:rsid w:val="7CC6544B"/>
    <w:rsid w:val="7CF4278E"/>
    <w:rsid w:val="7D0239FF"/>
    <w:rsid w:val="7D5E40CD"/>
    <w:rsid w:val="7D730DDE"/>
    <w:rsid w:val="7DCD56F2"/>
    <w:rsid w:val="7F001CE7"/>
    <w:rsid w:val="7F030EC3"/>
    <w:rsid w:val="7F885F7C"/>
    <w:rsid w:val="7F951BD1"/>
    <w:rsid w:val="7FB57627"/>
    <w:rsid w:val="7FC477DE"/>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9">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10">
    <w:name w:val="heading 2"/>
    <w:basedOn w:val="1"/>
    <w:next w:val="1"/>
    <w:link w:val="38"/>
    <w:qFormat/>
    <w:uiPriority w:val="9"/>
    <w:pPr>
      <w:keepNext/>
      <w:keepLines/>
      <w:spacing w:before="260" w:after="260" w:line="416" w:lineRule="atLeast"/>
      <w:ind w:firstLine="200" w:firstLineChars="200"/>
      <w:outlineLvl w:val="1"/>
    </w:pPr>
    <w:rPr>
      <w:rFonts w:ascii="Cambria" w:hAnsi="Cambria"/>
      <w:b/>
      <w:bCs/>
      <w:sz w:val="32"/>
      <w:szCs w:val="32"/>
    </w:rPr>
  </w:style>
  <w:style w:type="paragraph" w:styleId="11">
    <w:name w:val="heading 3"/>
    <w:basedOn w:val="1"/>
    <w:next w:val="1"/>
    <w:link w:val="39"/>
    <w:qFormat/>
    <w:uiPriority w:val="0"/>
    <w:pPr>
      <w:keepNext/>
      <w:keepLines/>
      <w:spacing w:before="260" w:after="260" w:line="416" w:lineRule="auto"/>
      <w:outlineLvl w:val="2"/>
    </w:pPr>
    <w:rPr>
      <w:b/>
      <w:bCs/>
      <w:sz w:val="32"/>
      <w:szCs w:val="32"/>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44"/>
    <w:qFormat/>
    <w:uiPriority w:val="0"/>
    <w:pPr>
      <w:spacing w:after="120"/>
      <w:ind w:left="420" w:leftChars="200"/>
    </w:pPr>
    <w:rPr>
      <w:kern w:val="0"/>
      <w:sz w:val="24"/>
      <w:szCs w:val="20"/>
    </w:rPr>
  </w:style>
  <w:style w:type="paragraph" w:styleId="3">
    <w:name w:val="header"/>
    <w:basedOn w:val="1"/>
    <w:next w:val="4"/>
    <w:link w:val="49"/>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4">
    <w:name w:val="样式5"/>
    <w:basedOn w:val="5"/>
    <w:qFormat/>
    <w:uiPriority w:val="0"/>
    <w:rPr>
      <w:rFonts w:hAnsi="Times New Roman"/>
    </w:rPr>
  </w:style>
  <w:style w:type="paragraph" w:customStyle="1" w:styleId="5">
    <w:name w:val="样式3"/>
    <w:basedOn w:val="6"/>
    <w:next w:val="8"/>
    <w:qFormat/>
    <w:uiPriority w:val="0"/>
    <w:rPr>
      <w:rFonts w:hAnsi="黑体"/>
    </w:rPr>
  </w:style>
  <w:style w:type="paragraph" w:customStyle="1" w:styleId="6">
    <w:name w:val="样式2"/>
    <w:basedOn w:val="7"/>
    <w:qFormat/>
    <w:uiPriority w:val="0"/>
    <w:pPr>
      <w:ind w:firstLine="539"/>
      <w:jc w:val="center"/>
      <w:outlineLvl w:val="0"/>
    </w:pPr>
    <w:rPr>
      <w:rFonts w:ascii="黑体" w:eastAsia="黑体"/>
      <w:color w:val="000000"/>
    </w:rPr>
  </w:style>
  <w:style w:type="paragraph" w:customStyle="1" w:styleId="7">
    <w:name w:val="正文 + 宋体"/>
    <w:basedOn w:val="1"/>
    <w:qFormat/>
    <w:uiPriority w:val="0"/>
    <w:pPr>
      <w:adjustRightInd w:val="0"/>
      <w:snapToGrid w:val="0"/>
      <w:ind w:firstLine="200"/>
    </w:pPr>
  </w:style>
  <w:style w:type="paragraph" w:styleId="8">
    <w:name w:val="Body Text"/>
    <w:basedOn w:val="1"/>
    <w:next w:val="1"/>
    <w:link w:val="43"/>
    <w:qFormat/>
    <w:uiPriority w:val="0"/>
    <w:pPr>
      <w:widowControl/>
      <w:snapToGrid w:val="0"/>
      <w:spacing w:before="60" w:after="160" w:line="259" w:lineRule="auto"/>
      <w:ind w:right="113"/>
    </w:pPr>
    <w:rPr>
      <w:kern w:val="0"/>
      <w:sz w:val="18"/>
      <w:szCs w:val="20"/>
    </w:rPr>
  </w:style>
  <w:style w:type="paragraph" w:styleId="12">
    <w:name w:val="toc 7"/>
    <w:basedOn w:val="1"/>
    <w:next w:val="1"/>
    <w:unhideWhenUsed/>
    <w:qFormat/>
    <w:uiPriority w:val="39"/>
    <w:pPr>
      <w:ind w:left="1260"/>
      <w:jc w:val="left"/>
    </w:pPr>
    <w:rPr>
      <w:sz w:val="18"/>
      <w:szCs w:val="18"/>
    </w:rPr>
  </w:style>
  <w:style w:type="paragraph" w:styleId="13">
    <w:name w:val="Normal Indent"/>
    <w:basedOn w:val="1"/>
    <w:link w:val="40"/>
    <w:unhideWhenUsed/>
    <w:qFormat/>
    <w:uiPriority w:val="0"/>
    <w:pPr>
      <w:adjustRightInd w:val="0"/>
      <w:snapToGrid w:val="0"/>
      <w:spacing w:beforeLines="50" w:afterLines="50" w:line="360" w:lineRule="auto"/>
      <w:ind w:firstLine="560" w:firstLineChars="200"/>
    </w:pPr>
    <w:rPr>
      <w:sz w:val="28"/>
    </w:rPr>
  </w:style>
  <w:style w:type="paragraph" w:styleId="14">
    <w:name w:val="Document Map"/>
    <w:basedOn w:val="1"/>
    <w:link w:val="41"/>
    <w:qFormat/>
    <w:uiPriority w:val="0"/>
    <w:rPr>
      <w:rFonts w:ascii="宋体"/>
      <w:sz w:val="18"/>
      <w:szCs w:val="18"/>
    </w:rPr>
  </w:style>
  <w:style w:type="paragraph" w:styleId="15">
    <w:name w:val="annotation text"/>
    <w:basedOn w:val="1"/>
    <w:link w:val="42"/>
    <w:semiHidden/>
    <w:qFormat/>
    <w:uiPriority w:val="0"/>
    <w:pPr>
      <w:jc w:val="left"/>
    </w:pPr>
    <w:rPr>
      <w:kern w:val="0"/>
      <w:sz w:val="24"/>
      <w:szCs w:val="20"/>
    </w:rPr>
  </w:style>
  <w:style w:type="paragraph" w:styleId="16">
    <w:name w:val="Plain Text"/>
    <w:basedOn w:val="1"/>
    <w:next w:val="1"/>
    <w:link w:val="45"/>
    <w:unhideWhenUsed/>
    <w:qFormat/>
    <w:uiPriority w:val="0"/>
    <w:pPr>
      <w:spacing w:line="420" w:lineRule="exact"/>
      <w:ind w:firstLine="200" w:firstLineChars="200"/>
    </w:pPr>
    <w:rPr>
      <w:rFonts w:ascii="宋体" w:hAnsi="Courier New"/>
      <w:szCs w:val="21"/>
    </w:rPr>
  </w:style>
  <w:style w:type="paragraph" w:styleId="17">
    <w:name w:val="List Bullet 5"/>
    <w:basedOn w:val="1"/>
    <w:qFormat/>
    <w:uiPriority w:val="0"/>
    <w:pPr>
      <w:numPr>
        <w:ilvl w:val="0"/>
        <w:numId w:val="1"/>
      </w:numPr>
    </w:pPr>
  </w:style>
  <w:style w:type="paragraph" w:styleId="18">
    <w:name w:val="Date"/>
    <w:basedOn w:val="1"/>
    <w:next w:val="1"/>
    <w:link w:val="46"/>
    <w:qFormat/>
    <w:uiPriority w:val="0"/>
    <w:pPr>
      <w:ind w:left="100" w:leftChars="2500"/>
    </w:pPr>
    <w:rPr>
      <w:kern w:val="0"/>
      <w:sz w:val="24"/>
      <w:szCs w:val="20"/>
    </w:rPr>
  </w:style>
  <w:style w:type="paragraph" w:styleId="19">
    <w:name w:val="Body Text Indent 2"/>
    <w:basedOn w:val="1"/>
    <w:qFormat/>
    <w:uiPriority w:val="0"/>
    <w:pPr>
      <w:spacing w:line="560" w:lineRule="exact"/>
      <w:ind w:firstLine="480" w:firstLineChars="200"/>
    </w:pPr>
    <w:rPr>
      <w:rFonts w:hAnsi="宋体"/>
    </w:rPr>
  </w:style>
  <w:style w:type="paragraph" w:styleId="20">
    <w:name w:val="Balloon Text"/>
    <w:basedOn w:val="1"/>
    <w:link w:val="47"/>
    <w:semiHidden/>
    <w:qFormat/>
    <w:uiPriority w:val="0"/>
    <w:rPr>
      <w:kern w:val="0"/>
      <w:sz w:val="18"/>
      <w:szCs w:val="20"/>
    </w:rPr>
  </w:style>
  <w:style w:type="paragraph" w:styleId="21">
    <w:name w:val="footer"/>
    <w:basedOn w:val="1"/>
    <w:next w:val="1"/>
    <w:link w:val="48"/>
    <w:qFormat/>
    <w:uiPriority w:val="99"/>
    <w:pPr>
      <w:tabs>
        <w:tab w:val="center" w:pos="4153"/>
        <w:tab w:val="right" w:pos="8306"/>
      </w:tabs>
      <w:snapToGrid w:val="0"/>
      <w:jc w:val="left"/>
    </w:pPr>
    <w:rPr>
      <w:kern w:val="0"/>
      <w:sz w:val="18"/>
      <w:szCs w:val="20"/>
    </w:rPr>
  </w:style>
  <w:style w:type="paragraph" w:styleId="22">
    <w:name w:val="toc 1"/>
    <w:basedOn w:val="1"/>
    <w:next w:val="1"/>
    <w:qFormat/>
    <w:uiPriority w:val="0"/>
  </w:style>
  <w:style w:type="paragraph" w:styleId="23">
    <w:name w:val="Subtitle"/>
    <w:basedOn w:val="1"/>
    <w:next w:val="1"/>
    <w:link w:val="50"/>
    <w:qFormat/>
    <w:uiPriority w:val="0"/>
    <w:pPr>
      <w:spacing w:line="0" w:lineRule="atLeast"/>
      <w:jc w:val="center"/>
      <w:outlineLvl w:val="1"/>
    </w:pPr>
    <w:rPr>
      <w:bCs/>
      <w:kern w:val="28"/>
      <w:szCs w:val="32"/>
    </w:rPr>
  </w:style>
  <w:style w:type="paragraph" w:styleId="24">
    <w:name w:val="List"/>
    <w:basedOn w:val="1"/>
    <w:qFormat/>
    <w:uiPriority w:val="0"/>
    <w:pPr>
      <w:ind w:left="200" w:hanging="200" w:hangingChars="200"/>
      <w:contextualSpacing/>
    </w:pPr>
  </w:style>
  <w:style w:type="paragraph" w:styleId="25">
    <w:name w:val="Body Text Indent 3"/>
    <w:basedOn w:val="1"/>
    <w:link w:val="51"/>
    <w:qFormat/>
    <w:uiPriority w:val="0"/>
    <w:pPr>
      <w:spacing w:after="120"/>
      <w:ind w:left="420" w:leftChars="200"/>
    </w:pPr>
    <w:rPr>
      <w:sz w:val="16"/>
      <w:szCs w:val="16"/>
    </w:rPr>
  </w:style>
  <w:style w:type="paragraph" w:styleId="26">
    <w:name w:val="Normal (Web)"/>
    <w:basedOn w:val="1"/>
    <w:link w:val="52"/>
    <w:qFormat/>
    <w:uiPriority w:val="99"/>
    <w:pPr>
      <w:widowControl/>
      <w:spacing w:before="100" w:beforeAutospacing="1" w:after="100" w:afterAutospacing="1"/>
      <w:jc w:val="left"/>
    </w:pPr>
    <w:rPr>
      <w:rFonts w:ascii="宋体" w:hAnsi="宋体"/>
      <w:kern w:val="0"/>
      <w:sz w:val="24"/>
      <w:szCs w:val="20"/>
    </w:rPr>
  </w:style>
  <w:style w:type="paragraph" w:styleId="27">
    <w:name w:val="annotation subject"/>
    <w:basedOn w:val="15"/>
    <w:next w:val="1"/>
    <w:link w:val="53"/>
    <w:semiHidden/>
    <w:qFormat/>
    <w:uiPriority w:val="0"/>
    <w:rPr>
      <w:b/>
      <w:kern w:val="2"/>
    </w:rPr>
  </w:style>
  <w:style w:type="paragraph" w:styleId="28">
    <w:name w:val="Body Text First Indent"/>
    <w:basedOn w:val="8"/>
    <w:next w:val="29"/>
    <w:qFormat/>
    <w:uiPriority w:val="0"/>
    <w:pPr>
      <w:ind w:firstLine="420" w:firstLineChars="100"/>
    </w:pPr>
    <w:rPr>
      <w:szCs w:val="24"/>
    </w:rPr>
  </w:style>
  <w:style w:type="paragraph" w:customStyle="1" w:styleId="29">
    <w:name w:val="样式 正文首行缩进 + 首行缩进:  2 字符1"/>
    <w:basedOn w:val="28"/>
    <w:next w:val="22"/>
    <w:qFormat/>
    <w:uiPriority w:val="0"/>
    <w:pPr>
      <w:spacing w:line="360" w:lineRule="auto"/>
      <w:ind w:firstLine="480"/>
    </w:pPr>
  </w:style>
  <w:style w:type="paragraph" w:styleId="30">
    <w:name w:val="Body Text First Indent 2"/>
    <w:basedOn w:val="2"/>
    <w:next w:val="1"/>
    <w:qFormat/>
    <w:uiPriority w:val="0"/>
    <w:pPr>
      <w:ind w:firstLine="420" w:firstLineChars="200"/>
    </w:pPr>
    <w:rPr>
      <w:szCs w:val="24"/>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qFormat/>
    <w:uiPriority w:val="0"/>
  </w:style>
  <w:style w:type="character" w:styleId="35">
    <w:name w:val="Emphasis"/>
    <w:basedOn w:val="33"/>
    <w:qFormat/>
    <w:uiPriority w:val="0"/>
    <w:rPr>
      <w:i/>
    </w:rPr>
  </w:style>
  <w:style w:type="character" w:styleId="36">
    <w:name w:val="Hyperlink"/>
    <w:basedOn w:val="33"/>
    <w:qFormat/>
    <w:uiPriority w:val="0"/>
    <w:rPr>
      <w:color w:val="0000FF"/>
      <w:u w:val="single"/>
    </w:rPr>
  </w:style>
  <w:style w:type="character" w:styleId="37">
    <w:name w:val="annotation reference"/>
    <w:semiHidden/>
    <w:qFormat/>
    <w:uiPriority w:val="0"/>
    <w:rPr>
      <w:sz w:val="21"/>
    </w:rPr>
  </w:style>
  <w:style w:type="character" w:customStyle="1" w:styleId="38">
    <w:name w:val="标题 2 Char"/>
    <w:link w:val="10"/>
    <w:semiHidden/>
    <w:qFormat/>
    <w:uiPriority w:val="9"/>
    <w:rPr>
      <w:rFonts w:ascii="Cambria" w:hAnsi="Cambria" w:eastAsia="宋体" w:cs="Times New Roman"/>
      <w:b/>
      <w:bCs/>
      <w:kern w:val="2"/>
      <w:sz w:val="32"/>
      <w:szCs w:val="32"/>
    </w:rPr>
  </w:style>
  <w:style w:type="character" w:customStyle="1" w:styleId="39">
    <w:name w:val="标题 3 Char"/>
    <w:link w:val="11"/>
    <w:semiHidden/>
    <w:qFormat/>
    <w:uiPriority w:val="0"/>
    <w:rPr>
      <w:b/>
      <w:bCs/>
      <w:kern w:val="2"/>
      <w:sz w:val="32"/>
      <w:szCs w:val="32"/>
    </w:rPr>
  </w:style>
  <w:style w:type="character" w:customStyle="1" w:styleId="40">
    <w:name w:val="正文缩进 Char"/>
    <w:link w:val="13"/>
    <w:qFormat/>
    <w:uiPriority w:val="0"/>
    <w:rPr>
      <w:kern w:val="2"/>
      <w:sz w:val="28"/>
      <w:szCs w:val="24"/>
    </w:rPr>
  </w:style>
  <w:style w:type="character" w:customStyle="1" w:styleId="41">
    <w:name w:val="文档结构图 Char"/>
    <w:link w:val="14"/>
    <w:qFormat/>
    <w:uiPriority w:val="0"/>
    <w:rPr>
      <w:rFonts w:ascii="宋体"/>
      <w:kern w:val="2"/>
      <w:sz w:val="18"/>
      <w:szCs w:val="18"/>
    </w:rPr>
  </w:style>
  <w:style w:type="character" w:customStyle="1" w:styleId="42">
    <w:name w:val="批注文字 Char"/>
    <w:link w:val="15"/>
    <w:qFormat/>
    <w:uiPriority w:val="0"/>
    <w:rPr>
      <w:rFonts w:ascii="Times New Roman" w:hAnsi="Times New Roman" w:eastAsia="宋体"/>
      <w:sz w:val="24"/>
    </w:rPr>
  </w:style>
  <w:style w:type="character" w:customStyle="1" w:styleId="43">
    <w:name w:val="正文文本 Char"/>
    <w:link w:val="8"/>
    <w:qFormat/>
    <w:uiPriority w:val="0"/>
    <w:rPr>
      <w:sz w:val="18"/>
    </w:rPr>
  </w:style>
  <w:style w:type="character" w:customStyle="1" w:styleId="44">
    <w:name w:val="正文文本缩进 Char"/>
    <w:link w:val="2"/>
    <w:semiHidden/>
    <w:qFormat/>
    <w:uiPriority w:val="0"/>
    <w:rPr>
      <w:rFonts w:ascii="Times New Roman" w:hAnsi="Times New Roman" w:eastAsia="宋体"/>
      <w:sz w:val="24"/>
    </w:rPr>
  </w:style>
  <w:style w:type="character" w:customStyle="1" w:styleId="45">
    <w:name w:val="纯文本 Char"/>
    <w:link w:val="16"/>
    <w:qFormat/>
    <w:uiPriority w:val="0"/>
    <w:rPr>
      <w:rFonts w:ascii="宋体" w:hAnsi="Courier New" w:cs="Courier New"/>
      <w:kern w:val="2"/>
      <w:sz w:val="21"/>
      <w:szCs w:val="21"/>
    </w:rPr>
  </w:style>
  <w:style w:type="character" w:customStyle="1" w:styleId="46">
    <w:name w:val="日期 Char"/>
    <w:link w:val="18"/>
    <w:uiPriority w:val="0"/>
    <w:rPr>
      <w:rFonts w:ascii="Times New Roman" w:hAnsi="Times New Roman" w:eastAsia="宋体"/>
      <w:sz w:val="24"/>
    </w:rPr>
  </w:style>
  <w:style w:type="character" w:customStyle="1" w:styleId="47">
    <w:name w:val="批注框文本 Char"/>
    <w:link w:val="20"/>
    <w:semiHidden/>
    <w:uiPriority w:val="0"/>
    <w:rPr>
      <w:rFonts w:ascii="Times New Roman" w:hAnsi="Times New Roman" w:eastAsia="宋体"/>
      <w:sz w:val="18"/>
    </w:rPr>
  </w:style>
  <w:style w:type="character" w:customStyle="1" w:styleId="48">
    <w:name w:val="页脚 Char"/>
    <w:link w:val="21"/>
    <w:qFormat/>
    <w:uiPriority w:val="99"/>
    <w:rPr>
      <w:sz w:val="18"/>
    </w:rPr>
  </w:style>
  <w:style w:type="character" w:customStyle="1" w:styleId="49">
    <w:name w:val="页眉 Char"/>
    <w:link w:val="3"/>
    <w:qFormat/>
    <w:uiPriority w:val="0"/>
    <w:rPr>
      <w:sz w:val="18"/>
    </w:rPr>
  </w:style>
  <w:style w:type="character" w:customStyle="1" w:styleId="50">
    <w:name w:val="副标题 Char1"/>
    <w:link w:val="23"/>
    <w:qFormat/>
    <w:uiPriority w:val="0"/>
    <w:rPr>
      <w:bCs/>
      <w:kern w:val="28"/>
      <w:sz w:val="21"/>
      <w:szCs w:val="32"/>
    </w:rPr>
  </w:style>
  <w:style w:type="character" w:customStyle="1" w:styleId="51">
    <w:name w:val="正文文本缩进 3 Char"/>
    <w:link w:val="25"/>
    <w:qFormat/>
    <w:uiPriority w:val="0"/>
    <w:rPr>
      <w:kern w:val="2"/>
      <w:sz w:val="16"/>
      <w:szCs w:val="16"/>
    </w:rPr>
  </w:style>
  <w:style w:type="character" w:customStyle="1" w:styleId="52">
    <w:name w:val="普通(网站) Char"/>
    <w:link w:val="26"/>
    <w:qFormat/>
    <w:uiPriority w:val="0"/>
    <w:rPr>
      <w:rFonts w:ascii="宋体" w:hAnsi="宋体" w:eastAsia="宋体"/>
      <w:sz w:val="24"/>
    </w:rPr>
  </w:style>
  <w:style w:type="character" w:customStyle="1" w:styleId="53">
    <w:name w:val="批注主题 Char"/>
    <w:link w:val="27"/>
    <w:semiHidden/>
    <w:qFormat/>
    <w:uiPriority w:val="0"/>
    <w:rPr>
      <w:rFonts w:ascii="Times New Roman" w:hAnsi="Times New Roman" w:eastAsia="宋体"/>
      <w:b/>
      <w:kern w:val="2"/>
      <w:sz w:val="24"/>
    </w:rPr>
  </w:style>
  <w:style w:type="paragraph" w:customStyle="1" w:styleId="54">
    <w:name w:val="Default1"/>
    <w:qFormat/>
    <w:uiPriority w:val="99"/>
    <w:pPr>
      <w:widowControl w:val="0"/>
      <w:autoSpaceDE w:val="0"/>
      <w:autoSpaceDN w:val="0"/>
      <w:adjustRightInd w:val="0"/>
    </w:pPr>
    <w:rPr>
      <w:rFonts w:ascii="宋体" w:hAnsi="Times New Roman" w:eastAsia="微软雅黑" w:cs="宋体"/>
      <w:color w:val="000000"/>
      <w:sz w:val="24"/>
      <w:szCs w:val="24"/>
      <w:lang w:val="en-US" w:eastAsia="zh-CN" w:bidi="ar-SA"/>
    </w:rPr>
  </w:style>
  <w:style w:type="character" w:customStyle="1" w:styleId="55">
    <w:name w:val="批注文字 字符1"/>
    <w:semiHidden/>
    <w:qFormat/>
    <w:uiPriority w:val="0"/>
    <w:rPr>
      <w:rFonts w:ascii="Times New Roman" w:hAnsi="Times New Roman" w:eastAsia="宋体"/>
      <w:sz w:val="24"/>
    </w:rPr>
  </w:style>
  <w:style w:type="character" w:customStyle="1" w:styleId="56">
    <w:name w:val="日期 字符"/>
    <w:semiHidden/>
    <w:qFormat/>
    <w:uiPriority w:val="0"/>
    <w:rPr>
      <w:rFonts w:ascii="Times New Roman" w:hAnsi="Times New Roman" w:eastAsia="宋体"/>
      <w:sz w:val="24"/>
    </w:rPr>
  </w:style>
  <w:style w:type="character" w:customStyle="1" w:styleId="57">
    <w:name w:val="正文111 Char"/>
    <w:link w:val="58"/>
    <w:qFormat/>
    <w:uiPriority w:val="0"/>
    <w:rPr>
      <w:rFonts w:ascii="仿宋_GB2312" w:eastAsia="仿宋_GB2312"/>
      <w:sz w:val="24"/>
      <w:szCs w:val="24"/>
    </w:rPr>
  </w:style>
  <w:style w:type="paragraph" w:customStyle="1" w:styleId="58">
    <w:name w:val="正文111"/>
    <w:basedOn w:val="1"/>
    <w:link w:val="57"/>
    <w:qFormat/>
    <w:uiPriority w:val="0"/>
    <w:pPr>
      <w:spacing w:line="520" w:lineRule="exact"/>
      <w:ind w:firstLine="480" w:firstLineChars="200"/>
    </w:pPr>
    <w:rPr>
      <w:rFonts w:ascii="仿宋_GB2312" w:eastAsia="仿宋_GB2312"/>
      <w:kern w:val="0"/>
      <w:sz w:val="24"/>
    </w:rPr>
  </w:style>
  <w:style w:type="character" w:customStyle="1" w:styleId="59">
    <w:name w:val="表格 Char"/>
    <w:link w:val="60"/>
    <w:qFormat/>
    <w:uiPriority w:val="0"/>
    <w:rPr>
      <w:rFonts w:ascii="宋体"/>
      <w:sz w:val="21"/>
    </w:rPr>
  </w:style>
  <w:style w:type="paragraph" w:customStyle="1" w:styleId="60">
    <w:name w:val="表格"/>
    <w:basedOn w:val="1"/>
    <w:next w:val="1"/>
    <w:link w:val="59"/>
    <w:qFormat/>
    <w:uiPriority w:val="0"/>
    <w:pPr>
      <w:adjustRightInd w:val="0"/>
      <w:snapToGrid w:val="0"/>
      <w:spacing w:beforeLines="10" w:afterLines="10" w:line="259" w:lineRule="auto"/>
      <w:jc w:val="center"/>
    </w:pPr>
    <w:rPr>
      <w:rFonts w:ascii="宋体"/>
      <w:kern w:val="0"/>
      <w:szCs w:val="20"/>
    </w:rPr>
  </w:style>
  <w:style w:type="character" w:customStyle="1" w:styleId="61">
    <w:name w:val="页脚 字符"/>
    <w:qFormat/>
    <w:uiPriority w:val="99"/>
  </w:style>
  <w:style w:type="character" w:customStyle="1" w:styleId="62">
    <w:name w:val="纯文本 Char1"/>
    <w:qFormat/>
    <w:uiPriority w:val="99"/>
    <w:rPr>
      <w:rFonts w:ascii="宋体" w:hAnsi="Courier New" w:cs="Courier New"/>
      <w:kern w:val="2"/>
      <w:sz w:val="21"/>
      <w:szCs w:val="21"/>
    </w:rPr>
  </w:style>
  <w:style w:type="character" w:customStyle="1" w:styleId="63">
    <w:name w:val="表 Char"/>
    <w:link w:val="64"/>
    <w:qFormat/>
    <w:uiPriority w:val="0"/>
    <w:rPr>
      <w:spacing w:val="2"/>
      <w:kern w:val="2"/>
      <w:sz w:val="24"/>
    </w:rPr>
  </w:style>
  <w:style w:type="paragraph" w:customStyle="1" w:styleId="64">
    <w:name w:val="表"/>
    <w:basedOn w:val="1"/>
    <w:link w:val="63"/>
    <w:qFormat/>
    <w:uiPriority w:val="0"/>
    <w:pPr>
      <w:snapToGrid w:val="0"/>
      <w:spacing w:line="480" w:lineRule="exact"/>
      <w:ind w:firstLine="200" w:firstLineChars="200"/>
      <w:jc w:val="center"/>
    </w:pPr>
    <w:rPr>
      <w:spacing w:val="2"/>
      <w:sz w:val="24"/>
      <w:szCs w:val="20"/>
    </w:rPr>
  </w:style>
  <w:style w:type="character" w:customStyle="1" w:styleId="65">
    <w:name w:val="批注文字 Char1"/>
    <w:semiHidden/>
    <w:qFormat/>
    <w:uiPriority w:val="0"/>
    <w:rPr>
      <w:kern w:val="2"/>
      <w:sz w:val="21"/>
    </w:rPr>
  </w:style>
  <w:style w:type="character" w:customStyle="1" w:styleId="66">
    <w:name w:val="正文文本 字符1"/>
    <w:semiHidden/>
    <w:qFormat/>
    <w:uiPriority w:val="0"/>
    <w:rPr>
      <w:rFonts w:ascii="Times New Roman" w:hAnsi="Times New Roman" w:eastAsia="宋体"/>
      <w:sz w:val="24"/>
    </w:rPr>
  </w:style>
  <w:style w:type="character" w:customStyle="1" w:styleId="67">
    <w:name w:val="0正文 Char Char"/>
    <w:link w:val="68"/>
    <w:qFormat/>
    <w:uiPriority w:val="0"/>
    <w:rPr>
      <w:rFonts w:ascii="Calibri" w:hAnsi="Calibri" w:cs="Calibri"/>
      <w:sz w:val="24"/>
    </w:rPr>
  </w:style>
  <w:style w:type="paragraph" w:customStyle="1" w:styleId="68">
    <w:name w:val="0正文"/>
    <w:basedOn w:val="1"/>
    <w:link w:val="67"/>
    <w:qFormat/>
    <w:uiPriority w:val="0"/>
    <w:pPr>
      <w:spacing w:line="360" w:lineRule="auto"/>
      <w:ind w:firstLine="480" w:firstLineChars="200"/>
    </w:pPr>
    <w:rPr>
      <w:rFonts w:ascii="Calibri" w:hAnsi="Calibri"/>
      <w:kern w:val="0"/>
      <w:sz w:val="24"/>
      <w:szCs w:val="20"/>
    </w:rPr>
  </w:style>
  <w:style w:type="character" w:customStyle="1" w:styleId="69">
    <w:name w:val="副标题 Char"/>
    <w:qFormat/>
    <w:uiPriority w:val="0"/>
    <w:rPr>
      <w:rFonts w:ascii="Cambria" w:hAnsi="Cambria" w:cs="Times New Roman"/>
      <w:b/>
      <w:bCs/>
      <w:kern w:val="28"/>
      <w:sz w:val="32"/>
      <w:szCs w:val="32"/>
    </w:rPr>
  </w:style>
  <w:style w:type="character" w:customStyle="1" w:styleId="70">
    <w:name w:val="Default Char"/>
    <w:link w:val="71"/>
    <w:qFormat/>
    <w:uiPriority w:val="0"/>
    <w:rPr>
      <w:rFonts w:ascii="宋体" w:hAnsi="宋体"/>
      <w:color w:val="000000"/>
      <w:sz w:val="24"/>
      <w:szCs w:val="24"/>
      <w:lang w:val="en-US" w:eastAsia="zh-CN" w:bidi="ar-SA"/>
    </w:rPr>
  </w:style>
  <w:style w:type="paragraph" w:customStyle="1" w:styleId="71">
    <w:name w:val="Default"/>
    <w:basedOn w:val="72"/>
    <w:next w:val="16"/>
    <w:link w:val="70"/>
    <w:qFormat/>
    <w:uiPriority w:val="0"/>
    <w:pPr>
      <w:autoSpaceDE w:val="0"/>
      <w:autoSpaceDN w:val="0"/>
      <w:adjustRightInd w:val="0"/>
    </w:pPr>
    <w:rPr>
      <w:rFonts w:ascii="宋体" w:hAnsi="宋体"/>
      <w:sz w:val="24"/>
    </w:rPr>
  </w:style>
  <w:style w:type="paragraph" w:customStyle="1" w:styleId="72">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73">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7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5">
    <w:name w:val="正文1 Char Char Char"/>
    <w:basedOn w:val="1"/>
    <w:qFormat/>
    <w:uiPriority w:val="0"/>
    <w:pPr>
      <w:tabs>
        <w:tab w:val="left" w:pos="4660"/>
      </w:tabs>
      <w:snapToGrid w:val="0"/>
      <w:spacing w:line="500" w:lineRule="exact"/>
      <w:ind w:firstLine="480" w:firstLineChars="200"/>
    </w:pPr>
    <w:rPr>
      <w:sz w:val="24"/>
      <w:szCs w:val="20"/>
    </w:rPr>
  </w:style>
  <w:style w:type="paragraph" w:customStyle="1" w:styleId="76">
    <w:name w:val="正文1"/>
    <w:basedOn w:val="1"/>
    <w:qFormat/>
    <w:uiPriority w:val="0"/>
    <w:pPr>
      <w:spacing w:line="560" w:lineRule="exact"/>
      <w:ind w:firstLine="200" w:firstLineChars="200"/>
    </w:pPr>
    <w:rPr>
      <w:rFonts w:ascii="宋体" w:hAnsi="宋体" w:cs="宋体"/>
      <w:sz w:val="28"/>
      <w:szCs w:val="28"/>
    </w:rPr>
  </w:style>
  <w:style w:type="paragraph" w:customStyle="1" w:styleId="77">
    <w:name w:val="表格文字"/>
    <w:basedOn w:val="1"/>
    <w:qFormat/>
    <w:uiPriority w:val="0"/>
    <w:pPr>
      <w:adjustRightInd w:val="0"/>
      <w:spacing w:line="280" w:lineRule="exact"/>
      <w:ind w:right="-102" w:hanging="91"/>
      <w:jc w:val="center"/>
    </w:pPr>
    <w:rPr>
      <w:szCs w:val="21"/>
    </w:rPr>
  </w:style>
  <w:style w:type="paragraph" w:customStyle="1" w:styleId="78">
    <w:name w:val="Char Char Char Char Char Char Char"/>
    <w:basedOn w:val="1"/>
    <w:qFormat/>
    <w:uiPriority w:val="0"/>
    <w:pPr>
      <w:snapToGrid w:val="0"/>
      <w:spacing w:line="360" w:lineRule="auto"/>
      <w:ind w:firstLine="529" w:firstLineChars="200"/>
    </w:pPr>
    <w:rPr>
      <w:rFonts w:ascii="宋体" w:hAnsi="宋体"/>
      <w:b/>
    </w:rPr>
  </w:style>
  <w:style w:type="paragraph" w:customStyle="1" w:styleId="79">
    <w:name w:val="环评正文"/>
    <w:basedOn w:val="1"/>
    <w:qFormat/>
    <w:uiPriority w:val="0"/>
    <w:pPr>
      <w:spacing w:line="360" w:lineRule="auto"/>
      <w:ind w:firstLine="720" w:firstLineChars="200"/>
    </w:pPr>
  </w:style>
  <w:style w:type="paragraph" w:customStyle="1" w:styleId="80">
    <w:name w:val="环评表头"/>
    <w:basedOn w:val="79"/>
    <w:qFormat/>
    <w:uiPriority w:val="0"/>
    <w:pPr>
      <w:ind w:firstLine="0" w:firstLineChars="0"/>
      <w:jc w:val="center"/>
    </w:pPr>
    <w:rPr>
      <w:b/>
    </w:rPr>
  </w:style>
  <w:style w:type="paragraph" w:customStyle="1" w:styleId="81">
    <w:name w:val="环评表格"/>
    <w:basedOn w:val="1"/>
    <w:qFormat/>
    <w:uiPriority w:val="0"/>
    <w:pPr>
      <w:spacing w:line="320" w:lineRule="exact"/>
      <w:jc w:val="center"/>
    </w:pPr>
    <w:rPr>
      <w:sz w:val="18"/>
    </w:rPr>
  </w:style>
  <w:style w:type="paragraph" w:customStyle="1" w:styleId="82">
    <w:name w:val="新的表头"/>
    <w:basedOn w:val="83"/>
    <w:qFormat/>
    <w:uiPriority w:val="0"/>
    <w:pPr>
      <w:spacing w:line="360" w:lineRule="auto"/>
    </w:pPr>
    <w:rPr>
      <w:b/>
      <w:sz w:val="21"/>
    </w:rPr>
  </w:style>
  <w:style w:type="paragraph" w:customStyle="1" w:styleId="83">
    <w:name w:val="新的表格内容"/>
    <w:basedOn w:val="84"/>
    <w:qFormat/>
    <w:uiPriority w:val="0"/>
    <w:pPr>
      <w:spacing w:line="320" w:lineRule="exact"/>
      <w:ind w:firstLine="0" w:firstLineChars="0"/>
      <w:jc w:val="center"/>
    </w:pPr>
    <w:rPr>
      <w:sz w:val="18"/>
    </w:rPr>
  </w:style>
  <w:style w:type="paragraph" w:customStyle="1" w:styleId="84">
    <w:name w:val="环评报告正文"/>
    <w:basedOn w:val="1"/>
    <w:qFormat/>
    <w:uiPriority w:val="0"/>
    <w:pPr>
      <w:spacing w:line="360" w:lineRule="auto"/>
      <w:ind w:firstLine="720" w:firstLineChars="200"/>
    </w:pPr>
  </w:style>
  <w:style w:type="paragraph" w:customStyle="1" w:styleId="85">
    <w:name w:val="样式 样式 样式 样式 首行缩进:  1 字符 + 首行缩进:  2 字符2 + 首行缩进:  2 字符 +"/>
    <w:basedOn w:val="1"/>
    <w:qFormat/>
    <w:uiPriority w:val="0"/>
    <w:pPr>
      <w:spacing w:line="360" w:lineRule="auto"/>
      <w:ind w:firstLine="480" w:firstLineChars="200"/>
    </w:pPr>
    <w:rPr>
      <w:rFonts w:cs="宋体"/>
      <w:kern w:val="0"/>
      <w:sz w:val="24"/>
    </w:rPr>
  </w:style>
  <w:style w:type="paragraph" w:customStyle="1" w:styleId="86">
    <w:name w:val="列出段落1"/>
    <w:basedOn w:val="1"/>
    <w:unhideWhenUsed/>
    <w:qFormat/>
    <w:uiPriority w:val="99"/>
    <w:pPr>
      <w:ind w:firstLine="420" w:firstLineChars="200"/>
    </w:pPr>
  </w:style>
  <w:style w:type="paragraph" w:customStyle="1" w:styleId="87">
    <w:name w:val="样式 小四 行距: 1.5 倍行距"/>
    <w:basedOn w:val="1"/>
    <w:qFormat/>
    <w:uiPriority w:val="0"/>
    <w:pPr>
      <w:spacing w:line="360" w:lineRule="auto"/>
      <w:ind w:firstLine="480" w:firstLineChars="200"/>
    </w:pPr>
    <w:rPr>
      <w:rFonts w:ascii="宋体" w:cs="宋体"/>
      <w:sz w:val="24"/>
      <w:szCs w:val="20"/>
    </w:rPr>
  </w:style>
  <w:style w:type="character" w:customStyle="1" w:styleId="88">
    <w:name w:val="font31"/>
    <w:qFormat/>
    <w:uiPriority w:val="0"/>
    <w:rPr>
      <w:rFonts w:hint="default" w:ascii="Times New Roman" w:hAnsi="Times New Roman" w:cs="Times New Roman"/>
      <w:color w:val="333333"/>
      <w:sz w:val="24"/>
      <w:szCs w:val="24"/>
      <w:u w:val="none"/>
    </w:rPr>
  </w:style>
  <w:style w:type="character" w:customStyle="1" w:styleId="89">
    <w:name w:val="font41"/>
    <w:qFormat/>
    <w:uiPriority w:val="0"/>
    <w:rPr>
      <w:rFonts w:ascii="Calibri" w:hAnsi="Calibri" w:cs="Calibri"/>
      <w:color w:val="000000"/>
      <w:sz w:val="21"/>
      <w:szCs w:val="21"/>
      <w:u w:val="none"/>
    </w:rPr>
  </w:style>
  <w:style w:type="character" w:customStyle="1" w:styleId="90">
    <w:name w:val="font11"/>
    <w:qFormat/>
    <w:uiPriority w:val="0"/>
    <w:rPr>
      <w:rFonts w:hint="eastAsia" w:ascii="宋体" w:hAnsi="宋体" w:eastAsia="宋体" w:cs="宋体"/>
      <w:color w:val="000000"/>
      <w:sz w:val="21"/>
      <w:szCs w:val="21"/>
      <w:u w:val="none"/>
    </w:rPr>
  </w:style>
  <w:style w:type="paragraph" w:customStyle="1" w:styleId="91">
    <w:name w:val="p0"/>
    <w:basedOn w:val="1"/>
    <w:qFormat/>
    <w:uiPriority w:val="0"/>
    <w:pPr>
      <w:widowControl/>
    </w:pPr>
    <w:rPr>
      <w:kern w:val="0"/>
      <w:szCs w:val="21"/>
    </w:rPr>
  </w:style>
  <w:style w:type="character" w:customStyle="1" w:styleId="92">
    <w:name w:val="font21"/>
    <w:qFormat/>
    <w:uiPriority w:val="0"/>
    <w:rPr>
      <w:rFonts w:hint="default" w:ascii="Times New Roman" w:hAnsi="Times New Roman" w:cs="Times New Roman"/>
      <w:color w:val="000000"/>
      <w:sz w:val="18"/>
      <w:szCs w:val="18"/>
      <w:u w:val="none"/>
      <w:vertAlign w:val="subscript"/>
    </w:rPr>
  </w:style>
  <w:style w:type="character" w:customStyle="1" w:styleId="93">
    <w:name w:val="font71"/>
    <w:qFormat/>
    <w:uiPriority w:val="0"/>
    <w:rPr>
      <w:rFonts w:hint="default" w:ascii="Times New Roman" w:hAnsi="Times New Roman" w:cs="Times New Roman"/>
      <w:color w:val="000000"/>
      <w:sz w:val="20"/>
      <w:szCs w:val="20"/>
      <w:u w:val="none"/>
    </w:rPr>
  </w:style>
  <w:style w:type="character" w:customStyle="1" w:styleId="94">
    <w:name w:val="font51"/>
    <w:qFormat/>
    <w:uiPriority w:val="0"/>
    <w:rPr>
      <w:rFonts w:hint="default" w:ascii="Times New Roman" w:hAnsi="Times New Roman" w:cs="Times New Roman"/>
      <w:color w:val="000000"/>
      <w:sz w:val="20"/>
      <w:szCs w:val="20"/>
      <w:u w:val="none"/>
      <w:vertAlign w:val="superscript"/>
    </w:rPr>
  </w:style>
  <w:style w:type="character" w:customStyle="1" w:styleId="95">
    <w:name w:val="font81"/>
    <w:qFormat/>
    <w:uiPriority w:val="0"/>
    <w:rPr>
      <w:rFonts w:hint="default" w:ascii="Times New Roman" w:hAnsi="Times New Roman" w:cs="Times New Roman"/>
      <w:b/>
      <w:bCs/>
      <w:color w:val="000000"/>
      <w:sz w:val="18"/>
      <w:szCs w:val="18"/>
      <w:u w:val="none"/>
      <w:vertAlign w:val="superscript"/>
    </w:rPr>
  </w:style>
  <w:style w:type="character" w:customStyle="1" w:styleId="96">
    <w:name w:val="font91"/>
    <w:qFormat/>
    <w:uiPriority w:val="0"/>
    <w:rPr>
      <w:rFonts w:hint="default" w:ascii="Times New Roman" w:hAnsi="Times New Roman" w:cs="Times New Roman"/>
      <w:color w:val="000000"/>
      <w:sz w:val="18"/>
      <w:szCs w:val="18"/>
      <w:u w:val="none"/>
      <w:vertAlign w:val="subscript"/>
    </w:rPr>
  </w:style>
  <w:style w:type="paragraph" w:customStyle="1" w:styleId="97">
    <w:name w:val="WPSOffice手动目录 1"/>
    <w:qFormat/>
    <w:uiPriority w:val="0"/>
    <w:rPr>
      <w:rFonts w:ascii="Times New Roman" w:hAnsi="Times New Roman" w:eastAsia="宋体" w:cs="Times New Roman"/>
      <w:lang w:val="en-US" w:eastAsia="zh-CN" w:bidi="ar-SA"/>
    </w:rPr>
  </w:style>
  <w:style w:type="character" w:customStyle="1" w:styleId="98">
    <w:name w:val="报告表标题"/>
    <w:qFormat/>
    <w:uiPriority w:val="0"/>
    <w:rPr>
      <w:rFonts w:ascii="Times New Roman" w:hAnsi="Times New Roman" w:eastAsia="黑体"/>
      <w:snapToGrid w:val="0"/>
      <w:sz w:val="30"/>
      <w:szCs w:val="30"/>
    </w:rPr>
  </w:style>
  <w:style w:type="paragraph" w:customStyle="1" w:styleId="99">
    <w:name w:val="正文(首行缩进)"/>
    <w:basedOn w:val="1"/>
    <w:unhideWhenUsed/>
    <w:qFormat/>
    <w:uiPriority w:val="0"/>
    <w:pPr>
      <w:tabs>
        <w:tab w:val="left" w:pos="4584"/>
      </w:tabs>
      <w:adjustRightInd w:val="0"/>
      <w:snapToGrid w:val="0"/>
      <w:spacing w:line="360" w:lineRule="auto"/>
      <w:ind w:firstLine="200" w:firstLineChars="200"/>
    </w:pPr>
    <w:rPr>
      <w:snapToGrid w:val="0"/>
      <w:kern w:val="0"/>
      <w:sz w:val="24"/>
    </w:rPr>
  </w:style>
  <w:style w:type="paragraph" w:customStyle="1" w:styleId="100">
    <w:name w:val="样式1"/>
    <w:basedOn w:val="1"/>
    <w:next w:val="27"/>
    <w:qFormat/>
    <w:uiPriority w:val="0"/>
  </w:style>
  <w:style w:type="paragraph" w:customStyle="1" w:styleId="101">
    <w:name w:val="Table Paragraph"/>
    <w:basedOn w:val="1"/>
    <w:qFormat/>
    <w:uiPriority w:val="1"/>
    <w:pPr>
      <w:jc w:val="left"/>
    </w:pPr>
    <w:rPr>
      <w:rFonts w:ascii="Calibri" w:hAnsi="Calibri" w:eastAsia="Calibri"/>
      <w:kern w:val="0"/>
      <w:sz w:val="22"/>
      <w:szCs w:val="22"/>
    </w:rPr>
  </w:style>
  <w:style w:type="paragraph" w:customStyle="1" w:styleId="102">
    <w:name w:val="表格格"/>
    <w:basedOn w:val="1"/>
    <w:qFormat/>
    <w:uiPriority w:val="0"/>
    <w:pPr>
      <w:jc w:val="center"/>
    </w:pPr>
    <w:rPr>
      <w:szCs w:val="21"/>
    </w:rPr>
  </w:style>
  <w:style w:type="paragraph" w:customStyle="1" w:styleId="103">
    <w:name w:val="报告书表格"/>
    <w:basedOn w:val="1"/>
    <w:qFormat/>
    <w:uiPriority w:val="0"/>
    <w:pPr>
      <w:adjustRightInd w:val="0"/>
      <w:jc w:val="center"/>
      <w:textAlignment w:val="baseline"/>
    </w:pPr>
    <w:rPr>
      <w:kern w:val="0"/>
      <w:szCs w:val="20"/>
    </w:rPr>
  </w:style>
  <w:style w:type="paragraph" w:customStyle="1" w:styleId="104">
    <w:name w:val="表格内容"/>
    <w:basedOn w:val="1"/>
    <w:next w:val="1"/>
    <w:qFormat/>
    <w:uiPriority w:val="0"/>
    <w:pPr>
      <w:jc w:val="center"/>
      <w:textAlignment w:val="center"/>
    </w:pPr>
  </w:style>
  <w:style w:type="paragraph" w:customStyle="1" w:styleId="105">
    <w:name w:val="样式 样式 首行缩进:  1 字符 + 首行缩进:  2 字符1"/>
    <w:basedOn w:val="1"/>
    <w:qFormat/>
    <w:uiPriority w:val="0"/>
    <w:pPr>
      <w:spacing w:line="360" w:lineRule="auto"/>
      <w:ind w:firstLine="200" w:firstLineChars="200"/>
    </w:pPr>
    <w:rPr>
      <w:rFonts w:ascii="宋体" w:hAnsi="宋体" w:cs="宋体"/>
      <w:sz w:val="24"/>
      <w:szCs w:val="20"/>
    </w:rPr>
  </w:style>
  <w:style w:type="paragraph" w:customStyle="1" w:styleId="106">
    <w:name w:val="表格标题"/>
    <w:basedOn w:val="1"/>
    <w:qFormat/>
    <w:uiPriority w:val="0"/>
    <w:pPr>
      <w:jc w:val="center"/>
    </w:pPr>
    <w:rPr>
      <w:rFonts w:eastAsia="黑体"/>
      <w:b/>
      <w:szCs w:val="21"/>
    </w:rPr>
  </w:style>
  <w:style w:type="paragraph" w:styleId="107">
    <w:name w:val="List Paragraph"/>
    <w:basedOn w:val="1"/>
    <w:qFormat/>
    <w:uiPriority w:val="34"/>
    <w:pPr>
      <w:ind w:firstLine="420" w:firstLineChars="200"/>
    </w:pPr>
  </w:style>
  <w:style w:type="paragraph" w:customStyle="1" w:styleId="108">
    <w:name w:val="【正文】"/>
    <w:basedOn w:val="1"/>
    <w:qFormat/>
    <w:uiPriority w:val="0"/>
    <w:pPr>
      <w:adjustRightInd w:val="0"/>
      <w:snapToGrid w:val="0"/>
      <w:spacing w:line="360" w:lineRule="auto"/>
      <w:ind w:firstLine="513" w:firstLineChars="200"/>
    </w:pPr>
    <w:rPr>
      <w:kern w:val="0"/>
      <w:sz w:val="24"/>
    </w:rPr>
  </w:style>
  <w:style w:type="paragraph" w:customStyle="1" w:styleId="109">
    <w:name w:val="Char Char Char Char Char Char Char1"/>
    <w:basedOn w:val="1"/>
    <w:qFormat/>
    <w:uiPriority w:val="0"/>
    <w:pPr>
      <w:snapToGrid w:val="0"/>
      <w:ind w:firstLine="529"/>
    </w:pPr>
    <w:rPr>
      <w:rFonts w:ascii="宋体" w:hAnsi="宋体"/>
      <w:b/>
    </w:rPr>
  </w:style>
  <w:style w:type="paragraph" w:customStyle="1" w:styleId="110">
    <w:name w:val="正文缩进1"/>
    <w:basedOn w:val="1"/>
    <w:qFormat/>
    <w:uiPriority w:val="0"/>
    <w:pPr>
      <w:ind w:firstLine="200"/>
    </w:pPr>
    <w:rPr>
      <w:rFonts w:eastAsia="楷体_GB2312"/>
      <w:sz w:val="32"/>
      <w:szCs w:val="20"/>
    </w:rPr>
  </w:style>
  <w:style w:type="paragraph" w:customStyle="1" w:styleId="111">
    <w:name w:val="正文4"/>
    <w:qFormat/>
    <w:uiPriority w:val="0"/>
    <w:pPr>
      <w:widowControl w:val="0"/>
      <w:spacing w:line="360" w:lineRule="atLeast"/>
    </w:pPr>
    <w:rPr>
      <w:rFonts w:ascii="宋体" w:hAnsi="宋体" w:eastAsia="宋体" w:cs="Times New Roman"/>
      <w:color w:val="000000"/>
      <w:sz w:val="24"/>
      <w:szCs w:val="22"/>
      <w:lang w:val="en-US" w:eastAsia="zh-CN" w:bidi="ar-SA"/>
    </w:rPr>
  </w:style>
  <w:style w:type="character" w:customStyle="1" w:styleId="112">
    <w:name w:val="正文文本缩进 字符"/>
    <w:semiHidden/>
    <w:qFormat/>
    <w:uiPriority w:val="0"/>
    <w:rPr>
      <w:rFonts w:ascii="Times New Roman" w:hAnsi="Times New Roman" w:eastAsia="宋体"/>
      <w:sz w:val="24"/>
    </w:rPr>
  </w:style>
  <w:style w:type="paragraph" w:customStyle="1" w:styleId="113">
    <w:name w:val="表头"/>
    <w:basedOn w:val="1"/>
    <w:qFormat/>
    <w:uiPriority w:val="0"/>
    <w:pPr>
      <w:jc w:val="center"/>
    </w:pPr>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wmf"/><Relationship Id="rId17" Type="http://schemas.openxmlformats.org/officeDocument/2006/relationships/oleObject" Target="embeddings/oleObject2.bin"/><Relationship Id="rId16" Type="http://schemas.openxmlformats.org/officeDocument/2006/relationships/image" Target="media/image8.wmf"/><Relationship Id="rId15" Type="http://schemas.openxmlformats.org/officeDocument/2006/relationships/oleObject" Target="embeddings/oleObject1.bin"/><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55</Pages>
  <Words>29702</Words>
  <Characters>33499</Characters>
  <Lines>265</Lines>
  <Paragraphs>74</Paragraphs>
  <TotalTime>103</TotalTime>
  <ScaleCrop>false</ScaleCrop>
  <LinksUpToDate>false</LinksUpToDate>
  <CharactersWithSpaces>33780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2023-05-04T11:14:00Z</dcterms:created>
  <dc:creator>lhj</dc:creator>
  <cp:lastModifiedBy>lenovo</cp:lastModifiedBy>
  <cp:lastPrinted>2023-05-11T01:39:00Z</cp:lastPrinted>
  <dcterms:modified xsi:type="dcterms:W3CDTF">2023-05-22T00:46:21Z</dcterms:modified>
  <dc:title>附件2</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5A61A566AED94432B0B59C3557A0E662</vt:lpwstr>
  </property>
</Properties>
</file>