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靖边县城镇基准地价表</w:t>
      </w:r>
    </w:p>
    <w:p>
      <w:pPr>
        <w:spacing w:line="300" w:lineRule="exact"/>
        <w:ind w:firstLine="361"/>
        <w:jc w:val="right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Cs w:val="21"/>
        </w:rPr>
        <w:t>单位：元/平方米（万元/亩）</w:t>
      </w:r>
    </w:p>
    <w:tbl>
      <w:tblPr>
        <w:tblStyle w:val="3"/>
        <w:tblW w:w="50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741"/>
        <w:gridCol w:w="1597"/>
        <w:gridCol w:w="1410"/>
        <w:gridCol w:w="1656"/>
        <w:gridCol w:w="1672"/>
        <w:gridCol w:w="6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tblHeader/>
          <w:jc w:val="center"/>
        </w:trPr>
        <w:tc>
          <w:tcPr>
            <w:tcW w:w="1031" w:type="dxa"/>
            <w:noWrap w:val="0"/>
            <w:vAlign w:val="center"/>
          </w:tcPr>
          <w:p>
            <w:pPr>
              <w:pStyle w:val="5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区 域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pStyle w:val="5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土地级别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5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商服用地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5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住宅用地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工矿仓储用地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5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公共管理与</w:t>
            </w:r>
          </w:p>
          <w:p>
            <w:pPr>
              <w:pStyle w:val="5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公共服务用地</w: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pStyle w:val="5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级别分布范围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031" w:type="dxa"/>
            <w:vMerge w:val="restart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  <w:b/>
                <w:bCs/>
              </w:rPr>
            </w:pPr>
            <w:r>
              <w:rPr>
                <w:rFonts w:hint="eastAsia" w:ascii="仿宋_GB2312" w:hAnsi="仿宋_GB2312" w:cs="仿宋_GB2312"/>
              </w:rPr>
              <w:t>城区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I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2025(135.00)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900(60.00)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480(32.00)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794(52.93)</w: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①东至芦河路、北新街，南至文化路、南关西街，西至长庆路，北至龙山路</w:t>
            </w:r>
          </w:p>
          <w:p>
            <w:pPr>
              <w:pStyle w:val="5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②东至天赐路，南至靖安路，西至西环路，北至人民路、民生路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  <w:b/>
                <w:bCs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II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1365(91.00)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675(45.00)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420(28.00)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553(36.87)</w: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东至芦河、东大街，南至靖安路、南环路，西至未命名路、西环路、红柳路，北至龙升路、统万路，除去一级区域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  <w:b/>
                <w:bCs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III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915(61.00)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465(31.00)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375(25.00)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389(25.93)</w: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东至东环路，南至南环路、芦靖路，西至未命名路、西环路，北至青银高速，除去一级、二级区域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  <w:b/>
                <w:bCs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IV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555(37.00)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270(18.00)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225(15.00)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235(15.67)</w: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①东至东环路延伸段，南至青银高速，西至城市规划边界，北至城市规划边界</w:t>
            </w:r>
          </w:p>
          <w:p>
            <w:pPr>
              <w:pStyle w:val="5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②东至包茂高速，南至龙山路，西至东环路，北至青银高速</w:t>
            </w:r>
          </w:p>
          <w:p>
            <w:pPr>
              <w:pStyle w:val="5"/>
              <w:jc w:val="left"/>
              <w:rPr>
                <w:rFonts w:hint="eastAsia" w:ascii="仿宋_GB2312" w:hAnsi="仿宋_GB2312" w:cs="仿宋_GB2312"/>
                <w:color w:val="000000"/>
              </w:rPr>
            </w:pPr>
            <w:r>
              <w:rPr>
                <w:rFonts w:hint="eastAsia" w:ascii="仿宋_GB2312" w:hAnsi="仿宋_GB2312" w:cs="仿宋_GB2312"/>
              </w:rPr>
              <w:t>③北至人民东路、爱民大道，南至富民大道</w:t>
            </w:r>
            <w:r>
              <w:rPr>
                <w:rFonts w:hint="eastAsia" w:ascii="仿宋_GB2312" w:hAnsi="仿宋_GB2312" w:cs="仿宋_GB2312"/>
                <w:color w:val="000000"/>
              </w:rPr>
              <w:t>、靖边南收费站</w:t>
            </w:r>
            <w:r>
              <w:rPr>
                <w:rFonts w:hint="eastAsia" w:ascii="仿宋_GB2312" w:hAnsi="仿宋_GB2312" w:cs="仿宋_GB2312"/>
                <w:color w:val="000000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color w:val="000000"/>
              </w:rPr>
              <w:t>城市定级边界，西至东环路、城市定级边界，东至海民大道、五台森林公园、城市定级边界</w:t>
            </w:r>
          </w:p>
          <w:p>
            <w:pPr>
              <w:pStyle w:val="5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④北至南环路、芦靖路、宇文路与西一路交叉以南未命名路，南至南过境线，东至芦河，西至芦靖路、宇文路与西一路交叉以南未命名路与南过境线交叉路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1" w:type="dxa"/>
            <w:vMerge w:val="restart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杨桥畔镇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I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630(42.00)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375(25.00)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195(13.00)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333(22.2)</w: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东至龙眼南路，南至科技六路，西至青杨路，北至S204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II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510(34.00)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225(15.00)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180(12.00)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197(13.13)</w: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①东至厂区内铁路，南至石化大道，西至规划西五路，北至延长石油厂区北边界</w:t>
            </w:r>
          </w:p>
          <w:p>
            <w:pPr>
              <w:pStyle w:val="5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②东至创业二路，南至青银高速，西至创业六路，北至芦河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III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405(27.00)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150(10.00)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135(9.00)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136(9.07)</w: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color w:val="000000"/>
              </w:rPr>
              <w:t>东至物流七路、规划界，南至石化大道、青银高速，西至规划界，北至纬六路、榆靖公路，</w:t>
            </w:r>
            <w:r>
              <w:rPr>
                <w:rFonts w:hint="eastAsia" w:ascii="仿宋_GB2312" w:hAnsi="仿宋_GB2312" w:cs="仿宋_GB2312"/>
              </w:rPr>
              <w:t>除去一级、二级范围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31" w:type="dxa"/>
            <w:vMerge w:val="restart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东坑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</w:rPr>
              <w:t>镇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I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645(43.00)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413(27.53)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165(11.00)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351(23.4)</w: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北至东坑中学、建国路南50米，东至旺琴路东150米，南至307国道南30米处，西至科技路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II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555(37.00)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255(17.00)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135(9.00)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210(14.00)</w: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①北至北环路北200米，东至东环路以东60米，南至富裕路以南40米、南环路，西至自强路东200米（除去一级地范围）</w:t>
            </w:r>
          </w:p>
          <w:p>
            <w:pPr>
              <w:pStyle w:val="5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②东至规划科技十路，南至规划创业三路，西至科技四路，北至规划创业一路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III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450(30.00)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145(9.67)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120(8.00)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135(9.00)</w: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东至规划沙渠路、建设路、科技四路，南至规划创业一路、规划创业三路，西至规划西环路、规划科技一路，北至北环路、规划界，除去一级、二级范围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  <w:jc w:val="center"/>
        </w:trPr>
        <w:tc>
          <w:tcPr>
            <w:tcW w:w="13276" w:type="dxa"/>
            <w:gridSpan w:val="7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说明：</w:t>
            </w:r>
          </w:p>
          <w:p>
            <w:pPr>
              <w:pStyle w:val="5"/>
              <w:ind w:firstLine="420" w:firstLineChars="200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.基准地价内涵：①基准日：2020年12月31日；②土地开发程度：城区各用途宗地外“六通一平”（供水、排水、供电、供气、通讯、通路、场地平整），城区外各镇各用途用地为宗地外“五通一平”（供水、排水、供电、通讯、通路、场地平整）。③容积率：城区商服容积率为2.0，住宅容积率为1.8，工矿仓储容积率为1.0，公共管理与公共管理用地为1.5；城区外各镇商服容积率为1.8，住宅容积率为1.5，工矿仓储容积率为1.0，公共管理与公共管理用地为1.2。③土地使用年期：商服用地40年，住宅用地70年，工矿仓储用地50年，公共管理与公共服务用地50年。</w:t>
            </w:r>
          </w:p>
          <w:p>
            <w:pPr>
              <w:pStyle w:val="5"/>
              <w:ind w:firstLine="420" w:firstLineChars="200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</w:rPr>
              <w:t>土地用途分类说明：基准地价土地用途分类依据国家《土地利用现状分类》（GB/T21010-2017）标准，其中商服用地包括零售商业用地、批发市场用地、餐饮用地、旅馆用地、商务金融用地、娱乐用地、其他商服用地；住宅用地包括普通住宅、公寓等城镇住宅用地；工矿仓储用地包括工业用地、采矿用地、盐田、仓储用地；公共管理与公共服务用地包括机关团体用地、新闻出版用地、教育用地、科研用地、医疗卫生用地、社会福利用地、文化设施用地、体育用地、公用设施用地、公园与绿地。具有多种用途的土地应按建筑面积分摊土地面积分别确定土地用途。</w:t>
            </w:r>
          </w:p>
          <w:p>
            <w:pPr>
              <w:pStyle w:val="5"/>
              <w:ind w:firstLine="420" w:firstLineChars="200"/>
              <w:jc w:val="lef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3.土地级别以《靖边县城区基准地价图》《靖边县杨桥畔镇基准地价图》《靖边县东坑镇基准地价图》为准，定级范围外地区基准地价参照对应末级地标准进行适当调整。</w:t>
            </w:r>
          </w:p>
        </w:tc>
      </w:tr>
    </w:tbl>
    <w:p/>
    <w:sectPr>
      <w:pgSz w:w="16838" w:h="11906" w:orient="landscape"/>
      <w:pgMar w:top="1800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YWJiYjE0MWVmNzE5YjUxZDFiOWQyNDM3NTFhNmMifQ=="/>
  </w:docVars>
  <w:rsids>
    <w:rsidRoot w:val="00000000"/>
    <w:rsid w:val="7AA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表格中字体0"/>
    <w:basedOn w:val="1"/>
    <w:qFormat/>
    <w:uiPriority w:val="0"/>
    <w:pPr>
      <w:spacing w:line="240" w:lineRule="atLeast"/>
      <w:jc w:val="center"/>
    </w:pPr>
    <w:rPr>
      <w:rFonts w:ascii="Times New Roman" w:hAnsi="Times New Roman" w:eastAsia="仿宋_GB2312" w:cs="Times New Roman"/>
      <w:color w:val="00000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时间如沙漏</cp:lastModifiedBy>
  <dcterms:modified xsi:type="dcterms:W3CDTF">2024-01-19T07:01:28Z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1E755FCCF69E41D18150A02240569DB4_12</vt:lpwstr>
  </property>
</Properties>
</file>